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Informe de Despliegue de Base de Datos MySQL en Aiven y Sincronización con Prisma ORM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80" w:before="150" w:lineRule="auto"/>
        <w:ind w:left="150" w:right="15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Rule="auto"/>
        <w:ind w:left="150" w:right="150" w:firstLine="0"/>
        <w:rPr>
          <w:sz w:val="20"/>
          <w:szCs w:val="20"/>
          <w:shd w:fill="ebf8ff" w:val="clear"/>
        </w:rPr>
      </w:pPr>
      <w:r w:rsidDel="00000000" w:rsidR="00000000" w:rsidRPr="00000000">
        <w:rPr>
          <w:b w:val="1"/>
          <w:bCs w:val="1"/>
          <w:sz w:val="20"/>
          <w:szCs w:val="20"/>
          <w:shd w:fill="ebf8ff" w:val="clear"/>
          <w:rtl w:val="0"/>
        </w:rPr>
        <w:t xml:space="preserve">Proyecto:</w:t>
      </w:r>
      <w:r w:rsidDel="00000000" w:rsidR="00000000" w:rsidRPr="00000000">
        <w:rPr>
          <w:sz w:val="20"/>
          <w:szCs w:val="20"/>
          <w:shd w:fill="ebf8ff" w:val="clear"/>
          <w:rtl w:val="0"/>
        </w:rPr>
        <w:t xml:space="preserve"> RocketService / SISTEC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Rule="auto"/>
        <w:ind w:left="150" w:right="150" w:firstLine="0"/>
        <w:rPr>
          <w:sz w:val="20"/>
          <w:szCs w:val="20"/>
          <w:shd w:fill="ebf8ff" w:val="clear"/>
        </w:rPr>
      </w:pPr>
      <w:r w:rsidDel="00000000" w:rsidR="00000000" w:rsidRPr="00000000">
        <w:rPr>
          <w:b w:val="1"/>
          <w:bCs w:val="1"/>
          <w:sz w:val="20"/>
          <w:szCs w:val="20"/>
          <w:shd w:fill="ebf8ff" w:val="clear"/>
          <w:rtl w:val="0"/>
        </w:rPr>
        <w:t xml:space="preserve">Desarrollador:</w:t>
      </w:r>
      <w:r w:rsidDel="00000000" w:rsidR="00000000" w:rsidRPr="00000000">
        <w:rPr>
          <w:sz w:val="20"/>
          <w:szCs w:val="20"/>
          <w:shd w:fill="ebf8ff" w:val="clear"/>
          <w:rtl w:val="0"/>
        </w:rPr>
        <w:t xml:space="preserve"> Juan Camilo Bernal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Rule="auto"/>
        <w:ind w:left="150" w:right="150" w:firstLine="0"/>
        <w:rPr>
          <w:sz w:val="20"/>
          <w:szCs w:val="20"/>
          <w:shd w:fill="ebf8ff" w:val="clear"/>
        </w:rPr>
      </w:pPr>
      <w:r w:rsidDel="00000000" w:rsidR="00000000" w:rsidRPr="00000000">
        <w:rPr>
          <w:b w:val="1"/>
          <w:bCs w:val="1"/>
          <w:sz w:val="20"/>
          <w:szCs w:val="20"/>
          <w:shd w:fill="ebf8ff" w:val="clear"/>
          <w:rtl w:val="0"/>
        </w:rPr>
        <w:t xml:space="preserve">Plataforma Cloud:</w:t>
      </w:r>
      <w:r w:rsidDel="00000000" w:rsidR="00000000" w:rsidRPr="00000000">
        <w:rPr>
          <w:sz w:val="20"/>
          <w:szCs w:val="20"/>
          <w:shd w:fill="ebf8ff" w:val="clear"/>
          <w:rtl w:val="0"/>
        </w:rPr>
        <w:t xml:space="preserve"> Aiven for MySQL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Rule="auto"/>
        <w:ind w:left="150" w:right="150" w:firstLine="0"/>
        <w:rPr>
          <w:sz w:val="20"/>
          <w:szCs w:val="20"/>
          <w:shd w:fill="ebf8ff" w:val="clear"/>
        </w:rPr>
      </w:pPr>
      <w:r w:rsidDel="00000000" w:rsidR="00000000" w:rsidRPr="00000000">
        <w:rPr>
          <w:b w:val="1"/>
          <w:bCs w:val="1"/>
          <w:sz w:val="20"/>
          <w:szCs w:val="20"/>
          <w:shd w:fill="ebf8ff" w:val="clear"/>
          <w:rtl w:val="0"/>
        </w:rPr>
        <w:t xml:space="preserve">Herramientas de Cliente / ORM:</w:t>
      </w:r>
      <w:r w:rsidDel="00000000" w:rsidR="00000000" w:rsidRPr="00000000">
        <w:rPr>
          <w:sz w:val="20"/>
          <w:szCs w:val="20"/>
          <w:shd w:fill="ebf8ff" w:val="clear"/>
          <w:rtl w:val="0"/>
        </w:rPr>
        <w:t xml:space="preserve"> DBeaver, Prisma ORM, Node.js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Resumen Ejecutivo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30" w:lineRule="auto"/>
        <w:rPr>
          <w:sz w:val="20"/>
          <w:szCs w:val="20"/>
        </w:rPr>
      </w:pPr>
      <w:r w:rsidDel="00000000" w:rsidR="00000000" w:rsidRPr="00000000">
        <w:rPr>
          <w:sz w:val="20"/>
          <w:szCs w:val="20"/>
          <w:rtl w:val="0"/>
        </w:rPr>
        <w:t xml:space="preserve">El presente informe documenta el procedimiento paso a paso para la creación, configuración y despliegue en la nube de una base de datos MySQL administrada en la plataforma Aiven, así como la importación de scripts SQL existentes mediante el cliente de base de datos DBeaver y la introspección automática del esquema de datos en el backend del proyecto utilizando Prisma ORM.</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Creación y Configuración del Servicio MySQL en Aiven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sz w:val="20"/>
          <w:szCs w:val="20"/>
          <w:rtl w:val="0"/>
        </w:rPr>
        <w:t xml:space="preserve">Inicio de sesión e Identificación:</w:t>
      </w:r>
      <w:r w:rsidDel="00000000" w:rsidR="00000000" w:rsidRPr="00000000">
        <w:rPr>
          <w:sz w:val="20"/>
          <w:szCs w:val="20"/>
          <w:rtl w:val="0"/>
        </w:rPr>
        <w:t xml:space="preserve"> Autenticarse en la consola de Aiven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2d3748"/>
          <w:sz w:val="18"/>
          <w:szCs w:val="18"/>
          <w:shd w:fill="f7fafc" w:val="clear"/>
          <w:rtl w:val="0"/>
        </w:rPr>
        <w:t xml:space="preserve">console.aiven.io</w:t>
      </w:r>
      <w:r w:rsidDel="00000000" w:rsidR="00000000" w:rsidRPr="00000000">
        <w:rPr>
          <w:sz w:val="20"/>
          <w:szCs w:val="20"/>
          <w:rtl w:val="0"/>
        </w:rPr>
        <w:t xml:space="preserve">) utilizando la cuenta personal de GitHub. Al otorgar acceso, no es obligatorio conceder permisos sobre organizaciones externas.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sz w:val="20"/>
          <w:szCs w:val="20"/>
          <w:rtl w:val="0"/>
        </w:rPr>
        <w:t xml:space="preserve">Configuración del Perfil e Intención:</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sz w:val="20"/>
          <w:szCs w:val="20"/>
          <w:rtl w:val="0"/>
        </w:rPr>
        <w:t xml:space="preserve">Uso previsto:</w:t>
      </w:r>
      <w:r w:rsidDel="00000000" w:rsidR="00000000" w:rsidRPr="00000000">
        <w:rPr>
          <w:sz w:val="20"/>
          <w:szCs w:val="20"/>
          <w:rtl w:val="0"/>
        </w:rPr>
        <w:t xml:space="preserve"> Seleccionar la opción </w:t>
      </w:r>
      <w:r w:rsidDel="00000000" w:rsidR="00000000" w:rsidRPr="00000000">
        <w:rPr>
          <w:i w:val="1"/>
          <w:iCs w:val="1"/>
          <w:sz w:val="20"/>
          <w:szCs w:val="20"/>
          <w:rtl w:val="0"/>
        </w:rPr>
        <w:t xml:space="preserve">Personal project</w:t>
      </w:r>
      <w:r w:rsidDel="00000000" w:rsidR="00000000" w:rsidRPr="00000000">
        <w:rPr>
          <w:sz w:val="20"/>
          <w:szCs w:val="20"/>
          <w:rtl w:val="0"/>
        </w:rPr>
        <w:t xml:space="preserve"> o </w:t>
      </w:r>
      <w:r w:rsidDel="00000000" w:rsidR="00000000" w:rsidRPr="00000000">
        <w:rPr>
          <w:i w:val="1"/>
          <w:iCs w:val="1"/>
          <w:sz w:val="20"/>
          <w:szCs w:val="20"/>
          <w:rtl w:val="0"/>
        </w:rPr>
        <w:t xml:space="preserve">Exploring and learning</w:t>
      </w:r>
      <w:r w:rsidDel="00000000" w:rsidR="00000000" w:rsidRPr="00000000">
        <w:rPr>
          <w:sz w:val="20"/>
          <w:szCs w:val="20"/>
          <w:rtl w:val="0"/>
        </w:rPr>
        <w:t xml:space="preserve">.</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sz w:val="20"/>
          <w:szCs w:val="20"/>
          <w:rtl w:val="0"/>
        </w:rPr>
        <w:t xml:space="preserve">Objetivo principal:</w:t>
      </w:r>
      <w:r w:rsidDel="00000000" w:rsidR="00000000" w:rsidRPr="00000000">
        <w:rPr>
          <w:sz w:val="20"/>
          <w:szCs w:val="20"/>
          <w:rtl w:val="0"/>
        </w:rPr>
        <w:t xml:space="preserve"> Seleccionar </w:t>
      </w:r>
      <w:r w:rsidDel="00000000" w:rsidR="00000000" w:rsidRPr="00000000">
        <w:rPr>
          <w:i w:val="1"/>
          <w:iCs w:val="1"/>
          <w:sz w:val="20"/>
          <w:szCs w:val="20"/>
          <w:rtl w:val="0"/>
        </w:rPr>
        <w:t xml:space="preserve">Build a data-driven application</w:t>
      </w:r>
      <w:r w:rsidDel="00000000" w:rsidR="00000000" w:rsidRPr="00000000">
        <w:rPr>
          <w:sz w:val="20"/>
          <w:szCs w:val="20"/>
          <w:rtl w:val="0"/>
        </w:rPr>
        <w:t xml:space="preserve">.</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sz w:val="20"/>
          <w:szCs w:val="20"/>
          <w:rtl w:val="0"/>
        </w:rPr>
        <w:t xml:space="preserve">Rol profesional:</w:t>
      </w:r>
      <w:r w:rsidDel="00000000" w:rsidR="00000000" w:rsidRPr="00000000">
        <w:rPr>
          <w:sz w:val="20"/>
          <w:szCs w:val="20"/>
          <w:rtl w:val="0"/>
        </w:rPr>
        <w:t xml:space="preserve"> Seleccionar </w:t>
      </w:r>
      <w:r w:rsidDel="00000000" w:rsidR="00000000" w:rsidRPr="00000000">
        <w:rPr>
          <w:i w:val="1"/>
          <w:iCs w:val="1"/>
          <w:sz w:val="20"/>
          <w:szCs w:val="20"/>
          <w:rtl w:val="0"/>
        </w:rPr>
        <w:t xml:space="preserve">Developer</w:t>
      </w:r>
      <w:r w:rsidDel="00000000" w:rsidR="00000000" w:rsidRPr="00000000">
        <w:rPr>
          <w:sz w:val="20"/>
          <w:szCs w:val="20"/>
          <w:rtl w:val="0"/>
        </w:rPr>
        <w:t xml:space="preserv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sz w:val="20"/>
          <w:szCs w:val="20"/>
          <w:rtl w:val="0"/>
        </w:rPr>
        <w:t xml:space="preserve">Creación del Servicio:</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sz w:val="20"/>
          <w:szCs w:val="20"/>
          <w:rtl w:val="0"/>
        </w:rPr>
        <w:t xml:space="preserve">Navegar a la sección </w:t>
      </w:r>
      <w:r w:rsidDel="00000000" w:rsidR="00000000" w:rsidRPr="00000000">
        <w:rPr>
          <w:b w:val="1"/>
          <w:bCs w:val="1"/>
          <w:sz w:val="20"/>
          <w:szCs w:val="20"/>
          <w:rtl w:val="0"/>
        </w:rPr>
        <w:t xml:space="preserve">Services</w:t>
      </w:r>
      <w:r w:rsidDel="00000000" w:rsidR="00000000" w:rsidRPr="00000000">
        <w:rPr>
          <w:sz w:val="20"/>
          <w:szCs w:val="20"/>
          <w:rtl w:val="0"/>
        </w:rPr>
        <w:t xml:space="preserve"> en el panel de Aiven y hacer clic en </w:t>
      </w:r>
      <w:r w:rsidDel="00000000" w:rsidR="00000000" w:rsidRPr="00000000">
        <w:rPr>
          <w:b w:val="1"/>
          <w:bCs w:val="1"/>
          <w:sz w:val="20"/>
          <w:szCs w:val="20"/>
          <w:rtl w:val="0"/>
        </w:rPr>
        <w:t xml:space="preserve">Create service</w:t>
      </w:r>
      <w:r w:rsidDel="00000000" w:rsidR="00000000" w:rsidRPr="00000000">
        <w:rPr>
          <w:sz w:val="20"/>
          <w:szCs w:val="20"/>
          <w:rtl w:val="0"/>
        </w:rPr>
        <w:t xml:space="preserve">.</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sz w:val="20"/>
          <w:szCs w:val="20"/>
          <w:rtl w:val="0"/>
        </w:rPr>
        <w:t xml:space="preserve">Seleccionar el motor de base de datos </w:t>
      </w:r>
      <w:r w:rsidDel="00000000" w:rsidR="00000000" w:rsidRPr="00000000">
        <w:rPr>
          <w:b w:val="1"/>
          <w:bCs w:val="1"/>
          <w:sz w:val="20"/>
          <w:szCs w:val="20"/>
          <w:rtl w:val="0"/>
        </w:rPr>
        <w:t xml:space="preserve">MySQL</w:t>
      </w:r>
      <w:r w:rsidDel="00000000" w:rsidR="00000000" w:rsidRPr="00000000">
        <w:rPr>
          <w:sz w:val="20"/>
          <w:szCs w:val="20"/>
          <w:rtl w:val="0"/>
        </w:rPr>
        <w:t xml:space="preserve">.</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sz w:val="20"/>
          <w:szCs w:val="20"/>
          <w:rtl w:val="0"/>
        </w:rPr>
        <w:t xml:space="preserve">Seleccionar el plan gratuito (</w:t>
      </w:r>
      <w:r w:rsidDel="00000000" w:rsidR="00000000" w:rsidRPr="00000000">
        <w:rPr>
          <w:i w:val="1"/>
          <w:iCs w:val="1"/>
          <w:sz w:val="20"/>
          <w:szCs w:val="20"/>
          <w:rtl w:val="0"/>
        </w:rPr>
        <w:t xml:space="preserve">Free Tier</w:t>
      </w:r>
      <w:r w:rsidDel="00000000" w:rsidR="00000000" w:rsidRPr="00000000">
        <w:rPr>
          <w:sz w:val="20"/>
          <w:szCs w:val="20"/>
          <w:rtl w:val="0"/>
        </w:rPr>
        <w:t xml:space="preserve">).</w:t>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sz w:val="20"/>
          <w:szCs w:val="20"/>
          <w:rtl w:val="0"/>
        </w:rPr>
        <w:t xml:space="preserve">Elegir la región geográfica </w:t>
      </w:r>
      <w:r w:rsidDel="00000000" w:rsidR="00000000" w:rsidRPr="00000000">
        <w:rPr>
          <w:b w:val="1"/>
          <w:bCs w:val="1"/>
          <w:sz w:val="20"/>
          <w:szCs w:val="20"/>
          <w:rtl w:val="0"/>
        </w:rPr>
        <w:t xml:space="preserve">North America</w:t>
      </w:r>
      <w:r w:rsidDel="00000000" w:rsidR="00000000" w:rsidRPr="00000000">
        <w:rPr>
          <w:sz w:val="20"/>
          <w:szCs w:val="20"/>
          <w:rtl w:val="0"/>
        </w:rPr>
        <w:t xml:space="preserve"> para garantizar latencias reducidas de conexión.</w:t>
      </w:r>
    </w:p>
    <w:p w:rsidR="00000000" w:rsidDel="00000000" w:rsidP="00000000" w:rsidRDefault="00000000" w:rsidRPr="00000000" w14:paraId="00000014">
      <w:pPr>
        <w:numPr>
          <w:ilvl w:val="1"/>
          <w:numId w:val="3"/>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sz w:val="20"/>
          <w:szCs w:val="20"/>
          <w:rtl w:val="0"/>
        </w:rPr>
        <w:t xml:space="preserve">Asignar un nombre identificativo al servicio (por ejemplo, rocketserv-db) y confirmar la creación.</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Registro de Credenciales de Conexión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Una vez desplegado el servicio, la plataforma genera los datos de acceso que deben ser registrados para la configuración del entorno de desarrollo:</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b w:val="1"/>
                <w:bCs w:val="1"/>
                <w:color w:val="2c5282"/>
                <w:sz w:val="18"/>
                <w:szCs w:val="18"/>
                <w:shd w:fill="auto" w:val="clear"/>
              </w:rPr>
            </w:pPr>
            <w:r w:rsidDel="00000000" w:rsidR="00000000" w:rsidRPr="00000000">
              <w:rPr>
                <w:b w:val="1"/>
                <w:bCs w:val="1"/>
                <w:color w:val="2c5282"/>
                <w:sz w:val="18"/>
                <w:szCs w:val="18"/>
                <w:shd w:fill="auto" w:val="clear"/>
                <w:rtl w:val="0"/>
              </w:rPr>
              <w:t xml:space="preserve">Parámetro</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b w:val="1"/>
                <w:bCs w:val="1"/>
                <w:color w:val="2c5282"/>
                <w:sz w:val="18"/>
                <w:szCs w:val="18"/>
                <w:shd w:fill="auto" w:val="clear"/>
              </w:rPr>
            </w:pPr>
            <w:r w:rsidDel="00000000" w:rsidR="00000000" w:rsidRPr="00000000">
              <w:rPr>
                <w:b w:val="1"/>
                <w:bCs w:val="1"/>
                <w:color w:val="2c5282"/>
                <w:sz w:val="18"/>
                <w:szCs w:val="18"/>
                <w:shd w:fill="auto" w:val="clear"/>
                <w:rtl w:val="0"/>
              </w:rPr>
              <w:t xml:space="preserve">Valor de Configuración</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b w:val="1"/>
                <w:bCs w:val="1"/>
                <w:color w:val="2c5282"/>
                <w:sz w:val="18"/>
                <w:szCs w:val="18"/>
                <w:shd w:fill="auto" w:val="clear"/>
              </w:rPr>
            </w:pPr>
            <w:r w:rsidDel="00000000" w:rsidR="00000000" w:rsidRPr="00000000">
              <w:rPr>
                <w:b w:val="1"/>
                <w:bCs w:val="1"/>
                <w:color w:val="2c5282"/>
                <w:sz w:val="18"/>
                <w:szCs w:val="18"/>
                <w:shd w:fill="auto" w:val="clear"/>
                <w:rtl w:val="0"/>
              </w:rPr>
              <w:t xml:space="preserve">Descripción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b w:val="1"/>
                <w:bCs w:val="1"/>
                <w:sz w:val="18"/>
                <w:szCs w:val="18"/>
              </w:rPr>
            </w:pPr>
            <w:r w:rsidDel="00000000" w:rsidR="00000000" w:rsidRPr="00000000">
              <w:rPr>
                <w:b w:val="1"/>
                <w:bCs w:val="1"/>
                <w:sz w:val="18"/>
                <w:szCs w:val="18"/>
                <w:rtl w:val="0"/>
              </w:rPr>
              <w:t xml:space="preserve">Host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rocketserv-db-bernaltorresjuancamilo-f29.k.aivencloud.com</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Servidor remoto de Aiven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b w:val="1"/>
                <w:bCs w:val="1"/>
                <w:sz w:val="18"/>
                <w:szCs w:val="18"/>
              </w:rPr>
            </w:pPr>
            <w:r w:rsidDel="00000000" w:rsidR="00000000" w:rsidRPr="00000000">
              <w:rPr>
                <w:b w:val="1"/>
                <w:bCs w:val="1"/>
                <w:sz w:val="18"/>
                <w:szCs w:val="18"/>
                <w:rtl w:val="0"/>
              </w:rPr>
              <w:t xml:space="preserve">Port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16149</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Puerto asignado para la conexión MySQL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b w:val="1"/>
                <w:bCs w:val="1"/>
                <w:sz w:val="18"/>
                <w:szCs w:val="18"/>
              </w:rPr>
            </w:pPr>
            <w:r w:rsidDel="00000000" w:rsidR="00000000" w:rsidRPr="00000000">
              <w:rPr>
                <w:b w:val="1"/>
                <w:bCs w:val="1"/>
                <w:sz w:val="18"/>
                <w:szCs w:val="18"/>
                <w:rtl w:val="0"/>
              </w:rPr>
              <w:t xml:space="preserve">User</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avnadmin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Usuario administrador de la instancia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b w:val="1"/>
                <w:bCs w:val="1"/>
                <w:sz w:val="18"/>
                <w:szCs w:val="18"/>
              </w:rPr>
            </w:pPr>
            <w:r w:rsidDel="00000000" w:rsidR="00000000" w:rsidRPr="00000000">
              <w:rPr>
                <w:b w:val="1"/>
                <w:bCs w:val="1"/>
                <w:sz w:val="18"/>
                <w:szCs w:val="18"/>
                <w:rtl w:val="0"/>
              </w:rPr>
              <w:t xml:space="preserve">Database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defaultdb</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Base de datos predeterminada asignada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b w:val="1"/>
                <w:bCs w:val="1"/>
                <w:sz w:val="18"/>
                <w:szCs w:val="18"/>
              </w:rPr>
            </w:pPr>
            <w:r w:rsidDel="00000000" w:rsidR="00000000" w:rsidRPr="00000000">
              <w:rPr>
                <w:b w:val="1"/>
                <w:bCs w:val="1"/>
                <w:sz w:val="18"/>
                <w:szCs w:val="18"/>
                <w:rtl w:val="0"/>
              </w:rPr>
              <w:t xml:space="preserve">SSL Mode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REQUIRED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Requisito obligatorio de cifrado SSL en Aiven</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Importación del Script SQL desde DBeaver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Dado que Aiven no cuenta con un editor gráfico ejecutable directo en consola para MySQL, la migración e importación de la estructura de tablas se realiza a través del cliente DBeaver:</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sz w:val="20"/>
          <w:szCs w:val="20"/>
          <w:rtl w:val="0"/>
        </w:rPr>
        <w:t xml:space="preserve">Creación de Conexión:</w:t>
      </w:r>
    </w:p>
    <w:p w:rsidR="00000000" w:rsidDel="00000000" w:rsidP="00000000" w:rsidRDefault="00000000" w:rsidRPr="00000000" w14:paraId="0000002D">
      <w:pPr>
        <w:numPr>
          <w:ilvl w:val="1"/>
          <w:numId w:val="5"/>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sz w:val="20"/>
          <w:szCs w:val="20"/>
          <w:rtl w:val="0"/>
        </w:rPr>
        <w:t xml:space="preserve">Abrir DBeaver y crear una nueva conexión de tipo </w:t>
      </w:r>
      <w:r w:rsidDel="00000000" w:rsidR="00000000" w:rsidRPr="00000000">
        <w:rPr>
          <w:b w:val="1"/>
          <w:bCs w:val="1"/>
          <w:sz w:val="20"/>
          <w:szCs w:val="20"/>
          <w:rtl w:val="0"/>
        </w:rPr>
        <w:t xml:space="preserve">MySQL</w:t>
      </w:r>
      <w:r w:rsidDel="00000000" w:rsidR="00000000" w:rsidRPr="00000000">
        <w:rPr>
          <w:sz w:val="20"/>
          <w:szCs w:val="20"/>
          <w:rtl w:val="0"/>
        </w:rPr>
        <w:t xml:space="preserve">.</w:t>
      </w:r>
    </w:p>
    <w:p w:rsidR="00000000" w:rsidDel="00000000" w:rsidP="00000000" w:rsidRDefault="00000000" w:rsidRPr="00000000" w14:paraId="0000002E">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sz w:val="20"/>
          <w:szCs w:val="20"/>
          <w:rtl w:val="0"/>
        </w:rPr>
        <w:t xml:space="preserve">Ingresar los parámetros correspondientes de </w:t>
      </w:r>
      <w:r w:rsidDel="00000000" w:rsidR="00000000" w:rsidRPr="00000000">
        <w:rPr>
          <w:i w:val="1"/>
          <w:iCs w:val="1"/>
          <w:sz w:val="20"/>
          <w:szCs w:val="20"/>
          <w:rtl w:val="0"/>
        </w:rPr>
        <w:t xml:space="preserve">Host</w:t>
      </w:r>
      <w:r w:rsidDel="00000000" w:rsidR="00000000" w:rsidRPr="00000000">
        <w:rPr>
          <w:sz w:val="20"/>
          <w:szCs w:val="20"/>
          <w:rtl w:val="0"/>
        </w:rPr>
        <w:t xml:space="preserve">, </w:t>
      </w:r>
      <w:r w:rsidDel="00000000" w:rsidR="00000000" w:rsidRPr="00000000">
        <w:rPr>
          <w:i w:val="1"/>
          <w:iCs w:val="1"/>
          <w:sz w:val="20"/>
          <w:szCs w:val="20"/>
          <w:rtl w:val="0"/>
        </w:rPr>
        <w:t xml:space="preserve">Port</w:t>
      </w:r>
      <w:r w:rsidDel="00000000" w:rsidR="00000000" w:rsidRPr="00000000">
        <w:rPr>
          <w:sz w:val="20"/>
          <w:szCs w:val="20"/>
          <w:rtl w:val="0"/>
        </w:rPr>
        <w:t xml:space="preserve">, </w:t>
      </w:r>
      <w:r w:rsidDel="00000000" w:rsidR="00000000" w:rsidRPr="00000000">
        <w:rPr>
          <w:i w:val="1"/>
          <w:iCs w:val="1"/>
          <w:sz w:val="20"/>
          <w:szCs w:val="20"/>
          <w:rtl w:val="0"/>
        </w:rPr>
        <w:t xml:space="preserve">Database</w:t>
      </w:r>
      <w:r w:rsidDel="00000000" w:rsidR="00000000" w:rsidRPr="00000000">
        <w:rPr>
          <w:sz w:val="20"/>
          <w:szCs w:val="20"/>
          <w:rtl w:val="0"/>
        </w:rPr>
        <w:t xml:space="preserve">, </w:t>
      </w:r>
      <w:r w:rsidDel="00000000" w:rsidR="00000000" w:rsidRPr="00000000">
        <w:rPr>
          <w:i w:val="1"/>
          <w:iCs w:val="1"/>
          <w:sz w:val="20"/>
          <w:szCs w:val="20"/>
          <w:rtl w:val="0"/>
        </w:rPr>
        <w:t xml:space="preserve">User</w:t>
      </w:r>
      <w:r w:rsidDel="00000000" w:rsidR="00000000" w:rsidRPr="00000000">
        <w:rPr>
          <w:sz w:val="20"/>
          <w:szCs w:val="20"/>
          <w:rtl w:val="0"/>
        </w:rPr>
        <w:t xml:space="preserve"> y </w:t>
      </w:r>
      <w:r w:rsidDel="00000000" w:rsidR="00000000" w:rsidRPr="00000000">
        <w:rPr>
          <w:i w:val="1"/>
          <w:iCs w:val="1"/>
          <w:sz w:val="20"/>
          <w:szCs w:val="20"/>
          <w:rtl w:val="0"/>
        </w:rPr>
        <w:t xml:space="preserve">Password</w:t>
      </w:r>
      <w:r w:rsidDel="00000000" w:rsidR="00000000" w:rsidRPr="00000000">
        <w:rPr>
          <w:sz w:val="20"/>
          <w:szCs w:val="20"/>
          <w:rtl w:val="0"/>
        </w:rPr>
        <w:t xml:space="preserve"> proporcionados por Aiven.</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sz w:val="20"/>
          <w:szCs w:val="20"/>
          <w:rtl w:val="0"/>
        </w:rPr>
        <w:t xml:space="preserve">Ajustes de Driver y Seguridad (SSL):</w:t>
      </w:r>
    </w:p>
    <w:p w:rsidR="00000000" w:rsidDel="00000000" w:rsidP="00000000" w:rsidRDefault="00000000" w:rsidRPr="00000000" w14:paraId="00000030">
      <w:pPr>
        <w:numPr>
          <w:ilvl w:val="1"/>
          <w:numId w:val="6"/>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sz w:val="20"/>
          <w:szCs w:val="20"/>
          <w:rtl w:val="0"/>
        </w:rPr>
        <w:t xml:space="preserve">En la pestaña </w:t>
      </w:r>
      <w:r w:rsidDel="00000000" w:rsidR="00000000" w:rsidRPr="00000000">
        <w:rPr>
          <w:b w:val="1"/>
          <w:bCs w:val="1"/>
          <w:sz w:val="20"/>
          <w:szCs w:val="20"/>
          <w:rtl w:val="0"/>
        </w:rPr>
        <w:t xml:space="preserve">Driver properties</w:t>
      </w:r>
      <w:r w:rsidDel="00000000" w:rsidR="00000000" w:rsidRPr="00000000">
        <w:rPr>
          <w:sz w:val="20"/>
          <w:szCs w:val="20"/>
          <w:rtl w:val="0"/>
        </w:rPr>
        <w:t xml:space="preserve">, establecer la propiedad allowPublicKeyRetrieval en true.</w:t>
      </w:r>
    </w:p>
    <w:p w:rsidR="00000000" w:rsidDel="00000000" w:rsidP="00000000" w:rsidRDefault="00000000" w:rsidRPr="00000000" w14:paraId="00000031">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sz w:val="20"/>
          <w:szCs w:val="20"/>
          <w:rtl w:val="0"/>
        </w:rPr>
        <w:t xml:space="preserve">En la pestaña </w:t>
      </w:r>
      <w:r w:rsidDel="00000000" w:rsidR="00000000" w:rsidRPr="00000000">
        <w:rPr>
          <w:b w:val="1"/>
          <w:bCs w:val="1"/>
          <w:sz w:val="20"/>
          <w:szCs w:val="20"/>
          <w:rtl w:val="0"/>
        </w:rPr>
        <w:t xml:space="preserve">SSL</w:t>
      </w:r>
      <w:r w:rsidDel="00000000" w:rsidR="00000000" w:rsidRPr="00000000">
        <w:rPr>
          <w:sz w:val="20"/>
          <w:szCs w:val="20"/>
          <w:rtl w:val="0"/>
        </w:rPr>
        <w:t xml:space="preserve">, marcar la casilla </w:t>
      </w:r>
      <w:r w:rsidDel="00000000" w:rsidR="00000000" w:rsidRPr="00000000">
        <w:rPr>
          <w:i w:val="1"/>
          <w:iCs w:val="1"/>
          <w:sz w:val="20"/>
          <w:szCs w:val="20"/>
          <w:rtl w:val="0"/>
        </w:rPr>
        <w:t xml:space="preserve">Use SSL</w:t>
      </w:r>
      <w:r w:rsidDel="00000000" w:rsidR="00000000" w:rsidRPr="00000000">
        <w:rPr>
          <w:sz w:val="20"/>
          <w:szCs w:val="20"/>
          <w:rtl w:val="0"/>
        </w:rPr>
        <w:t xml:space="preserve"> o establecer trustServerCertificate en true.</w:t>
      </w:r>
    </w:p>
    <w:p w:rsidR="00000000" w:rsidDel="00000000" w:rsidP="00000000" w:rsidRDefault="00000000" w:rsidRPr="00000000" w14:paraId="00000032">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sz w:val="20"/>
          <w:szCs w:val="20"/>
          <w:rtl w:val="0"/>
        </w:rPr>
        <w:t xml:space="preserve">Probar la conexión mediante el botón </w:t>
      </w:r>
      <w:r w:rsidDel="00000000" w:rsidR="00000000" w:rsidRPr="00000000">
        <w:rPr>
          <w:b w:val="1"/>
          <w:bCs w:val="1"/>
          <w:sz w:val="20"/>
          <w:szCs w:val="20"/>
          <w:rtl w:val="0"/>
        </w:rPr>
        <w:t xml:space="preserve">Test Connection</w:t>
      </w:r>
      <w:r w:rsidDel="00000000" w:rsidR="00000000" w:rsidRPr="00000000">
        <w:rPr>
          <w:sz w:val="20"/>
          <w:szCs w:val="20"/>
          <w:rtl w:val="0"/>
        </w:rPr>
        <w:t xml:space="preserve"> y guardar la configuración.</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sz w:val="20"/>
          <w:szCs w:val="20"/>
          <w:rtl w:val="0"/>
        </w:rPr>
        <w:t xml:space="preserve">Ejecución del Script DDL/DML:</w:t>
      </w:r>
    </w:p>
    <w:p w:rsidR="00000000" w:rsidDel="00000000" w:rsidP="00000000" w:rsidRDefault="00000000" w:rsidRPr="00000000" w14:paraId="00000034">
      <w:pPr>
        <w:numPr>
          <w:ilvl w:val="1"/>
          <w:numId w:val="7"/>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sz w:val="20"/>
          <w:szCs w:val="20"/>
          <w:rtl w:val="0"/>
        </w:rPr>
        <w:t xml:space="preserve">Desplegar la base de datos defaultdb en DBeaver.</w:t>
      </w:r>
    </w:p>
    <w:p w:rsidR="00000000" w:rsidDel="00000000" w:rsidP="00000000" w:rsidRDefault="00000000" w:rsidRPr="00000000" w14:paraId="00000035">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sz w:val="20"/>
          <w:szCs w:val="20"/>
          <w:rtl w:val="0"/>
        </w:rPr>
        <w:t xml:space="preserve">Hacer clic derecho sobre la base de datos, ir a </w:t>
      </w:r>
      <w:r w:rsidDel="00000000" w:rsidR="00000000" w:rsidRPr="00000000">
        <w:rPr>
          <w:b w:val="1"/>
          <w:bCs w:val="1"/>
          <w:sz w:val="20"/>
          <w:szCs w:val="20"/>
          <w:rtl w:val="0"/>
        </w:rPr>
        <w:t xml:space="preserve">Tools</w:t>
      </w:r>
      <w:r w:rsidDel="00000000" w:rsidR="00000000" w:rsidRPr="00000000">
        <w:rPr>
          <w:sz w:val="20"/>
          <w:szCs w:val="20"/>
          <w:rtl w:val="0"/>
        </w:rPr>
        <w:t xml:space="preserve"> &gt; </w:t>
      </w:r>
      <w:r w:rsidDel="00000000" w:rsidR="00000000" w:rsidRPr="00000000">
        <w:rPr>
          <w:b w:val="1"/>
          <w:bCs w:val="1"/>
          <w:sz w:val="20"/>
          <w:szCs w:val="20"/>
          <w:rtl w:val="0"/>
        </w:rPr>
        <w:t xml:space="preserve">Execute script</w:t>
      </w:r>
      <w:r w:rsidDel="00000000" w:rsidR="00000000" w:rsidRPr="00000000">
        <w:rPr>
          <w:sz w:val="20"/>
          <w:szCs w:val="20"/>
          <w:rtl w:val="0"/>
        </w:rPr>
        <w:t xml:space="preserve"> (o abrir un editor SQL con Ctrl + F3).</w:t>
      </w:r>
    </w:p>
    <w:p w:rsidR="00000000" w:rsidDel="00000000" w:rsidP="00000000" w:rsidRDefault="00000000" w:rsidRPr="00000000" w14:paraId="00000036">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sz w:val="20"/>
          <w:szCs w:val="20"/>
          <w:rtl w:val="0"/>
        </w:rPr>
        <w:t xml:space="preserve">Cargar o pegar el contenido del archivo .sql que contiene la estructura completa del modelo relacional.</w:t>
      </w:r>
    </w:p>
    <w:p w:rsidR="00000000" w:rsidDel="00000000" w:rsidP="00000000" w:rsidRDefault="00000000" w:rsidRPr="00000000" w14:paraId="00000037">
      <w:pPr>
        <w:numPr>
          <w:ilvl w:val="1"/>
          <w:numId w:val="7"/>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sz w:val="20"/>
          <w:szCs w:val="20"/>
          <w:rtl w:val="0"/>
        </w:rPr>
        <w:t xml:space="preserve">Ejecutar el script (Alt + X) para crear todas las tablas en la base de datos remota.</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tl w:val="0"/>
        </w:rPr>
        <w:t xml:space="preserve">5. Integración con Prisma ORM e Introspección de Base de Datos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Configuración de Variables de Entorno</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En el archivo .env ubicado en la raíz del proyecto backend, se define la cadena de conexión de Prisma incorporando los parámetros obligatorios de seguridad SSL: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60" w:before="150" w:lineRule="auto"/>
        <w:ind w:left="150" w:right="150" w:firstLine="0"/>
        <w:rPr>
          <w:rFonts w:ascii="Arial" w:cs="Arial" w:eastAsia="Arial" w:hAnsi="Arial"/>
          <w:color w:val="2d3748"/>
          <w:sz w:val="18"/>
          <w:szCs w:val="18"/>
          <w:shd w:fill="f7fafc" w:val="clear"/>
        </w:rPr>
      </w:pPr>
      <w:r w:rsidDel="00000000" w:rsidR="00000000" w:rsidRPr="00000000">
        <w:rPr>
          <w:rFonts w:ascii="Arial" w:cs="Arial" w:eastAsia="Arial" w:hAnsi="Arial"/>
          <w:color w:val="2d3748"/>
          <w:sz w:val="18"/>
          <w:szCs w:val="18"/>
          <w:shd w:fill="f7fafc" w:val="clear"/>
          <w:rtl w:val="0"/>
        </w:rPr>
        <w:t xml:space="preserve">DATABASE_URL="mysql://avnadmin:TU_CONTRASEÑA@rocketserv-db-bernaltorresjuancamilo-f29.k.aivencloud.com:16149/defaultdb?ssl-mode=REQUIRED"</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Definición del Data Source en Prisma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Verificar que el archivo prisma/schema.prisma esté configurado para utilizar el proveedor MySQL y la variable de entorno: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60" w:before="150" w:lineRule="auto"/>
        <w:ind w:left="150" w:right="150" w:firstLine="0"/>
        <w:rPr>
          <w:rFonts w:ascii="Arial" w:cs="Arial" w:eastAsia="Arial" w:hAnsi="Arial"/>
          <w:color w:val="2d3748"/>
          <w:sz w:val="18"/>
          <w:szCs w:val="18"/>
          <w:shd w:fill="f7fafc" w:val="clear"/>
        </w:rPr>
      </w:pPr>
      <w:r w:rsidDel="00000000" w:rsidR="00000000" w:rsidRPr="00000000">
        <w:rPr>
          <w:rFonts w:ascii="Arial" w:cs="Arial" w:eastAsia="Arial" w:hAnsi="Arial"/>
          <w:color w:val="2d3748"/>
          <w:sz w:val="18"/>
          <w:szCs w:val="18"/>
          <w:shd w:fill="f7fafc" w:val="clear"/>
          <w:rtl w:val="0"/>
        </w:rPr>
        <w:t xml:space="preserve">datasource db {</w:t>
        <w:br w:type="textWrapping"/>
        <w:t xml:space="preserve">  provider = "mysql"</w:t>
        <w:br w:type="textWrapping"/>
        <w:t xml:space="preserve">  url      = env("DATABASE_URL")</w:t>
        <w:br w:type="textWrapping"/>
        <w:t xml:space="preserve">}</w:t>
        <w:br w:type="textWrapping"/>
        <w:br w:type="textWrapping"/>
        <w:t xml:space="preserve">generator client {</w:t>
        <w:br w:type="textWrapping"/>
        <w:t xml:space="preserve">  provider = "prisma-client-js"</w:t>
        <w:br w:type="textWrapping"/>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Introspección y Generación del Cliente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Desde la terminal del proyecto backend, ejecutar los siguientes comandos para sincronizar la estructura de datos remota con el código fuente:</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sz w:val="20"/>
          <w:szCs w:val="20"/>
          <w:rtl w:val="0"/>
        </w:rPr>
        <w:t xml:space="preserve">Introspección del Esquema: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2d3748"/>
          <w:sz w:val="18"/>
          <w:szCs w:val="18"/>
          <w:shd w:fill="f7fafc" w:val="clear"/>
          <w:rtl w:val="0"/>
        </w:rPr>
        <w:t xml:space="preserve">npx prisma db pull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sz w:val="20"/>
          <w:szCs w:val="20"/>
          <w:rtl w:val="0"/>
        </w:rPr>
        <w:t xml:space="preserve">Este comando analiza la estructura física de las tablas creadas en Aiven y genera automáticamente los modelos correspondientes dentro del archivo prisma/schema.prisma.</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b w:val="1"/>
          <w:bCs w:val="1"/>
          <w:sz w:val="20"/>
          <w:szCs w:val="20"/>
          <w:rtl w:val="0"/>
        </w:rPr>
        <w:t xml:space="preserve">Generación del Cliente de Prisma: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2d3748"/>
          <w:sz w:val="18"/>
          <w:szCs w:val="18"/>
          <w:shd w:fill="f7fafc" w:val="clear"/>
          <w:rtl w:val="0"/>
        </w:rPr>
        <w:t xml:space="preserve">npx prisma generate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sz w:val="20"/>
          <w:szCs w:val="20"/>
          <w:rtl w:val="0"/>
        </w:rPr>
        <w:t xml:space="preserve">Actualiza el cliente JavaScript/TypeScript de Prisma para permitir consultas tipadas hacia la base de datos de Aiven.</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Conclusiones y Estado Final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Tras culminar el proceso, la base de datos MySQL se encuentra plenamente desplegada en la nube de Aiven con acceso restringido bajo cifrado SSL. El esquema relacional importado a través de DBeaver se encuentra sincronizado con el cliente de Prisma ORM, dejando el entorno backend totalmente preparado para ejecutar operaciones CRUD e integrarse con la aplicación.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30" w:lineRule="auto"/>
    </w:pPr>
    <w:rPr>
      <w:b w:val="1"/>
      <w:bCs w:val="1"/>
      <w:i w:val="0"/>
      <w:iCs w:val="0"/>
      <w:color w:val="1a365d"/>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50" w:before="330" w:lineRule="auto"/>
      <w:ind w:left="120" w:firstLine="0"/>
    </w:pPr>
    <w:rPr>
      <w:b w:val="1"/>
      <w:bCs w:val="1"/>
      <w:i w:val="0"/>
      <w:iCs w:val="0"/>
      <w:color w:val="2b6cb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90" w:before="210" w:lineRule="auto"/>
    </w:pPr>
    <w:rPr>
      <w:b w:val="1"/>
      <w:bCs w:val="1"/>
      <w:i w:val="0"/>
      <w:iCs w:val="0"/>
      <w:color w:val="2d3748"/>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