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Wall-X VisPruner 高分辨率 300 样本中期实验报告</w:t>
      </w:r>
    </w:p>
    <w:p>
      <w:pPr>
        <w:jc w:val="center"/>
      </w:pPr>
      <w:r>
        <w:t>报告文件名：mid_exam_300_1；数据集：LeRobot / libero_all；对比：original vs predictor_early</w:t>
      </w:r>
    </w:p>
    <w:p>
      <w:pPr>
        <w:pStyle w:val="Heading1"/>
      </w:pPr>
      <w:r>
        <w:t>1. 实验设置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</w:tcPr>
          <w:p>
            <w:r>
              <w:t>样本数</w:t>
            </w:r>
          </w:p>
        </w:tc>
        <w:tc>
          <w:tcPr>
            <w:tcW w:type="dxa" w:w="4320"/>
            <w:vAlign w:val="center"/>
          </w:tcPr>
          <w:p>
            <w:r>
              <w:t>300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数据集</w:t>
            </w:r>
          </w:p>
        </w:tc>
        <w:tc>
          <w:tcPr>
            <w:tcW w:type="dxa" w:w="4320"/>
            <w:vAlign w:val="center"/>
          </w:tcPr>
          <w:p>
            <w:r>
              <w:t>/root/autodl-tmp/wall_x/datasheet/libero_all / repo_id=libero_all</w:t>
            </w:r>
          </w:p>
        </w:tc>
      </w:tr>
      <w:tr>
        <w:tc>
          <w:tcPr>
            <w:tcW w:type="dxa" w:w="4320"/>
            <w:vAlign w:val="center"/>
          </w:tcPr>
          <w:p>
            <w:r>
              <w:t>图像字段</w:t>
            </w:r>
          </w:p>
        </w:tc>
        <w:tc>
          <w:tcPr>
            <w:tcW w:type="dxa" w:w="4320"/>
            <w:vAlign w:val="center"/>
          </w:tcPr>
          <w:p>
            <w:r>
              <w:t>observation.images.faceImg</w:t>
            </w:r>
          </w:p>
        </w:tc>
      </w:tr>
      <w:tr>
        <w:tc>
          <w:tcPr>
            <w:tcW w:type="dxa" w:w="4320"/>
            <w:vAlign w:val="center"/>
          </w:tcPr>
          <w:p>
            <w:r>
              <w:t>高分辨率设置</w:t>
            </w:r>
          </w:p>
        </w:tc>
        <w:tc>
          <w:tcPr>
            <w:tcW w:type="dxa" w:w="4320"/>
            <w:vAlign w:val="center"/>
          </w:tcPr>
          <w:p>
            <w:r>
              <w:t>image_min_pixels=254016, image_max_pixels=None</w:t>
            </w:r>
          </w:p>
        </w:tc>
      </w:tr>
      <w:tr>
        <w:tc>
          <w:tcPr>
            <w:tcW w:type="dxa" w:w="4320"/>
            <w:vAlign w:val="center"/>
          </w:tcPr>
          <w:p>
            <w:r>
              <w:t>原始版本</w:t>
            </w:r>
          </w:p>
        </w:tc>
        <w:tc>
          <w:tcPr>
            <w:tcW w:type="dxa" w:w="4320"/>
            <w:vAlign w:val="center"/>
          </w:tcPr>
          <w:p>
            <w:r>
              <w:t>vispruner_enable=False，完整保留视觉 token</w:t>
            </w:r>
          </w:p>
        </w:tc>
      </w:tr>
      <w:tr>
        <w:tc>
          <w:tcPr>
            <w:tcW w:type="dxa" w:w="4320"/>
            <w:vAlign w:val="center"/>
          </w:tcPr>
          <w:p>
            <w:r>
              <w:t>剪枝版本</w:t>
            </w:r>
          </w:p>
        </w:tc>
        <w:tc>
          <w:tcPr>
            <w:tcW w:type="dxa" w:w="4320"/>
            <w:vAlign w:val="center"/>
          </w:tcPr>
          <w:p>
            <w:r>
              <w:t>strategy=predictor_early，keep_ratio=0.5，predictor_source=early_hidden，early_layer=8</w:t>
            </w:r>
          </w:p>
        </w:tc>
      </w:tr>
      <w:tr>
        <w:tc>
          <w:tcPr>
            <w:tcW w:type="dxa" w:w="4320"/>
            <w:vAlign w:val="center"/>
          </w:tcPr>
          <w:p>
            <w:r>
              <w:t>scorer checkpoint</w:t>
            </w:r>
          </w:p>
        </w:tc>
        <w:tc>
          <w:tcPr>
            <w:tcW w:type="dxa" w:w="4320"/>
            <w:vAlign w:val="center"/>
          </w:tcPr>
          <w:p>
            <w:r>
              <w:t>/root/autodl-tmp/wall_x/workspace/vispruner_teacher_scores/token_score_predictor_30000_early_l8.pt</w:t>
            </w:r>
          </w:p>
        </w:tc>
      </w:tr>
    </w:tbl>
    <w:p>
      <w:pPr>
        <w:pStyle w:val="Heading1"/>
      </w:pPr>
      <w:r>
        <w:t>2. 核心结论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原始版本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predictor_early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变化</w:t>
            </w:r>
          </w:p>
        </w:tc>
      </w:tr>
      <w:tr>
        <w:tc>
          <w:tcPr>
            <w:tcW w:type="dxa" w:w="2160"/>
            <w:vAlign w:val="center"/>
          </w:tcPr>
          <w:p>
            <w:r>
              <w:t>视觉 token 数</w:t>
            </w:r>
          </w:p>
        </w:tc>
        <w:tc>
          <w:tcPr>
            <w:tcW w:type="dxa" w:w="2160"/>
            <w:vAlign w:val="center"/>
          </w:tcPr>
          <w:p>
            <w:r>
              <w:t>324</w:t>
            </w:r>
          </w:p>
        </w:tc>
        <w:tc>
          <w:tcPr>
            <w:tcW w:type="dxa" w:w="2160"/>
            <w:vAlign w:val="center"/>
          </w:tcPr>
          <w:p>
            <w:r>
              <w:t>162</w:t>
            </w:r>
          </w:p>
        </w:tc>
        <w:tc>
          <w:tcPr>
            <w:tcW w:type="dxa" w:w="2160"/>
            <w:vAlign w:val="center"/>
          </w:tcPr>
          <w:p>
            <w:r>
              <w:t>-162 (-50.00%)</w:t>
            </w:r>
          </w:p>
        </w:tc>
      </w:tr>
      <w:tr>
        <w:tc>
          <w:tcPr>
            <w:tcW w:type="dxa" w:w="2160"/>
            <w:vAlign w:val="center"/>
          </w:tcPr>
          <w:p>
            <w:r>
              <w:t>前半部分 token 处理链路总耗时</w:t>
            </w:r>
          </w:p>
        </w:tc>
        <w:tc>
          <w:tcPr>
            <w:tcW w:type="dxa" w:w="2160"/>
            <w:vAlign w:val="center"/>
          </w:tcPr>
          <w:p>
            <w:r>
              <w:t>132.071 ms</w:t>
            </w:r>
          </w:p>
        </w:tc>
        <w:tc>
          <w:tcPr>
            <w:tcW w:type="dxa" w:w="2160"/>
            <w:vAlign w:val="center"/>
          </w:tcPr>
          <w:p>
            <w:r>
              <w:t>98.886 ms</w:t>
            </w:r>
          </w:p>
        </w:tc>
        <w:tc>
          <w:tcPr>
            <w:tcW w:type="dxa" w:w="2160"/>
            <w:vAlign w:val="center"/>
          </w:tcPr>
          <w:p>
            <w:r>
              <w:t>-33.186 ms (-25.13%)</w:t>
            </w:r>
          </w:p>
        </w:tc>
      </w:tr>
      <w:tr>
        <w:tc>
          <w:tcPr>
            <w:tcW w:type="dxa" w:w="2160"/>
            <w:vAlign w:val="center"/>
          </w:tcPr>
          <w:p>
            <w:r>
              <w:t>动作 MAE</w:t>
            </w:r>
          </w:p>
        </w:tc>
        <w:tc>
          <w:tcPr>
            <w:tcW w:type="dxa" w:w="2160"/>
            <w:vAlign w:val="center"/>
          </w:tcPr>
          <w:p>
            <w:r>
              <w:t>-</w:t>
            </w:r>
          </w:p>
        </w:tc>
        <w:tc>
          <w:tcPr>
            <w:tcW w:type="dxa" w:w="2160"/>
            <w:vAlign w:val="center"/>
          </w:tcPr>
          <w:p>
            <w:r>
              <w:t>0.025359</w:t>
            </w:r>
          </w:p>
        </w:tc>
        <w:tc>
          <w:tcPr>
            <w:tcW w:type="dxa" w:w="2160"/>
            <w:vAlign w:val="center"/>
          </w:tcPr>
          <w:p>
            <w:r>
              <w:t>越低越接近原始动作输出</w:t>
            </w:r>
          </w:p>
        </w:tc>
      </w:tr>
      <w:tr>
        <w:tc>
          <w:tcPr>
            <w:tcW w:type="dxa" w:w="2160"/>
            <w:vAlign w:val="center"/>
          </w:tcPr>
          <w:p>
            <w:r>
              <w:t>动作 cosine similarity</w:t>
            </w:r>
          </w:p>
        </w:tc>
        <w:tc>
          <w:tcPr>
            <w:tcW w:type="dxa" w:w="2160"/>
            <w:vAlign w:val="center"/>
          </w:tcPr>
          <w:p>
            <w:r>
              <w:t>-</w:t>
            </w:r>
          </w:p>
        </w:tc>
        <w:tc>
          <w:tcPr>
            <w:tcW w:type="dxa" w:w="2160"/>
            <w:vAlign w:val="center"/>
          </w:tcPr>
          <w:p>
            <w:r>
              <w:t>0.999958</w:t>
            </w:r>
          </w:p>
        </w:tc>
        <w:tc>
          <w:tcPr>
            <w:tcW w:type="dxa" w:w="2160"/>
            <w:vAlign w:val="center"/>
          </w:tcPr>
          <w:p>
            <w:r>
              <w:t>越接近 1 越好</w:t>
            </w:r>
          </w:p>
        </w:tc>
      </w:tr>
    </w:tbl>
    <w:p>
      <w:r>
        <w:t>本轮高分辨率 LeRobot 300 样本中，predictor_early 将视觉 token 从 324 减少到 162，前半链路 front_chain_total_time 从 132.071 ms 降到 98.886 ms，减少 33.186 ms，降幅 25.13%。主要收益来自 s02_vision_encode_or_prune，也就是在 vision tower 中途剪掉 token 后，后半段视觉编码计算减少。</w:t>
      </w:r>
    </w:p>
    <w:p>
      <w:pPr>
        <w:pStyle w:val="Heading1"/>
      </w:pPr>
      <w:r>
        <w:t>3. 13 段首尾相接时间戳对比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</w:tcPr>
          <w:p>
            <w:r>
              <w:rPr>
                <w:b/>
              </w:rPr>
              <w:t>顺序</w:t>
            </w:r>
          </w:p>
        </w:tc>
        <w:tc>
          <w:tcPr>
            <w:tcW w:type="dxa" w:w="1234"/>
            <w:vAlign w:val="center"/>
          </w:tcPr>
          <w:p>
            <w:r>
              <w:rPr>
                <w:b/>
              </w:rPr>
              <w:t>时间戳</w:t>
            </w:r>
          </w:p>
        </w:tc>
        <w:tc>
          <w:tcPr>
            <w:tcW w:type="dxa" w:w="1234"/>
            <w:vAlign w:val="center"/>
          </w:tcPr>
          <w:p>
            <w:r>
              <w:rPr>
                <w:b/>
              </w:rPr>
              <w:t>原始 ms</w:t>
            </w:r>
          </w:p>
        </w:tc>
        <w:tc>
          <w:tcPr>
            <w:tcW w:type="dxa" w:w="1234"/>
            <w:vAlign w:val="center"/>
          </w:tcPr>
          <w:p>
            <w:r>
              <w:rPr>
                <w:b/>
              </w:rPr>
              <w:t>剪枝 ms</w:t>
            </w:r>
          </w:p>
        </w:tc>
        <w:tc>
          <w:tcPr>
            <w:tcW w:type="dxa" w:w="1234"/>
            <w:vAlign w:val="center"/>
          </w:tcPr>
          <w:p>
            <w:r>
              <w:rPr>
                <w:b/>
              </w:rPr>
              <w:t>变化 ms</w:t>
            </w:r>
          </w:p>
        </w:tc>
        <w:tc>
          <w:tcPr>
            <w:tcW w:type="dxa" w:w="1234"/>
            <w:vAlign w:val="center"/>
          </w:tcPr>
          <w:p>
            <w:r>
              <w:rPr>
                <w:b/>
              </w:rPr>
              <w:t>变化比例</w:t>
            </w:r>
          </w:p>
        </w:tc>
        <w:tc>
          <w:tcPr>
            <w:tcW w:type="dxa" w:w="1234"/>
            <w:vAlign w:val="center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1234"/>
            <w:vAlign w:val="center"/>
          </w:tcPr>
          <w:p>
            <w:r>
              <w:t>1</w:t>
            </w:r>
          </w:p>
        </w:tc>
        <w:tc>
          <w:tcPr>
            <w:tcW w:type="dxa" w:w="1234"/>
            <w:vAlign w:val="center"/>
          </w:tcPr>
          <w:p>
            <w:r>
              <w:t>s01_image_cast</w:t>
            </w:r>
          </w:p>
        </w:tc>
        <w:tc>
          <w:tcPr>
            <w:tcW w:type="dxa" w:w="1234"/>
            <w:vAlign w:val="center"/>
          </w:tcPr>
          <w:p>
            <w:r>
              <w:t>0.046</w:t>
            </w:r>
          </w:p>
        </w:tc>
        <w:tc>
          <w:tcPr>
            <w:tcW w:type="dxa" w:w="1234"/>
            <w:vAlign w:val="center"/>
          </w:tcPr>
          <w:p>
            <w:r>
              <w:t>0.046</w:t>
            </w:r>
          </w:p>
        </w:tc>
        <w:tc>
          <w:tcPr>
            <w:tcW w:type="dxa" w:w="1234"/>
            <w:vAlign w:val="center"/>
          </w:tcPr>
          <w:p>
            <w:r>
              <w:t>0.000</w:t>
            </w:r>
          </w:p>
        </w:tc>
        <w:tc>
          <w:tcPr>
            <w:tcW w:type="dxa" w:w="1234"/>
            <w:vAlign w:val="center"/>
          </w:tcPr>
          <w:p>
            <w:r>
              <w:t>+0.39%</w:t>
            </w:r>
          </w:p>
        </w:tc>
        <w:tc>
          <w:tcPr>
            <w:tcW w:type="dxa" w:w="1234"/>
            <w:vAlign w:val="center"/>
          </w:tcPr>
          <w:p>
            <w:r>
              <w:t>图像 dtype 转换：把 pixel_values 转成 vision tower 使用的数据类型。</w:t>
            </w:r>
          </w:p>
        </w:tc>
      </w:tr>
      <w:tr>
        <w:tc>
          <w:tcPr>
            <w:tcW w:type="dxa" w:w="1234"/>
            <w:vAlign w:val="center"/>
          </w:tcPr>
          <w:p>
            <w:r>
              <w:t>2</w:t>
            </w:r>
          </w:p>
        </w:tc>
        <w:tc>
          <w:tcPr>
            <w:tcW w:type="dxa" w:w="1234"/>
            <w:vAlign w:val="center"/>
          </w:tcPr>
          <w:p>
            <w:r>
              <w:t>s02_vision_encode_or_prune</w:t>
            </w:r>
          </w:p>
        </w:tc>
        <w:tc>
          <w:tcPr>
            <w:tcW w:type="dxa" w:w="1234"/>
            <w:vAlign w:val="center"/>
          </w:tcPr>
          <w:p>
            <w:r>
              <w:t>98.171</w:t>
            </w:r>
          </w:p>
        </w:tc>
        <w:tc>
          <w:tcPr>
            <w:tcW w:type="dxa" w:w="1234"/>
            <w:vAlign w:val="center"/>
          </w:tcPr>
          <w:p>
            <w:r>
              <w:t>64.365</w:t>
            </w:r>
          </w:p>
        </w:tc>
        <w:tc>
          <w:tcPr>
            <w:tcW w:type="dxa" w:w="1234"/>
            <w:vAlign w:val="center"/>
          </w:tcPr>
          <w:p>
            <w:r>
              <w:t>-33.807</w:t>
            </w:r>
          </w:p>
        </w:tc>
        <w:tc>
          <w:tcPr>
            <w:tcW w:type="dxa" w:w="1234"/>
            <w:vAlign w:val="center"/>
          </w:tcPr>
          <w:p>
            <w:r>
              <w:t>-34.44%</w:t>
            </w:r>
          </w:p>
        </w:tc>
        <w:tc>
          <w:tcPr>
            <w:tcW w:type="dxa" w:w="1234"/>
            <w:vAlign w:val="center"/>
          </w:tcPr>
          <w:p>
            <w:r>
              <w:t>视觉编码/early pruning 主路径：原始版完整视觉编码；predictor_early 在第 8 层附近根据轻量 scorer 剪掉一半 token，再继续后续视觉编码。</w:t>
            </w:r>
          </w:p>
        </w:tc>
      </w:tr>
      <w:tr>
        <w:tc>
          <w:tcPr>
            <w:tcW w:type="dxa" w:w="1234"/>
            <w:vAlign w:val="center"/>
          </w:tcPr>
          <w:p>
            <w:r>
              <w:t>3</w:t>
            </w:r>
          </w:p>
        </w:tc>
        <w:tc>
          <w:tcPr>
            <w:tcW w:type="dxa" w:w="1234"/>
            <w:vAlign w:val="center"/>
          </w:tcPr>
          <w:p>
            <w:r>
              <w:t>s03_pruning_position_prepare</w:t>
            </w:r>
          </w:p>
        </w:tc>
        <w:tc>
          <w:tcPr>
            <w:tcW w:type="dxa" w:w="1234"/>
            <w:vAlign w:val="center"/>
          </w:tcPr>
          <w:p>
            <w:r>
              <w:t>0.000</w:t>
            </w:r>
          </w:p>
        </w:tc>
        <w:tc>
          <w:tcPr>
            <w:tcW w:type="dxa" w:w="1234"/>
            <w:vAlign w:val="center"/>
          </w:tcPr>
          <w:p>
            <w:r>
              <w:t>0.713</w:t>
            </w:r>
          </w:p>
        </w:tc>
        <w:tc>
          <w:tcPr>
            <w:tcW w:type="dxa" w:w="1234"/>
            <w:vAlign w:val="center"/>
          </w:tcPr>
          <w:p>
            <w:r>
              <w:t>0.713</w:t>
            </w:r>
          </w:p>
        </w:tc>
        <w:tc>
          <w:tcPr>
            <w:tcW w:type="dxa" w:w="1234"/>
            <w:vAlign w:val="center"/>
          </w:tcPr>
          <w:p>
            <w:r>
              <w:t>+0.00%</w:t>
            </w:r>
          </w:p>
        </w:tc>
        <w:tc>
          <w:tcPr>
            <w:tcW w:type="dxa" w:w="1234"/>
            <w:vAlign w:val="center"/>
          </w:tcPr>
          <w:p>
            <w:r>
              <w:t>剪枝前 position_ids 准备：为了裁剪后位置编码一致，剪枝版需要额外准备位置索引。</w:t>
            </w:r>
          </w:p>
        </w:tc>
      </w:tr>
      <w:tr>
        <w:tc>
          <w:tcPr>
            <w:tcW w:type="dxa" w:w="1234"/>
            <w:vAlign w:val="center"/>
          </w:tcPr>
          <w:p>
            <w:r>
              <w:t>4</w:t>
            </w:r>
          </w:p>
        </w:tc>
        <w:tc>
          <w:tcPr>
            <w:tcW w:type="dxa" w:w="1234"/>
            <w:vAlign w:val="center"/>
          </w:tcPr>
          <w:p>
            <w:r>
              <w:t>s04_apply_pruning</w:t>
            </w:r>
          </w:p>
        </w:tc>
        <w:tc>
          <w:tcPr>
            <w:tcW w:type="dxa" w:w="1234"/>
            <w:vAlign w:val="center"/>
          </w:tcPr>
          <w:p>
            <w:r>
              <w:t>0.000</w:t>
            </w:r>
          </w:p>
        </w:tc>
        <w:tc>
          <w:tcPr>
            <w:tcW w:type="dxa" w:w="1234"/>
            <w:vAlign w:val="center"/>
          </w:tcPr>
          <w:p>
            <w:r>
              <w:t>0.690</w:t>
            </w:r>
          </w:p>
        </w:tc>
        <w:tc>
          <w:tcPr>
            <w:tcW w:type="dxa" w:w="1234"/>
            <w:vAlign w:val="center"/>
          </w:tcPr>
          <w:p>
            <w:r>
              <w:t>0.690</w:t>
            </w:r>
          </w:p>
        </w:tc>
        <w:tc>
          <w:tcPr>
            <w:tcW w:type="dxa" w:w="1234"/>
            <w:vAlign w:val="center"/>
          </w:tcPr>
          <w:p>
            <w:r>
              <w:t>+0.00%</w:t>
            </w:r>
          </w:p>
        </w:tc>
        <w:tc>
          <w:tcPr>
            <w:tcW w:type="dxa" w:w="1234"/>
            <w:vAlign w:val="center"/>
          </w:tcPr>
          <w:p>
            <w:r>
              <w:t>应用剪枝：根据 keep mask 裁剪 image embeds 与 input_ids/attention_mask/position_ids 等序列张量。</w:t>
            </w:r>
          </w:p>
        </w:tc>
      </w:tr>
      <w:tr>
        <w:tc>
          <w:tcPr>
            <w:tcW w:type="dxa" w:w="1234"/>
            <w:vAlign w:val="center"/>
          </w:tcPr>
          <w:p>
            <w:r>
              <w:t>5</w:t>
            </w:r>
          </w:p>
        </w:tc>
        <w:tc>
          <w:tcPr>
            <w:tcW w:type="dxa" w:w="1234"/>
            <w:vAlign w:val="center"/>
          </w:tcPr>
          <w:p>
            <w:r>
              <w:t>s05_embed_tokens</w:t>
            </w:r>
          </w:p>
        </w:tc>
        <w:tc>
          <w:tcPr>
            <w:tcW w:type="dxa" w:w="1234"/>
            <w:vAlign w:val="center"/>
          </w:tcPr>
          <w:p>
            <w:r>
              <w:t>0.049</w:t>
            </w:r>
          </w:p>
        </w:tc>
        <w:tc>
          <w:tcPr>
            <w:tcW w:type="dxa" w:w="1234"/>
            <w:vAlign w:val="center"/>
          </w:tcPr>
          <w:p>
            <w:r>
              <w:t>0.045</w:t>
            </w:r>
          </w:p>
        </w:tc>
        <w:tc>
          <w:tcPr>
            <w:tcW w:type="dxa" w:w="1234"/>
            <w:vAlign w:val="center"/>
          </w:tcPr>
          <w:p>
            <w:r>
              <w:t>-0.004</w:t>
            </w:r>
          </w:p>
        </w:tc>
        <w:tc>
          <w:tcPr>
            <w:tcW w:type="dxa" w:w="1234"/>
            <w:vAlign w:val="center"/>
          </w:tcPr>
          <w:p>
            <w:r>
              <w:t>-7.65%</w:t>
            </w:r>
          </w:p>
        </w:tc>
        <w:tc>
          <w:tcPr>
            <w:tcW w:type="dxa" w:w="1234"/>
            <w:vAlign w:val="center"/>
          </w:tcPr>
          <w:p>
            <w:r>
              <w:t>文本和控制占位 token embedding：把 input_ids 映射成模型 hidden embedding。</w:t>
            </w:r>
          </w:p>
        </w:tc>
      </w:tr>
      <w:tr>
        <w:tc>
          <w:tcPr>
            <w:tcW w:type="dxa" w:w="1234"/>
            <w:vAlign w:val="center"/>
          </w:tcPr>
          <w:p>
            <w:r>
              <w:t>6</w:t>
            </w:r>
          </w:p>
        </w:tc>
        <w:tc>
          <w:tcPr>
            <w:tcW w:type="dxa" w:w="1234"/>
            <w:vAlign w:val="center"/>
          </w:tcPr>
          <w:p>
            <w:r>
              <w:t>s06_scatter_image_embeds</w:t>
            </w:r>
          </w:p>
        </w:tc>
        <w:tc>
          <w:tcPr>
            <w:tcW w:type="dxa" w:w="1234"/>
            <w:vAlign w:val="center"/>
          </w:tcPr>
          <w:p>
            <w:r>
              <w:t>0.139</w:t>
            </w:r>
          </w:p>
        </w:tc>
        <w:tc>
          <w:tcPr>
            <w:tcW w:type="dxa" w:w="1234"/>
            <w:vAlign w:val="center"/>
          </w:tcPr>
          <w:p>
            <w:r>
              <w:t>0.109</w:t>
            </w:r>
          </w:p>
        </w:tc>
        <w:tc>
          <w:tcPr>
            <w:tcW w:type="dxa" w:w="1234"/>
            <w:vAlign w:val="center"/>
          </w:tcPr>
          <w:p>
            <w:r>
              <w:t>-0.029</w:t>
            </w:r>
          </w:p>
        </w:tc>
        <w:tc>
          <w:tcPr>
            <w:tcW w:type="dxa" w:w="1234"/>
            <w:vAlign w:val="center"/>
          </w:tcPr>
          <w:p>
            <w:r>
              <w:t>-21.07%</w:t>
            </w:r>
          </w:p>
        </w:tc>
        <w:tc>
          <w:tcPr>
            <w:tcW w:type="dxa" w:w="1234"/>
            <w:vAlign w:val="center"/>
          </w:tcPr>
          <w:p>
            <w:r>
              <w:t>写入视觉 embedding：把视觉 token embedding 写入输入序列中 image token 对应位置。</w:t>
            </w:r>
          </w:p>
        </w:tc>
      </w:tr>
      <w:tr>
        <w:tc>
          <w:tcPr>
            <w:tcW w:type="dxa" w:w="1234"/>
            <w:vAlign w:val="center"/>
          </w:tcPr>
          <w:p>
            <w:r>
              <w:t>7</w:t>
            </w:r>
          </w:p>
        </w:tc>
        <w:tc>
          <w:tcPr>
            <w:tcW w:type="dxa" w:w="1234"/>
            <w:vAlign w:val="center"/>
          </w:tcPr>
          <w:p>
            <w:r>
              <w:t>s07_scatter_proprioception</w:t>
            </w:r>
          </w:p>
        </w:tc>
        <w:tc>
          <w:tcPr>
            <w:tcW w:type="dxa" w:w="1234"/>
            <w:vAlign w:val="center"/>
          </w:tcPr>
          <w:p>
            <w:r>
              <w:t>0.146</w:t>
            </w:r>
          </w:p>
        </w:tc>
        <w:tc>
          <w:tcPr>
            <w:tcW w:type="dxa" w:w="1234"/>
            <w:vAlign w:val="center"/>
          </w:tcPr>
          <w:p>
            <w:r>
              <w:t>0.133</w:t>
            </w:r>
          </w:p>
        </w:tc>
        <w:tc>
          <w:tcPr>
            <w:tcW w:type="dxa" w:w="1234"/>
            <w:vAlign w:val="center"/>
          </w:tcPr>
          <w:p>
            <w:r>
              <w:t>-0.013</w:t>
            </w:r>
          </w:p>
        </w:tc>
        <w:tc>
          <w:tcPr>
            <w:tcW w:type="dxa" w:w="1234"/>
            <w:vAlign w:val="center"/>
          </w:tcPr>
          <w:p>
            <w:r>
              <w:t>-8.88%</w:t>
            </w:r>
          </w:p>
        </w:tc>
        <w:tc>
          <w:tcPr>
            <w:tcW w:type="dxa" w:w="1234"/>
            <w:vAlign w:val="center"/>
          </w:tcPr>
          <w:p>
            <w:r>
              <w:t>写入机器人状态 embedding：把 proprioception 状态写入 &lt;propri&gt; token 对应位置。</w:t>
            </w:r>
          </w:p>
        </w:tc>
      </w:tr>
      <w:tr>
        <w:tc>
          <w:tcPr>
            <w:tcW w:type="dxa" w:w="1234"/>
            <w:vAlign w:val="center"/>
          </w:tcPr>
          <w:p>
            <w:r>
              <w:t>8</w:t>
            </w:r>
          </w:p>
        </w:tc>
        <w:tc>
          <w:tcPr>
            <w:tcW w:type="dxa" w:w="1234"/>
            <w:vAlign w:val="center"/>
          </w:tcPr>
          <w:p>
            <w:r>
              <w:t>s08_attention_mask_to_device</w:t>
            </w:r>
          </w:p>
        </w:tc>
        <w:tc>
          <w:tcPr>
            <w:tcW w:type="dxa" w:w="1234"/>
            <w:vAlign w:val="center"/>
          </w:tcPr>
          <w:p>
            <w:r>
              <w:t>0.007</w:t>
            </w:r>
          </w:p>
        </w:tc>
        <w:tc>
          <w:tcPr>
            <w:tcW w:type="dxa" w:w="1234"/>
            <w:vAlign w:val="center"/>
          </w:tcPr>
          <w:p>
            <w:r>
              <w:t>0.007</w:t>
            </w:r>
          </w:p>
        </w:tc>
        <w:tc>
          <w:tcPr>
            <w:tcW w:type="dxa" w:w="1234"/>
            <w:vAlign w:val="center"/>
          </w:tcPr>
          <w:p>
            <w:r>
              <w:t>-0.000</w:t>
            </w:r>
          </w:p>
        </w:tc>
        <w:tc>
          <w:tcPr>
            <w:tcW w:type="dxa" w:w="1234"/>
            <w:vAlign w:val="center"/>
          </w:tcPr>
          <w:p>
            <w:r>
              <w:t>-2.10%</w:t>
            </w:r>
          </w:p>
        </w:tc>
        <w:tc>
          <w:tcPr>
            <w:tcW w:type="dxa" w:w="1234"/>
            <w:vAlign w:val="center"/>
          </w:tcPr>
          <w:p>
            <w:r>
              <w:t>attention mask 设备对齐：把 attention_mask 移到模型所在设备。</w:t>
            </w:r>
          </w:p>
        </w:tc>
      </w:tr>
      <w:tr>
        <w:tc>
          <w:tcPr>
            <w:tcW w:type="dxa" w:w="1234"/>
            <w:vAlign w:val="center"/>
          </w:tcPr>
          <w:p>
            <w:r>
              <w:t>9</w:t>
            </w:r>
          </w:p>
        </w:tc>
        <w:tc>
          <w:tcPr>
            <w:tcW w:type="dxa" w:w="1234"/>
            <w:vAlign w:val="center"/>
          </w:tcPr>
          <w:p>
            <w:r>
              <w:t>s09_position_and_moe_index</w:t>
            </w:r>
          </w:p>
        </w:tc>
        <w:tc>
          <w:tcPr>
            <w:tcW w:type="dxa" w:w="1234"/>
            <w:vAlign w:val="center"/>
          </w:tcPr>
          <w:p>
            <w:r>
              <w:t>0.822</w:t>
            </w:r>
          </w:p>
        </w:tc>
        <w:tc>
          <w:tcPr>
            <w:tcW w:type="dxa" w:w="1234"/>
            <w:vAlign w:val="center"/>
          </w:tcPr>
          <w:p>
            <w:r>
              <w:t>0.119</w:t>
            </w:r>
          </w:p>
        </w:tc>
        <w:tc>
          <w:tcPr>
            <w:tcW w:type="dxa" w:w="1234"/>
            <w:vAlign w:val="center"/>
          </w:tcPr>
          <w:p>
            <w:r>
              <w:t>-0.703</w:t>
            </w:r>
          </w:p>
        </w:tc>
        <w:tc>
          <w:tcPr>
            <w:tcW w:type="dxa" w:w="1234"/>
            <w:vAlign w:val="center"/>
          </w:tcPr>
          <w:p>
            <w:r>
              <w:t>-85.54%</w:t>
            </w:r>
          </w:p>
        </w:tc>
        <w:tc>
          <w:tcPr>
            <w:tcW w:type="dxa" w:w="1234"/>
            <w:vAlign w:val="center"/>
          </w:tcPr>
          <w:p>
            <w:r>
              <w:t>位置编码与 MoE 分组：准备 RoPE position ids 和 MoE token 分组索引。</w:t>
            </w:r>
          </w:p>
        </w:tc>
      </w:tr>
      <w:tr>
        <w:tc>
          <w:tcPr>
            <w:tcW w:type="dxa" w:w="1234"/>
            <w:vAlign w:val="center"/>
          </w:tcPr>
          <w:p>
            <w:r>
              <w:t>10</w:t>
            </w:r>
          </w:p>
        </w:tc>
        <w:tc>
          <w:tcPr>
            <w:tcW w:type="dxa" w:w="1234"/>
            <w:vAlign w:val="center"/>
          </w:tcPr>
          <w:p>
            <w:r>
              <w:t>s10_action_initialization</w:t>
            </w:r>
          </w:p>
        </w:tc>
        <w:tc>
          <w:tcPr>
            <w:tcW w:type="dxa" w:w="1234"/>
            <w:vAlign w:val="center"/>
          </w:tcPr>
          <w:p>
            <w:r>
              <w:t>0.482</w:t>
            </w:r>
          </w:p>
        </w:tc>
        <w:tc>
          <w:tcPr>
            <w:tcW w:type="dxa" w:w="1234"/>
            <w:vAlign w:val="center"/>
          </w:tcPr>
          <w:p>
            <w:r>
              <w:t>0.469</w:t>
            </w:r>
          </w:p>
        </w:tc>
        <w:tc>
          <w:tcPr>
            <w:tcW w:type="dxa" w:w="1234"/>
            <w:vAlign w:val="center"/>
          </w:tcPr>
          <w:p>
            <w:r>
              <w:t>-0.013</w:t>
            </w:r>
          </w:p>
        </w:tc>
        <w:tc>
          <w:tcPr>
            <w:tcW w:type="dxa" w:w="1234"/>
            <w:vAlign w:val="center"/>
          </w:tcPr>
          <w:p>
            <w:r>
              <w:t>-2.71%</w:t>
            </w:r>
          </w:p>
        </w:tc>
        <w:tc>
          <w:tcPr>
            <w:tcW w:type="dxa" w:w="1234"/>
            <w:vAlign w:val="center"/>
          </w:tcPr>
          <w:p>
            <w:r>
              <w:t>动作初始化：生成初始 noisy action，并写入初始 action embedding。</w:t>
            </w:r>
          </w:p>
        </w:tc>
      </w:tr>
      <w:tr>
        <w:tc>
          <w:tcPr>
            <w:tcW w:type="dxa" w:w="1234"/>
            <w:vAlign w:val="center"/>
          </w:tcPr>
          <w:p>
            <w:r>
              <w:t>11</w:t>
            </w:r>
          </w:p>
        </w:tc>
        <w:tc>
          <w:tcPr>
            <w:tcW w:type="dxa" w:w="1234"/>
            <w:vAlign w:val="center"/>
          </w:tcPr>
          <w:p>
            <w:r>
              <w:t>s11_prefill_transformer</w:t>
            </w:r>
          </w:p>
        </w:tc>
        <w:tc>
          <w:tcPr>
            <w:tcW w:type="dxa" w:w="1234"/>
            <w:vAlign w:val="center"/>
          </w:tcPr>
          <w:p>
            <w:r>
              <w:t>31.795</w:t>
            </w:r>
          </w:p>
        </w:tc>
        <w:tc>
          <w:tcPr>
            <w:tcW w:type="dxa" w:w="1234"/>
            <w:vAlign w:val="center"/>
          </w:tcPr>
          <w:p>
            <w:r>
              <w:t>31.693</w:t>
            </w:r>
          </w:p>
        </w:tc>
        <w:tc>
          <w:tcPr>
            <w:tcW w:type="dxa" w:w="1234"/>
            <w:vAlign w:val="center"/>
          </w:tcPr>
          <w:p>
            <w:r>
              <w:t>-0.103</w:t>
            </w:r>
          </w:p>
        </w:tc>
        <w:tc>
          <w:tcPr>
            <w:tcW w:type="dxa" w:w="1234"/>
            <w:vAlign w:val="center"/>
          </w:tcPr>
          <w:p>
            <w:r>
              <w:t>-0.32%</w:t>
            </w:r>
          </w:p>
        </w:tc>
        <w:tc>
          <w:tcPr>
            <w:tcW w:type="dxa" w:w="1234"/>
            <w:vAlign w:val="center"/>
          </w:tcPr>
          <w:p>
            <w:r>
              <w:t>主 Transformer prefill：前半链路中主模型第一次 forward，生成 prefix KV-cache 和 hidden states。</w:t>
            </w:r>
          </w:p>
        </w:tc>
      </w:tr>
      <w:tr>
        <w:tc>
          <w:tcPr>
            <w:tcW w:type="dxa" w:w="1234"/>
            <w:vAlign w:val="center"/>
          </w:tcPr>
          <w:p>
            <w:r>
              <w:t>12</w:t>
            </w:r>
          </w:p>
        </w:tc>
        <w:tc>
          <w:tcPr>
            <w:tcW w:type="dxa" w:w="1234"/>
            <w:vAlign w:val="center"/>
          </w:tcPr>
          <w:p>
            <w:r>
              <w:t>s12_prefill_action_head</w:t>
            </w:r>
          </w:p>
        </w:tc>
        <w:tc>
          <w:tcPr>
            <w:tcW w:type="dxa" w:w="1234"/>
            <w:vAlign w:val="center"/>
          </w:tcPr>
          <w:p>
            <w:r>
              <w:t>0.113</w:t>
            </w:r>
          </w:p>
        </w:tc>
        <w:tc>
          <w:tcPr>
            <w:tcW w:type="dxa" w:w="1234"/>
            <w:vAlign w:val="center"/>
          </w:tcPr>
          <w:p>
            <w:r>
              <w:t>0.114</w:t>
            </w:r>
          </w:p>
        </w:tc>
        <w:tc>
          <w:tcPr>
            <w:tcW w:type="dxa" w:w="1234"/>
            <w:vAlign w:val="center"/>
          </w:tcPr>
          <w:p>
            <w:r>
              <w:t>0.001</w:t>
            </w:r>
          </w:p>
        </w:tc>
        <w:tc>
          <w:tcPr>
            <w:tcW w:type="dxa" w:w="1234"/>
            <w:vAlign w:val="center"/>
          </w:tcPr>
          <w:p>
            <w:r>
              <w:t>+1.09%</w:t>
            </w:r>
          </w:p>
        </w:tc>
        <w:tc>
          <w:tcPr>
            <w:tcW w:type="dxa" w:w="1234"/>
            <w:vAlign w:val="center"/>
          </w:tcPr>
          <w:p>
            <w:r>
              <w:t>第一次 action head：根据 prefill hidden states 做第一次动作头投影。</w:t>
            </w:r>
          </w:p>
        </w:tc>
      </w:tr>
      <w:tr>
        <w:tc>
          <w:tcPr>
            <w:tcW w:type="dxa" w:w="1234"/>
            <w:vAlign w:val="center"/>
          </w:tcPr>
          <w:p>
            <w:r>
              <w:t>13</w:t>
            </w:r>
          </w:p>
        </w:tc>
        <w:tc>
          <w:tcPr>
            <w:tcW w:type="dxa" w:w="1234"/>
            <w:vAlign w:val="center"/>
          </w:tcPr>
          <w:p>
            <w:r>
              <w:t>s13_unattributed_framework_overhead</w:t>
            </w:r>
          </w:p>
        </w:tc>
        <w:tc>
          <w:tcPr>
            <w:tcW w:type="dxa" w:w="1234"/>
            <w:vAlign w:val="center"/>
          </w:tcPr>
          <w:p>
            <w:r>
              <w:t>0.301</w:t>
            </w:r>
          </w:p>
        </w:tc>
        <w:tc>
          <w:tcPr>
            <w:tcW w:type="dxa" w:w="1234"/>
            <w:vAlign w:val="center"/>
          </w:tcPr>
          <w:p>
            <w:r>
              <w:t>0.383</w:t>
            </w:r>
          </w:p>
        </w:tc>
        <w:tc>
          <w:tcPr>
            <w:tcW w:type="dxa" w:w="1234"/>
            <w:vAlign w:val="center"/>
          </w:tcPr>
          <w:p>
            <w:r>
              <w:t>0.081</w:t>
            </w:r>
          </w:p>
        </w:tc>
        <w:tc>
          <w:tcPr>
            <w:tcW w:type="dxa" w:w="1234"/>
            <w:vAlign w:val="center"/>
          </w:tcPr>
          <w:p>
            <w:r>
              <w:t>+27.06%</w:t>
            </w:r>
          </w:p>
        </w:tc>
        <w:tc>
          <w:tcPr>
            <w:tcW w:type="dxa" w:w="1234"/>
            <w:vAlign w:val="center"/>
          </w:tcPr>
          <w:p>
            <w:r>
              <w:t>未单独打点的小额框架开销：保留这一项是为了让 13 段相加严格等于 front_chain_total_time。</w:t>
            </w:r>
          </w:p>
        </w:tc>
      </w:tr>
      <w:tr>
        <w:tc>
          <w:tcPr>
            <w:tcW w:type="dxa" w:w="1234"/>
            <w:vAlign w:val="center"/>
          </w:tcPr>
          <w:p>
            <w:r>
              <w:t>total</w:t>
            </w:r>
          </w:p>
        </w:tc>
        <w:tc>
          <w:tcPr>
            <w:tcW w:type="dxa" w:w="1234"/>
            <w:vAlign w:val="center"/>
          </w:tcPr>
          <w:p>
            <w:r>
              <w:t>front_chain_total_time</w:t>
            </w:r>
          </w:p>
        </w:tc>
        <w:tc>
          <w:tcPr>
            <w:tcW w:type="dxa" w:w="1234"/>
            <w:vAlign w:val="center"/>
          </w:tcPr>
          <w:p>
            <w:r>
              <w:t>132.071</w:t>
            </w:r>
          </w:p>
        </w:tc>
        <w:tc>
          <w:tcPr>
            <w:tcW w:type="dxa" w:w="1234"/>
            <w:vAlign w:val="center"/>
          </w:tcPr>
          <w:p>
            <w:r>
              <w:t>98.886</w:t>
            </w:r>
          </w:p>
        </w:tc>
        <w:tc>
          <w:tcPr>
            <w:tcW w:type="dxa" w:w="1234"/>
            <w:vAlign w:val="center"/>
          </w:tcPr>
          <w:p>
            <w:r>
              <w:t>-33.186</w:t>
            </w:r>
          </w:p>
        </w:tc>
        <w:tc>
          <w:tcPr>
            <w:tcW w:type="dxa" w:w="1234"/>
            <w:vAlign w:val="center"/>
          </w:tcPr>
          <w:p>
            <w:r>
              <w:t>-25.13%</w:t>
            </w:r>
          </w:p>
        </w:tc>
        <w:tc>
          <w:tcPr>
            <w:tcW w:type="dxa" w:w="1234"/>
            <w:vAlign w:val="center"/>
          </w:tcPr>
          <w:p>
            <w:r>
              <w:t>从进入模型前半 token 处理链路到完成 prefill_action_head 的最终总耗时。</w:t>
            </w:r>
          </w:p>
        </w:tc>
      </w:tr>
    </w:tbl>
    <w:p>
      <w:r>
        <w:t>最关键的减少项是 s02_vision_encode_or_prune：98.171 ms -&gt; 64.365 ms，减少 33.807 ms。剪枝版额外增加了 s03 和 s04，合计约 1.403 ms，但这个开销被视觉编码主路径节省抵消，因此总链路仍减少 33.186 ms。</w:t>
      </w:r>
    </w:p>
    <w:p>
      <w:pPr>
        <w:pStyle w:val="Heading1"/>
      </w:pPr>
      <w:r>
        <w:t>4. 动作输出一致性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解释</w:t>
            </w:r>
          </w:p>
        </w:tc>
      </w:tr>
      <w:tr>
        <w:tc>
          <w:tcPr>
            <w:tcW w:type="dxa" w:w="2880"/>
            <w:vAlign w:val="center"/>
          </w:tcPr>
          <w:p>
            <w:r>
              <w:t>视觉 token</w:t>
            </w:r>
          </w:p>
        </w:tc>
        <w:tc>
          <w:tcPr>
            <w:tcW w:type="dxa" w:w="2880"/>
            <w:vAlign w:val="center"/>
          </w:tcPr>
          <w:p>
            <w:r>
              <w:t>324 -&gt; 162</w:t>
            </w:r>
          </w:p>
        </w:tc>
        <w:tc>
          <w:tcPr>
            <w:tcW w:type="dxa" w:w="2880"/>
            <w:vAlign w:val="center"/>
          </w:tcPr>
          <w:p>
            <w:r>
              <w:t>同一批 300 张高分辨率样本，剪枝保留一半视觉 token。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MAE</w:t>
            </w:r>
          </w:p>
        </w:tc>
        <w:tc>
          <w:tcPr>
            <w:tcW w:type="dxa" w:w="2880"/>
            <w:vAlign w:val="center"/>
          </w:tcPr>
          <w:p>
            <w:r>
              <w:t>0.025359</w:t>
            </w:r>
          </w:p>
        </w:tc>
        <w:tc>
          <w:tcPr>
            <w:tcW w:type="dxa" w:w="2880"/>
            <w:vAlign w:val="center"/>
          </w:tcPr>
          <w:p>
            <w:r>
              <w:t>动作张量逐元素平均绝对差。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RMSE</w:t>
            </w:r>
          </w:p>
        </w:tc>
        <w:tc>
          <w:tcPr>
            <w:tcW w:type="dxa" w:w="2880"/>
            <w:vAlign w:val="center"/>
          </w:tcPr>
          <w:p>
            <w:r>
              <w:t>0.031705</w:t>
            </w:r>
          </w:p>
        </w:tc>
        <w:tc>
          <w:tcPr>
            <w:tcW w:type="dxa" w:w="2880"/>
            <w:vAlign w:val="center"/>
          </w:tcPr>
          <w:p>
            <w:r>
              <w:t>动作张量均方根误差。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mean max_abs</w:t>
            </w:r>
          </w:p>
        </w:tc>
        <w:tc>
          <w:tcPr>
            <w:tcW w:type="dxa" w:w="2880"/>
            <w:vAlign w:val="center"/>
          </w:tcPr>
          <w:p>
            <w:r>
              <w:t>0.100451</w:t>
            </w:r>
          </w:p>
        </w:tc>
        <w:tc>
          <w:tcPr>
            <w:tcW w:type="dxa" w:w="2880"/>
            <w:vAlign w:val="center"/>
          </w:tcPr>
          <w:p>
            <w:r>
              <w:t>每个样本最大元素差的平均值。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worst max_abs</w:t>
            </w:r>
          </w:p>
        </w:tc>
        <w:tc>
          <w:tcPr>
            <w:tcW w:type="dxa" w:w="2880"/>
            <w:vAlign w:val="center"/>
          </w:tcPr>
          <w:p>
            <w:r>
              <w:t>0.203187</w:t>
            </w:r>
          </w:p>
        </w:tc>
        <w:tc>
          <w:tcPr>
            <w:tcW w:type="dxa" w:w="2880"/>
            <w:vAlign w:val="center"/>
          </w:tcPr>
          <w:p>
            <w:r>
              <w:t>300 个样本中的最坏单元素差。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cosine_similarity</w:t>
            </w:r>
          </w:p>
        </w:tc>
        <w:tc>
          <w:tcPr>
            <w:tcW w:type="dxa" w:w="2880"/>
            <w:vAlign w:val="center"/>
          </w:tcPr>
          <w:p>
            <w:r>
              <w:t>0.999958</w:t>
            </w:r>
          </w:p>
        </w:tc>
        <w:tc>
          <w:tcPr>
            <w:tcW w:type="dxa" w:w="2880"/>
            <w:vAlign w:val="center"/>
          </w:tcPr>
          <w:p>
            <w:r>
              <w:t>动作方向相似度，越接近 1 代表整体方向越一致。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allclose_rate</w:t>
            </w:r>
          </w:p>
        </w:tc>
        <w:tc>
          <w:tcPr>
            <w:tcW w:type="dxa" w:w="2880"/>
            <w:vAlign w:val="center"/>
          </w:tcPr>
          <w:p>
            <w:r>
              <w:t>0.0000</w:t>
            </w:r>
          </w:p>
        </w:tc>
        <w:tc>
          <w:tcPr>
            <w:tcW w:type="dxa" w:w="2880"/>
            <w:vAlign w:val="center"/>
          </w:tcPr>
          <w:p>
            <w:r>
              <w:t>按 atol=rtol=1e-3 的严格逐元素 allclose 通过率。</w:t>
            </w:r>
          </w:p>
        </w:tc>
      </w:tr>
    </w:tbl>
    <w:p>
      <w:r>
        <w:t>结论：剪枝后动作输出不是逐元素完全相同；在严格 allclose 阈值下通过率为 0。但 cosine similarity=0.999958，说明动作整体方向高度一致。后续若要评价是否可部署，需要结合机器人任务成功率或仿真 roll-out，而不能只看逐元素 allclose。</w:t>
      </w:r>
    </w:p>
    <w:p>
      <w:pPr>
        <w:pStyle w:val="Heading1"/>
      </w:pPr>
      <w:r>
        <w:t>5. 文件索引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r>
              <w:t>wall_x/report/mid_exam_300_1_front_chain.md</w:t>
            </w:r>
          </w:p>
        </w:tc>
        <w:tc>
          <w:tcPr>
            <w:tcW w:type="dxa" w:w="4320"/>
            <w:vAlign w:val="center"/>
          </w:tcPr>
          <w:p>
            <w:r>
              <w:t>前半链路 13 段时间戳 markdown 报告</w:t>
            </w:r>
          </w:p>
        </w:tc>
      </w:tr>
      <w:tr>
        <w:tc>
          <w:tcPr>
            <w:tcW w:type="dxa" w:w="4320"/>
            <w:vAlign w:val="center"/>
          </w:tcPr>
          <w:p>
            <w:r>
              <w:t>wall_x/report/mid_exam_300_1_front_chain_results.json</w:t>
            </w:r>
          </w:p>
        </w:tc>
        <w:tc>
          <w:tcPr>
            <w:tcW w:type="dxa" w:w="4320"/>
            <w:vAlign w:val="center"/>
          </w:tcPr>
          <w:p>
            <w:r>
              <w:t>前半链路原始结构化结果</w:t>
            </w:r>
          </w:p>
        </w:tc>
      </w:tr>
      <w:tr>
        <w:tc>
          <w:tcPr>
            <w:tcW w:type="dxa" w:w="4320"/>
            <w:vAlign w:val="center"/>
          </w:tcPr>
          <w:p>
            <w:r>
              <w:t>wall_x/report/mid_exam_300_1_action_compare.md</w:t>
            </w:r>
          </w:p>
        </w:tc>
        <w:tc>
          <w:tcPr>
            <w:tcW w:type="dxa" w:w="4320"/>
            <w:vAlign w:val="center"/>
          </w:tcPr>
          <w:p>
            <w:r>
              <w:t>动作输出一致性 markdown 报告</w:t>
            </w:r>
          </w:p>
        </w:tc>
      </w:tr>
      <w:tr>
        <w:tc>
          <w:tcPr>
            <w:tcW w:type="dxa" w:w="4320"/>
            <w:vAlign w:val="center"/>
          </w:tcPr>
          <w:p>
            <w:r>
              <w:t>wall_x/report/mid_exam_300_1_action_compare_results.json</w:t>
            </w:r>
          </w:p>
        </w:tc>
        <w:tc>
          <w:tcPr>
            <w:tcW w:type="dxa" w:w="4320"/>
            <w:vAlign w:val="center"/>
          </w:tcPr>
          <w:p>
            <w:r>
              <w:t>动作输出一致性原始结构化结果</w:t>
            </w:r>
          </w:p>
        </w:tc>
      </w:tr>
      <w:tr>
        <w:tc>
          <w:tcPr>
            <w:tcW w:type="dxa" w:w="4320"/>
            <w:vAlign w:val="center"/>
          </w:tcPr>
          <w:p>
            <w:r>
              <w:t>wall_x/report/mid_exam_300_1.docx</w:t>
            </w:r>
          </w:p>
        </w:tc>
        <w:tc>
          <w:tcPr>
            <w:tcW w:type="dxa" w:w="4320"/>
            <w:vAlign w:val="center"/>
          </w:tcPr>
          <w:p>
            <w:r>
              <w:t>本合并版正式报告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