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1C522" w14:textId="01CA1DBE" w:rsidR="0055658A" w:rsidRPr="00512F56" w:rsidRDefault="005A7736">
      <w:pPr>
        <w:rPr>
          <w:b/>
          <w:bCs/>
          <w:sz w:val="28"/>
          <w:szCs w:val="28"/>
        </w:rPr>
      </w:pPr>
      <w:r w:rsidRPr="00512F56">
        <w:rPr>
          <w:b/>
          <w:bCs/>
          <w:sz w:val="28"/>
          <w:szCs w:val="28"/>
        </w:rPr>
        <w:t>Data Limitations</w:t>
      </w:r>
    </w:p>
    <w:p w14:paraId="3EAE3C4E" w14:textId="776964F0" w:rsidR="3573EDEA" w:rsidRDefault="35F7109F" w:rsidP="3573EDEA">
      <w:r>
        <w:t xml:space="preserve">In designing the relocation program for </w:t>
      </w:r>
      <w:proofErr w:type="spellStart"/>
      <w:r>
        <w:t>Storslysia</w:t>
      </w:r>
      <w:proofErr w:type="spellEnd"/>
      <w:r>
        <w:t xml:space="preserve">, we used the </w:t>
      </w:r>
      <w:r w:rsidR="20DD6503">
        <w:t>e</w:t>
      </w:r>
      <w:r w:rsidR="0887C482">
        <w:t xml:space="preserve">conomic demographic, </w:t>
      </w:r>
      <w:proofErr w:type="gramStart"/>
      <w:r w:rsidR="0887C482">
        <w:t>emissions</w:t>
      </w:r>
      <w:proofErr w:type="gramEnd"/>
      <w:r w:rsidR="0887C482">
        <w:t xml:space="preserve"> and hazard event </w:t>
      </w:r>
      <w:r>
        <w:t>data. The lim</w:t>
      </w:r>
      <w:r w:rsidR="0D233661">
        <w:t xml:space="preserve">itations of these data and </w:t>
      </w:r>
      <w:r w:rsidR="09115E3F">
        <w:t>corresponding details</w:t>
      </w:r>
      <w:r w:rsidR="0D233661">
        <w:t xml:space="preserve"> are summarised below.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135"/>
        <w:gridCol w:w="5881"/>
      </w:tblGrid>
      <w:tr w:rsidR="00195E11" w:rsidRPr="00512F56" w14:paraId="3702CDF3" w14:textId="77777777" w:rsidTr="00512F56">
        <w:tc>
          <w:tcPr>
            <w:tcW w:w="3135" w:type="dxa"/>
            <w:shd w:val="clear" w:color="auto" w:fill="EDEDED" w:themeFill="accent3" w:themeFillTint="33"/>
          </w:tcPr>
          <w:p w14:paraId="739EEB98" w14:textId="4951E3D7" w:rsidR="00195E11" w:rsidRPr="00512F56" w:rsidRDefault="00195E11">
            <w:pPr>
              <w:rPr>
                <w:b/>
                <w:bCs/>
              </w:rPr>
            </w:pPr>
            <w:r w:rsidRPr="00512F56">
              <w:rPr>
                <w:b/>
                <w:bCs/>
              </w:rPr>
              <w:t>Limitation</w:t>
            </w:r>
          </w:p>
        </w:tc>
        <w:tc>
          <w:tcPr>
            <w:tcW w:w="5881" w:type="dxa"/>
            <w:shd w:val="clear" w:color="auto" w:fill="EDEDED" w:themeFill="accent3" w:themeFillTint="33"/>
          </w:tcPr>
          <w:p w14:paraId="32C12706" w14:textId="5236A3A7" w:rsidR="00195E11" w:rsidRPr="00512F56" w:rsidRDefault="00035696">
            <w:pPr>
              <w:rPr>
                <w:b/>
                <w:bCs/>
              </w:rPr>
            </w:pPr>
            <w:r w:rsidRPr="00512F56">
              <w:rPr>
                <w:b/>
                <w:bCs/>
              </w:rPr>
              <w:t>Details</w:t>
            </w:r>
          </w:p>
        </w:tc>
      </w:tr>
      <w:tr w:rsidR="00195E11" w14:paraId="224D2C07" w14:textId="77777777" w:rsidTr="5434E0CF">
        <w:tc>
          <w:tcPr>
            <w:tcW w:w="3135" w:type="dxa"/>
          </w:tcPr>
          <w:p w14:paraId="01A3A2AC" w14:textId="332CC5FE" w:rsidR="00195E11" w:rsidRDefault="3F94EE21">
            <w:r>
              <w:t>Limited GDP data</w:t>
            </w:r>
          </w:p>
        </w:tc>
        <w:tc>
          <w:tcPr>
            <w:tcW w:w="5881" w:type="dxa"/>
          </w:tcPr>
          <w:p w14:paraId="7DA44738" w14:textId="0183B508" w:rsidR="00195E11" w:rsidRDefault="48BC3341" w:rsidP="23F666E8">
            <w:pPr>
              <w:spacing w:line="256" w:lineRule="auto"/>
            </w:pPr>
            <w:r>
              <w:t>We have only access to the 2019 and 2020 GDP data, making it is difficult to give an accurate estimation of GDP growth rate.</w:t>
            </w:r>
          </w:p>
        </w:tc>
      </w:tr>
      <w:tr w:rsidR="189CB6F3" w14:paraId="178B4834" w14:textId="77777777" w:rsidTr="5434E0CF">
        <w:trPr>
          <w:trHeight w:val="300"/>
        </w:trPr>
        <w:tc>
          <w:tcPr>
            <w:tcW w:w="3135" w:type="dxa"/>
          </w:tcPr>
          <w:p w14:paraId="45BF9A75" w14:textId="31BF0660" w:rsidR="48BC3341" w:rsidRDefault="48BC3341" w:rsidP="189CB6F3">
            <w:r>
              <w:t xml:space="preserve">Lack of economic, </w:t>
            </w:r>
            <w:proofErr w:type="gramStart"/>
            <w:r>
              <w:t>industrial</w:t>
            </w:r>
            <w:proofErr w:type="gramEnd"/>
            <w:r>
              <w:t xml:space="preserve"> and labour conditions </w:t>
            </w:r>
            <w:r w:rsidR="190974E1">
              <w:t>regionally</w:t>
            </w:r>
          </w:p>
        </w:tc>
        <w:tc>
          <w:tcPr>
            <w:tcW w:w="5881" w:type="dxa"/>
          </w:tcPr>
          <w:p w14:paraId="41F138CB" w14:textId="6056CDBA" w:rsidR="189CB6F3" w:rsidRDefault="1DB8CA79" w:rsidP="189CB6F3">
            <w:pPr>
              <w:spacing w:line="256" w:lineRule="auto"/>
            </w:pPr>
            <w:r>
              <w:t xml:space="preserve">The model does not account for the economic and industrial conditions in each region, and whether the labour skillsets in a region is applicable to another region, which </w:t>
            </w:r>
            <w:r w:rsidR="3B92DC3F">
              <w:t>will</w:t>
            </w:r>
            <w:r>
              <w:t xml:space="preserve"> result in </w:t>
            </w:r>
            <w:r w:rsidR="04B6A6FF">
              <w:t>inaccurate pricing and cost</w:t>
            </w:r>
            <w:r w:rsidR="226938F2">
              <w:t xml:space="preserve"> projection</w:t>
            </w:r>
            <w:r w:rsidR="10B9A78B">
              <w:t xml:space="preserve"> of the relocation scheme</w:t>
            </w:r>
            <w:r w:rsidR="00CD499A">
              <w:t>.</w:t>
            </w:r>
          </w:p>
        </w:tc>
      </w:tr>
      <w:tr w:rsidR="189CB6F3" w14:paraId="241D44F7" w14:textId="77777777" w:rsidTr="5434E0CF">
        <w:trPr>
          <w:trHeight w:val="300"/>
        </w:trPr>
        <w:tc>
          <w:tcPr>
            <w:tcW w:w="3135" w:type="dxa"/>
          </w:tcPr>
          <w:p w14:paraId="03E7905A" w14:textId="74B294F5" w:rsidR="189CB6F3" w:rsidRDefault="0BF47F51" w:rsidP="189CB6F3">
            <w:r>
              <w:t xml:space="preserve">Misleading data </w:t>
            </w:r>
          </w:p>
        </w:tc>
        <w:tc>
          <w:tcPr>
            <w:tcW w:w="5881" w:type="dxa"/>
          </w:tcPr>
          <w:p w14:paraId="3DEEBB23" w14:textId="5641ECA9" w:rsidR="189CB6F3" w:rsidRDefault="0BF47F51" w:rsidP="189CB6F3">
            <w:pPr>
              <w:spacing w:line="256" w:lineRule="auto"/>
            </w:pPr>
            <w:r>
              <w:t>We observe -990% in 2003’s inflation rate data, which is likely due to a data error, hence this value is skipped in the model.</w:t>
            </w:r>
          </w:p>
        </w:tc>
      </w:tr>
      <w:tr w:rsidR="189CB6F3" w14:paraId="0B2F71DC" w14:textId="77777777" w:rsidTr="5434E0CF">
        <w:trPr>
          <w:trHeight w:val="300"/>
        </w:trPr>
        <w:tc>
          <w:tcPr>
            <w:tcW w:w="3135" w:type="dxa"/>
          </w:tcPr>
          <w:p w14:paraId="5A86A4AF" w14:textId="2FAC0AE2" w:rsidR="189CB6F3" w:rsidRDefault="00757AA2" w:rsidP="189CB6F3">
            <w:r>
              <w:t>Limited population data</w:t>
            </w:r>
          </w:p>
        </w:tc>
        <w:tc>
          <w:tcPr>
            <w:tcW w:w="5881" w:type="dxa"/>
          </w:tcPr>
          <w:p w14:paraId="3FB19F9A" w14:textId="7D1F3999" w:rsidR="189CB6F3" w:rsidRDefault="00F9427C" w:rsidP="189CB6F3">
            <w:pPr>
              <w:spacing w:line="256" w:lineRule="auto"/>
            </w:pPr>
            <w:r>
              <w:t>Census</w:t>
            </w:r>
            <w:r w:rsidR="00FC7D12">
              <w:t xml:space="preserve"> data </w:t>
            </w:r>
            <w:r w:rsidR="00F16D38">
              <w:t>for each region is only given for 2019, 2020 and 2021</w:t>
            </w:r>
            <w:r>
              <w:t>, making it difficult to understand</w:t>
            </w:r>
            <w:r w:rsidR="000E4015">
              <w:t xml:space="preserve"> and/or predict movement between the regions prior to the program</w:t>
            </w:r>
            <w:r w:rsidR="00DD4AA6">
              <w:t>’s commencemen</w:t>
            </w:r>
            <w:r w:rsidR="00CD499A">
              <w:t>t.</w:t>
            </w:r>
          </w:p>
        </w:tc>
      </w:tr>
    </w:tbl>
    <w:p w14:paraId="69C95697" w14:textId="00A2FE1F" w:rsidR="74ED4BE8" w:rsidRDefault="74ED4BE8" w:rsidP="74ED4BE8"/>
    <w:p w14:paraId="2EA4B37A" w14:textId="464B422C" w:rsidR="005A7736" w:rsidRPr="00A326A3" w:rsidRDefault="005A7736">
      <w:pPr>
        <w:rPr>
          <w:b/>
          <w:bCs/>
        </w:rPr>
      </w:pPr>
      <w:r w:rsidRPr="00512F56">
        <w:rPr>
          <w:b/>
          <w:bCs/>
          <w:sz w:val="28"/>
          <w:szCs w:val="28"/>
        </w:rPr>
        <w:t>Assumptions</w:t>
      </w:r>
    </w:p>
    <w:p w14:paraId="4A1F8581" w14:textId="4E9FC511" w:rsidR="00944191" w:rsidRPr="00944191" w:rsidRDefault="00944191">
      <w:pPr>
        <w:rPr>
          <w:b/>
          <w:bCs/>
          <w:color w:val="808080" w:themeColor="background1" w:themeShade="80"/>
        </w:rPr>
      </w:pPr>
      <w:r w:rsidRPr="00944191">
        <w:rPr>
          <w:b/>
          <w:bCs/>
          <w:color w:val="808080" w:themeColor="background1" w:themeShade="80"/>
        </w:rPr>
        <w:t>Economic Assumptions</w:t>
      </w:r>
    </w:p>
    <w:p w14:paraId="1DC8EA94" w14:textId="3A5418C6" w:rsidR="0040012B" w:rsidRDefault="0040012B">
      <w:r>
        <w:t xml:space="preserve">These </w:t>
      </w:r>
      <w:r w:rsidR="00F47BA7" w:rsidRPr="00944191">
        <w:t xml:space="preserve">economic </w:t>
      </w:r>
      <w:r w:rsidRPr="00944191">
        <w:t>assumptions have</w:t>
      </w:r>
      <w:r>
        <w:t xml:space="preserve"> been generated </w:t>
      </w:r>
      <w:r w:rsidR="007A1821">
        <w:t xml:space="preserve">to support the </w:t>
      </w:r>
      <w:r w:rsidR="0023091C">
        <w:t>program’s</w:t>
      </w:r>
      <w:r w:rsidR="00734EB5">
        <w:t xml:space="preserve"> success</w:t>
      </w:r>
      <w:r w:rsidR="0068419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9A534A" w14:paraId="6F1692D6" w14:textId="77777777" w:rsidTr="007F0C0F">
        <w:tc>
          <w:tcPr>
            <w:tcW w:w="3256" w:type="dxa"/>
            <w:shd w:val="clear" w:color="auto" w:fill="EDEDED" w:themeFill="accent3" w:themeFillTint="33"/>
          </w:tcPr>
          <w:p w14:paraId="2BE7513F" w14:textId="0DA92BFD" w:rsidR="009A534A" w:rsidRPr="00512F56" w:rsidRDefault="009A534A">
            <w:pPr>
              <w:rPr>
                <w:b/>
                <w:bCs/>
              </w:rPr>
            </w:pPr>
            <w:r w:rsidRPr="00512F56">
              <w:rPr>
                <w:b/>
                <w:bCs/>
              </w:rPr>
              <w:t>Assumption</w:t>
            </w:r>
          </w:p>
        </w:tc>
        <w:tc>
          <w:tcPr>
            <w:tcW w:w="5760" w:type="dxa"/>
            <w:shd w:val="clear" w:color="auto" w:fill="EDEDED" w:themeFill="accent3" w:themeFillTint="33"/>
          </w:tcPr>
          <w:p w14:paraId="6424B3E7" w14:textId="76B33C6C" w:rsidR="009A534A" w:rsidRPr="00512F56" w:rsidRDefault="009A534A">
            <w:pPr>
              <w:rPr>
                <w:b/>
                <w:bCs/>
              </w:rPr>
            </w:pPr>
            <w:r w:rsidRPr="00512F56">
              <w:rPr>
                <w:b/>
                <w:bCs/>
              </w:rPr>
              <w:t>Justification</w:t>
            </w:r>
          </w:p>
        </w:tc>
      </w:tr>
      <w:tr w:rsidR="009A534A" w14:paraId="1A74FB79" w14:textId="77777777" w:rsidTr="00C66361">
        <w:tc>
          <w:tcPr>
            <w:tcW w:w="3256" w:type="dxa"/>
          </w:tcPr>
          <w:p w14:paraId="500C077D" w14:textId="35B25F64" w:rsidR="009A534A" w:rsidRDefault="00C66361">
            <w:r>
              <w:t xml:space="preserve">No person enters or exits the </w:t>
            </w:r>
            <w:proofErr w:type="spellStart"/>
            <w:r>
              <w:t>Storsl</w:t>
            </w:r>
            <w:r w:rsidR="00EB2343">
              <w:t>y</w:t>
            </w:r>
            <w:r>
              <w:t>sia</w:t>
            </w:r>
            <w:proofErr w:type="spellEnd"/>
            <w:r w:rsidR="00EB2343">
              <w:t xml:space="preserve"> </w:t>
            </w:r>
            <w:r>
              <w:t>regions</w:t>
            </w:r>
            <w:r w:rsidR="00EB2343">
              <w:t xml:space="preserve"> during the relocation scheme</w:t>
            </w:r>
            <w:r w:rsidR="00A21AE3">
              <w:t>.</w:t>
            </w:r>
          </w:p>
        </w:tc>
        <w:tc>
          <w:tcPr>
            <w:tcW w:w="5760" w:type="dxa"/>
          </w:tcPr>
          <w:p w14:paraId="7888280A" w14:textId="03FC9D29" w:rsidR="009A534A" w:rsidRDefault="006C51C0">
            <w:r>
              <w:t>Implies population</w:t>
            </w:r>
            <w:r w:rsidR="00687EFB">
              <w:t xml:space="preserve"> </w:t>
            </w:r>
            <w:r>
              <w:t>behaviour</w:t>
            </w:r>
            <w:r w:rsidR="006437BE">
              <w:t xml:space="preserve"> remains </w:t>
            </w:r>
            <w:r w:rsidR="00B12917">
              <w:t>quite constant, hence simplifying relocation rate calculation.</w:t>
            </w:r>
          </w:p>
        </w:tc>
      </w:tr>
      <w:tr w:rsidR="009B380F" w14:paraId="6345B639" w14:textId="77777777" w:rsidTr="00C66361">
        <w:tc>
          <w:tcPr>
            <w:tcW w:w="3256" w:type="dxa"/>
          </w:tcPr>
          <w:p w14:paraId="7A6CA5B6" w14:textId="0D75E737" w:rsidR="009B380F" w:rsidRDefault="009B380F" w:rsidP="009B380F">
            <w:r>
              <w:t xml:space="preserve">Relocation only occurs between the 6 regions and not to a location outside </w:t>
            </w:r>
            <w:proofErr w:type="spellStart"/>
            <w:r>
              <w:t>Storslysia</w:t>
            </w:r>
            <w:proofErr w:type="spellEnd"/>
            <w:r>
              <w:t>.</w:t>
            </w:r>
          </w:p>
        </w:tc>
        <w:tc>
          <w:tcPr>
            <w:tcW w:w="5760" w:type="dxa"/>
          </w:tcPr>
          <w:p w14:paraId="351E378C" w14:textId="42377DF8" w:rsidR="009B380F" w:rsidRDefault="00E27EEB" w:rsidP="009B380F">
            <w:r>
              <w:t xml:space="preserve">Constant population behaviour </w:t>
            </w:r>
            <w:r w:rsidR="0742459C">
              <w:t>do</w:t>
            </w:r>
            <w:r w:rsidR="17A303BA">
              <w:t>es</w:t>
            </w:r>
            <w:r w:rsidR="003D327C">
              <w:t xml:space="preserve"> not need to create parameters for external region.</w:t>
            </w:r>
          </w:p>
        </w:tc>
      </w:tr>
      <w:tr w:rsidR="009B380F" w14:paraId="6C277F6A" w14:textId="77777777" w:rsidTr="00C66361">
        <w:tc>
          <w:tcPr>
            <w:tcW w:w="3256" w:type="dxa"/>
          </w:tcPr>
          <w:p w14:paraId="164E030B" w14:textId="7C551EA0" w:rsidR="009B380F" w:rsidRDefault="009B380F" w:rsidP="009B380F">
            <w:r>
              <w:t>No person will relocate for reasons outside of ‘voluntary’, ‘proactive’ and ‘involuntary’.</w:t>
            </w:r>
          </w:p>
        </w:tc>
        <w:tc>
          <w:tcPr>
            <w:tcW w:w="5760" w:type="dxa"/>
          </w:tcPr>
          <w:p w14:paraId="49D78574" w14:textId="10E0CFD3" w:rsidR="009B380F" w:rsidRDefault="001E625C" w:rsidP="009B380F">
            <w:r>
              <w:t>There is limited census data</w:t>
            </w:r>
            <w:r w:rsidR="003B65C2">
              <w:t xml:space="preserve"> and external reasons for relocation are therefore difficult to predict. </w:t>
            </w:r>
            <w:r w:rsidR="00312223">
              <w:t>Hence, this assumption i</w:t>
            </w:r>
            <w:r w:rsidR="00275357">
              <w:t>mprove</w:t>
            </w:r>
            <w:r w:rsidR="00CB4117">
              <w:t>s</w:t>
            </w:r>
            <w:r w:rsidR="00275357">
              <w:t xml:space="preserve"> accuracy for relocation rate projections</w:t>
            </w:r>
            <w:r w:rsidR="00CB4117">
              <w:t>.</w:t>
            </w:r>
          </w:p>
        </w:tc>
      </w:tr>
      <w:tr w:rsidR="009B380F" w14:paraId="3E73EBBF" w14:textId="77777777" w:rsidTr="00C66361">
        <w:tc>
          <w:tcPr>
            <w:tcW w:w="3256" w:type="dxa"/>
          </w:tcPr>
          <w:p w14:paraId="2BA790DE" w14:textId="604C9135" w:rsidR="009B380F" w:rsidRDefault="009B380F" w:rsidP="009B380F">
            <w:r>
              <w:t>GDP and cost of relocation grows at the same rate over time.</w:t>
            </w:r>
          </w:p>
        </w:tc>
        <w:tc>
          <w:tcPr>
            <w:tcW w:w="5760" w:type="dxa"/>
          </w:tcPr>
          <w:p w14:paraId="566D6977" w14:textId="746B7BC3" w:rsidR="009B380F" w:rsidRDefault="009B380F" w:rsidP="009B380F">
            <w:r>
              <w:t>Suggests that the program’s success will continue in the future if its costs are below 10% of GDP in the considered timeframe.</w:t>
            </w:r>
          </w:p>
        </w:tc>
      </w:tr>
      <w:tr w:rsidR="002045B3" w14:paraId="141F0DC2" w14:textId="77777777" w:rsidTr="00C66361">
        <w:tc>
          <w:tcPr>
            <w:tcW w:w="3256" w:type="dxa"/>
          </w:tcPr>
          <w:p w14:paraId="46344345" w14:textId="4A72B1B8" w:rsidR="002045B3" w:rsidRDefault="5A724BA4" w:rsidP="009B380F">
            <w:r>
              <w:t>Population behaviour between r</w:t>
            </w:r>
            <w:r w:rsidR="320E497D">
              <w:t xml:space="preserve">ich and poor people are </w:t>
            </w:r>
            <w:r w:rsidR="53E77F88">
              <w:t>the</w:t>
            </w:r>
            <w:r w:rsidR="5196C063">
              <w:t xml:space="preserve"> </w:t>
            </w:r>
            <w:r w:rsidR="320E497D">
              <w:t>same across regions</w:t>
            </w:r>
          </w:p>
        </w:tc>
        <w:tc>
          <w:tcPr>
            <w:tcW w:w="5760" w:type="dxa"/>
          </w:tcPr>
          <w:p w14:paraId="5E05807C" w14:textId="6F1CF4D1" w:rsidR="002045B3" w:rsidRDefault="0AEA30FD" w:rsidP="009B380F">
            <w:r>
              <w:t>Implies the</w:t>
            </w:r>
            <w:r w:rsidR="39E5B041">
              <w:t xml:space="preserve"> same percentage of rich and poor people </w:t>
            </w:r>
            <w:r w:rsidR="0DAC80DA">
              <w:t xml:space="preserve">move between regions, which </w:t>
            </w:r>
            <w:r w:rsidR="46A8284D">
              <w:t>improve accuracy of pricing and cost projection.</w:t>
            </w:r>
          </w:p>
        </w:tc>
      </w:tr>
    </w:tbl>
    <w:p w14:paraId="2BDF76F1" w14:textId="77777777" w:rsidR="003700CB" w:rsidRDefault="003700CB" w:rsidP="051CFCB7">
      <w:pPr>
        <w:spacing w:line="256" w:lineRule="auto"/>
        <w:rPr>
          <w:b/>
          <w:bCs/>
          <w:color w:val="808080" w:themeColor="background1" w:themeShade="80"/>
        </w:rPr>
      </w:pPr>
    </w:p>
    <w:p w14:paraId="55F738B4" w14:textId="392A1288" w:rsidR="00944191" w:rsidRPr="008C7570" w:rsidRDefault="008C7570" w:rsidP="051CFCB7">
      <w:pPr>
        <w:spacing w:line="256" w:lineRule="auto"/>
        <w:rPr>
          <w:b/>
          <w:bCs/>
          <w:color w:val="808080" w:themeColor="background1" w:themeShade="80"/>
        </w:rPr>
      </w:pPr>
      <w:r w:rsidRPr="008C7570">
        <w:rPr>
          <w:b/>
          <w:bCs/>
          <w:color w:val="808080" w:themeColor="background1" w:themeShade="80"/>
        </w:rPr>
        <w:t>Program Cost Assumptions</w:t>
      </w:r>
    </w:p>
    <w:p w14:paraId="40C94EDB" w14:textId="462838AD" w:rsidR="00944191" w:rsidRDefault="00944191" w:rsidP="051CFCB7">
      <w:pPr>
        <w:spacing w:line="256" w:lineRule="auto"/>
      </w:pPr>
      <w:r>
        <w:t>The assumptions below have the most significant impact on program costs: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3700CB" w14:paraId="7F6E4674" w14:textId="77777777" w:rsidTr="003700CB">
        <w:tc>
          <w:tcPr>
            <w:tcW w:w="3256" w:type="dxa"/>
            <w:shd w:val="clear" w:color="auto" w:fill="EDEDED" w:themeFill="accent3" w:themeFillTint="33"/>
          </w:tcPr>
          <w:p w14:paraId="4C97ED9D" w14:textId="1E50A911" w:rsidR="003700CB" w:rsidRPr="00512F56" w:rsidRDefault="003700CB" w:rsidP="003700CB">
            <w:pPr>
              <w:spacing w:line="256" w:lineRule="auto"/>
              <w:rPr>
                <w:b/>
                <w:bCs/>
              </w:rPr>
            </w:pPr>
            <w:r w:rsidRPr="00512F56">
              <w:rPr>
                <w:b/>
                <w:bCs/>
              </w:rPr>
              <w:t>Assumption</w:t>
            </w:r>
          </w:p>
        </w:tc>
        <w:tc>
          <w:tcPr>
            <w:tcW w:w="5760" w:type="dxa"/>
            <w:shd w:val="clear" w:color="auto" w:fill="EDEDED" w:themeFill="accent3" w:themeFillTint="33"/>
          </w:tcPr>
          <w:p w14:paraId="7B838410" w14:textId="1772C2A0" w:rsidR="003700CB" w:rsidRPr="00512F56" w:rsidRDefault="003700CB" w:rsidP="003700CB">
            <w:pPr>
              <w:rPr>
                <w:b/>
                <w:bCs/>
              </w:rPr>
            </w:pPr>
            <w:r w:rsidRPr="00512F56">
              <w:rPr>
                <w:b/>
                <w:bCs/>
              </w:rPr>
              <w:t>Justification</w:t>
            </w:r>
          </w:p>
        </w:tc>
      </w:tr>
      <w:tr w:rsidR="003700CB" w14:paraId="572079B9" w14:textId="77777777" w:rsidTr="008C7570">
        <w:tc>
          <w:tcPr>
            <w:tcW w:w="3256" w:type="dxa"/>
          </w:tcPr>
          <w:p w14:paraId="2DE3ACCD" w14:textId="77777777" w:rsidR="003700CB" w:rsidRDefault="003700CB" w:rsidP="003700CB">
            <w:pPr>
              <w:spacing w:line="256" w:lineRule="auto"/>
            </w:pPr>
            <w:r>
              <w:lastRenderedPageBreak/>
              <w:t>The model assumes that the property value is uniformly distributed in each band.</w:t>
            </w:r>
          </w:p>
          <w:p w14:paraId="6C998FB9" w14:textId="77777777" w:rsidR="003700CB" w:rsidRDefault="003700CB" w:rsidP="003700CB"/>
        </w:tc>
        <w:tc>
          <w:tcPr>
            <w:tcW w:w="5760" w:type="dxa"/>
          </w:tcPr>
          <w:p w14:paraId="5A2BA331" w14:textId="72A23818" w:rsidR="003700CB" w:rsidRDefault="007240C2" w:rsidP="003700CB">
            <w:r>
              <w:t>This facilitates the separation</w:t>
            </w:r>
            <w:r w:rsidR="00CE214C">
              <w:t xml:space="preserve"> of property value groups</w:t>
            </w:r>
            <w:r w:rsidR="00114893">
              <w:t xml:space="preserve"> in </w:t>
            </w:r>
            <w:r w:rsidR="00D410E4">
              <w:t>our calculations</w:t>
            </w:r>
          </w:p>
        </w:tc>
      </w:tr>
      <w:tr w:rsidR="003700CB" w14:paraId="3AB2D509" w14:textId="77777777" w:rsidTr="008C7570">
        <w:tc>
          <w:tcPr>
            <w:tcW w:w="3256" w:type="dxa"/>
          </w:tcPr>
          <w:p w14:paraId="13EA8FC4" w14:textId="14F4D524" w:rsidR="003700CB" w:rsidRDefault="003700CB" w:rsidP="00D410E4">
            <w:pPr>
              <w:spacing w:line="256" w:lineRule="auto"/>
            </w:pPr>
            <w:r>
              <w:t xml:space="preserve">The model assumes that each injury is associated with an economic cost of 100,000 and each death is associated with an economic cost of 300,000. </w:t>
            </w:r>
          </w:p>
        </w:tc>
        <w:tc>
          <w:tcPr>
            <w:tcW w:w="5760" w:type="dxa"/>
          </w:tcPr>
          <w:p w14:paraId="289A18B6" w14:textId="105C185C" w:rsidR="003700CB" w:rsidRDefault="00946B65" w:rsidP="003700CB">
            <w:r>
              <w:t>Injuries and deaths contribute to a reduction in economic activity</w:t>
            </w:r>
            <w:r w:rsidR="005E36E7">
              <w:t xml:space="preserve"> as well as </w:t>
            </w:r>
            <w:r w:rsidR="00D7256E">
              <w:t xml:space="preserve">additional costs </w:t>
            </w:r>
            <w:r w:rsidR="00C325BB">
              <w:t xml:space="preserve">towards the budget. </w:t>
            </w:r>
            <w:r w:rsidR="00B11A5A">
              <w:t xml:space="preserve">This estimation </w:t>
            </w:r>
            <w:r w:rsidR="00CC6426">
              <w:t>allows the program to take these costs into account.</w:t>
            </w:r>
          </w:p>
        </w:tc>
      </w:tr>
    </w:tbl>
    <w:p w14:paraId="0EA1399C" w14:textId="15A4D018" w:rsidR="005A7736" w:rsidRDefault="005A7736" w:rsidP="00E41008"/>
    <w:p w14:paraId="1F954715" w14:textId="15A4D018" w:rsidR="00835E31" w:rsidRPr="00512F56" w:rsidRDefault="00835E31" w:rsidP="00E41008">
      <w:pPr>
        <w:rPr>
          <w:b/>
          <w:bCs/>
          <w:color w:val="808080" w:themeColor="background1" w:themeShade="80"/>
        </w:rPr>
      </w:pPr>
      <w:r w:rsidRPr="00512F56">
        <w:rPr>
          <w:b/>
          <w:bCs/>
          <w:color w:val="808080" w:themeColor="background1" w:themeShade="80"/>
        </w:rPr>
        <w:t>Other Assumptions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3D70D2EE" w:rsidRPr="00512F56" w14:paraId="5BA4FBE6" w14:textId="77777777" w:rsidTr="56CA7A7E">
        <w:trPr>
          <w:trHeight w:val="300"/>
        </w:trPr>
        <w:tc>
          <w:tcPr>
            <w:tcW w:w="3256" w:type="dxa"/>
            <w:shd w:val="clear" w:color="auto" w:fill="EDEDED" w:themeFill="accent3" w:themeFillTint="33"/>
          </w:tcPr>
          <w:p w14:paraId="540685F2" w14:textId="0DA92BFD" w:rsidR="3D70D2EE" w:rsidRPr="00512F56" w:rsidRDefault="3D70D2EE">
            <w:pPr>
              <w:rPr>
                <w:b/>
                <w:bCs/>
              </w:rPr>
            </w:pPr>
            <w:r w:rsidRPr="00512F56">
              <w:rPr>
                <w:b/>
                <w:bCs/>
              </w:rPr>
              <w:t>Assumption</w:t>
            </w:r>
          </w:p>
        </w:tc>
        <w:tc>
          <w:tcPr>
            <w:tcW w:w="5760" w:type="dxa"/>
            <w:shd w:val="clear" w:color="auto" w:fill="EDEDED" w:themeFill="accent3" w:themeFillTint="33"/>
          </w:tcPr>
          <w:p w14:paraId="0B7D03E3" w14:textId="76B33C6C" w:rsidR="3D70D2EE" w:rsidRPr="00512F56" w:rsidRDefault="3D70D2EE">
            <w:pPr>
              <w:rPr>
                <w:b/>
                <w:bCs/>
              </w:rPr>
            </w:pPr>
            <w:r w:rsidRPr="00512F56">
              <w:rPr>
                <w:b/>
                <w:bCs/>
              </w:rPr>
              <w:t>Justification</w:t>
            </w:r>
          </w:p>
        </w:tc>
      </w:tr>
      <w:tr w:rsidR="3D70D2EE" w14:paraId="1EFB66B9" w14:textId="77777777" w:rsidTr="56CA7A7E">
        <w:trPr>
          <w:trHeight w:val="300"/>
        </w:trPr>
        <w:tc>
          <w:tcPr>
            <w:tcW w:w="3256" w:type="dxa"/>
          </w:tcPr>
          <w:p w14:paraId="27EB034B" w14:textId="5D2D1EB2" w:rsidR="3D70D2EE" w:rsidRDefault="6A80D4EC" w:rsidP="706F05D4">
            <w:pPr>
              <w:spacing w:line="256" w:lineRule="auto"/>
            </w:pPr>
            <w:r>
              <w:t>No transition between SSP scenarios between 2020 and 2150.</w:t>
            </w:r>
          </w:p>
        </w:tc>
        <w:tc>
          <w:tcPr>
            <w:tcW w:w="5760" w:type="dxa"/>
          </w:tcPr>
          <w:p w14:paraId="078F0547" w14:textId="2E18CF0F" w:rsidR="3D70D2EE" w:rsidRDefault="2005E6FA" w:rsidP="5F762818">
            <w:pPr>
              <w:spacing w:line="256" w:lineRule="auto"/>
            </w:pPr>
            <w:r>
              <w:t xml:space="preserve">Being able to </w:t>
            </w:r>
            <w:r w:rsidR="280BC721">
              <w:t>apply</w:t>
            </w:r>
            <w:r w:rsidR="0FFAC0C7">
              <w:t xml:space="preserve"> the frequency projection model provided</w:t>
            </w:r>
            <w:r w:rsidR="283F7E44">
              <w:t>.</w:t>
            </w:r>
          </w:p>
        </w:tc>
      </w:tr>
      <w:tr w:rsidR="5ECD8237" w14:paraId="20AD67FD" w14:textId="77777777" w:rsidTr="56CA7A7E">
        <w:trPr>
          <w:trHeight w:val="300"/>
        </w:trPr>
        <w:tc>
          <w:tcPr>
            <w:tcW w:w="3256" w:type="dxa"/>
          </w:tcPr>
          <w:p w14:paraId="5C04A07B" w14:textId="099421B6" w:rsidR="5ECD8237" w:rsidRDefault="470E82B7" w:rsidP="5ECD8237">
            <w:pPr>
              <w:spacing w:line="256" w:lineRule="auto"/>
            </w:pPr>
            <w:proofErr w:type="spellStart"/>
            <w:r>
              <w:t>Storslysia</w:t>
            </w:r>
            <w:proofErr w:type="spellEnd"/>
            <w:r>
              <w:t xml:space="preserve"> inflation and interest rates are </w:t>
            </w:r>
            <w:r w:rsidR="2A83C040">
              <w:t xml:space="preserve">assumed </w:t>
            </w:r>
            <w:r w:rsidR="5C6500D7">
              <w:t>constant annually.</w:t>
            </w:r>
          </w:p>
        </w:tc>
        <w:tc>
          <w:tcPr>
            <w:tcW w:w="5760" w:type="dxa"/>
          </w:tcPr>
          <w:p w14:paraId="31B80E3F" w14:textId="69CF29B6" w:rsidR="5ECD8237" w:rsidRDefault="288797E1" w:rsidP="5ECD8237">
            <w:pPr>
              <w:spacing w:line="256" w:lineRule="auto"/>
            </w:pPr>
            <w:r>
              <w:t xml:space="preserve">Makes it compatible </w:t>
            </w:r>
            <w:r w:rsidR="53EA6652">
              <w:t>with</w:t>
            </w:r>
            <w:r>
              <w:t xml:space="preserve"> the pricing and cost </w:t>
            </w:r>
            <w:r w:rsidR="68017884">
              <w:t xml:space="preserve">calculation </w:t>
            </w:r>
            <w:r>
              <w:t>of the relocation scheme.</w:t>
            </w:r>
          </w:p>
        </w:tc>
      </w:tr>
      <w:tr w:rsidR="7A1577E0" w14:paraId="6E69F151" w14:textId="77777777" w:rsidTr="56CA7A7E">
        <w:trPr>
          <w:trHeight w:val="300"/>
        </w:trPr>
        <w:tc>
          <w:tcPr>
            <w:tcW w:w="3256" w:type="dxa"/>
          </w:tcPr>
          <w:p w14:paraId="05E6EFBC" w14:textId="5F200588" w:rsidR="7A1577E0" w:rsidRDefault="0D8587E1" w:rsidP="7A1577E0">
            <w:pPr>
              <w:spacing w:line="256" w:lineRule="auto"/>
            </w:pPr>
            <w:r>
              <w:t>Current p</w:t>
            </w:r>
            <w:r w:rsidR="4B1CA133">
              <w:t xml:space="preserve">opulation of each region </w:t>
            </w:r>
            <w:r w:rsidR="02623783">
              <w:t xml:space="preserve">only </w:t>
            </w:r>
            <w:r w:rsidR="4B1CA133">
              <w:t>increased by 30%</w:t>
            </w:r>
          </w:p>
        </w:tc>
        <w:tc>
          <w:tcPr>
            <w:tcW w:w="5760" w:type="dxa"/>
          </w:tcPr>
          <w:p w14:paraId="507DA7BE" w14:textId="1D5FCEB9" w:rsidR="7A1577E0" w:rsidRDefault="00FF0D2B" w:rsidP="7A1577E0">
            <w:pPr>
              <w:spacing w:line="256" w:lineRule="auto"/>
            </w:pPr>
            <w:r>
              <w:t>Ensures</w:t>
            </w:r>
            <w:r w:rsidR="71E3FDC5">
              <w:t xml:space="preserve"> </w:t>
            </w:r>
            <w:r w:rsidR="4B1CA133">
              <w:t>there is no overpopulation</w:t>
            </w:r>
            <w:r w:rsidR="00AF109C">
              <w:t xml:space="preserve">, resulting in resource depletion, unemployment, </w:t>
            </w:r>
            <w:r w:rsidR="00854F6F">
              <w:t>housing,</w:t>
            </w:r>
            <w:r w:rsidR="00AF109C">
              <w:t xml:space="preserve"> and healthcare </w:t>
            </w:r>
            <w:r w:rsidR="00854F6F">
              <w:t>issues, etc.</w:t>
            </w:r>
          </w:p>
        </w:tc>
      </w:tr>
      <w:tr w:rsidR="00FA291A" w14:paraId="2B86F503" w14:textId="77777777" w:rsidTr="56CA7A7E">
        <w:trPr>
          <w:trHeight w:val="300"/>
        </w:trPr>
        <w:tc>
          <w:tcPr>
            <w:tcW w:w="3256" w:type="dxa"/>
          </w:tcPr>
          <w:p w14:paraId="0329428D" w14:textId="7AB3189F" w:rsidR="00FA291A" w:rsidRDefault="00FA291A" w:rsidP="7A1577E0">
            <w:pPr>
              <w:spacing w:line="256" w:lineRule="auto"/>
            </w:pPr>
            <w:r w:rsidRPr="4B98DB70">
              <w:t xml:space="preserve">The program </w:t>
            </w:r>
            <w:r w:rsidRPr="7F7F2422">
              <w:t>prioritises</w:t>
            </w:r>
            <w:r w:rsidRPr="4B98DB70">
              <w:t xml:space="preserve"> claims from individuals in higher risk regions over those in lower risk regions</w:t>
            </w:r>
            <w:r w:rsidRPr="2E2AEA1F">
              <w:t xml:space="preserve"> </w:t>
            </w:r>
          </w:p>
        </w:tc>
        <w:tc>
          <w:tcPr>
            <w:tcW w:w="5760" w:type="dxa"/>
          </w:tcPr>
          <w:p w14:paraId="60EAD1FE" w14:textId="0DFF347C" w:rsidR="00FA291A" w:rsidRDefault="00FA291A" w:rsidP="7A1577E0">
            <w:pPr>
              <w:spacing w:line="256" w:lineRule="auto"/>
            </w:pPr>
            <w:r>
              <w:t xml:space="preserve">This is due to limited resources. </w:t>
            </w:r>
            <w:r w:rsidRPr="4B98DB70">
              <w:t>Additionally, the program gives priority to individuals with lower socio-economic status, as they are at greater risk of suffering from the impact of the natural disaster.</w:t>
            </w:r>
          </w:p>
        </w:tc>
      </w:tr>
    </w:tbl>
    <w:p w14:paraId="328DB09C" w14:textId="11F1BD00" w:rsidR="272EF931" w:rsidRDefault="272EF931" w:rsidP="272EF931">
      <w:pPr>
        <w:rPr>
          <w:b/>
          <w:bCs/>
        </w:rPr>
      </w:pPr>
    </w:p>
    <w:p w14:paraId="5FC66291" w14:textId="228FCB72" w:rsidR="00835E31" w:rsidRPr="00835E31" w:rsidRDefault="00835E31" w:rsidP="00E41008">
      <w:pPr>
        <w:rPr>
          <w:b/>
          <w:bCs/>
        </w:rPr>
      </w:pPr>
    </w:p>
    <w:sectPr w:rsidR="00835E31" w:rsidRPr="00835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45E8A"/>
    <w:multiLevelType w:val="hybridMultilevel"/>
    <w:tmpl w:val="92241D14"/>
    <w:lvl w:ilvl="0" w:tplc="87BA6A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D64DA"/>
    <w:multiLevelType w:val="hybridMultilevel"/>
    <w:tmpl w:val="8AAEC2B2"/>
    <w:lvl w:ilvl="0" w:tplc="87BA6A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2773A"/>
    <w:multiLevelType w:val="hybridMultilevel"/>
    <w:tmpl w:val="75CCB452"/>
    <w:lvl w:ilvl="0" w:tplc="8432DF12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46265348">
    <w:abstractNumId w:val="0"/>
  </w:num>
  <w:num w:numId="2" w16cid:durableId="1031144861">
    <w:abstractNumId w:val="1"/>
  </w:num>
  <w:num w:numId="3" w16cid:durableId="549002444">
    <w:abstractNumId w:val="2"/>
  </w:num>
  <w:num w:numId="4" w16cid:durableId="1292174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36"/>
    <w:rsid w:val="00016264"/>
    <w:rsid w:val="000219D6"/>
    <w:rsid w:val="00026439"/>
    <w:rsid w:val="00031341"/>
    <w:rsid w:val="00035696"/>
    <w:rsid w:val="0004420D"/>
    <w:rsid w:val="00047558"/>
    <w:rsid w:val="000570F2"/>
    <w:rsid w:val="0006192B"/>
    <w:rsid w:val="00063FAB"/>
    <w:rsid w:val="00066E8A"/>
    <w:rsid w:val="00076511"/>
    <w:rsid w:val="00090657"/>
    <w:rsid w:val="00090809"/>
    <w:rsid w:val="00092870"/>
    <w:rsid w:val="000B7F47"/>
    <w:rsid w:val="000C33ED"/>
    <w:rsid w:val="000D26BF"/>
    <w:rsid w:val="000D2739"/>
    <w:rsid w:val="000D68D3"/>
    <w:rsid w:val="000E344B"/>
    <w:rsid w:val="000E4015"/>
    <w:rsid w:val="000F6BCE"/>
    <w:rsid w:val="000F71FE"/>
    <w:rsid w:val="001007E1"/>
    <w:rsid w:val="00104264"/>
    <w:rsid w:val="001129F6"/>
    <w:rsid w:val="0011314D"/>
    <w:rsid w:val="001142A7"/>
    <w:rsid w:val="00114893"/>
    <w:rsid w:val="0011729D"/>
    <w:rsid w:val="00131218"/>
    <w:rsid w:val="00131A22"/>
    <w:rsid w:val="00142501"/>
    <w:rsid w:val="001614B1"/>
    <w:rsid w:val="001747A9"/>
    <w:rsid w:val="00190299"/>
    <w:rsid w:val="00195E11"/>
    <w:rsid w:val="001A21D0"/>
    <w:rsid w:val="001C7150"/>
    <w:rsid w:val="001E0C5B"/>
    <w:rsid w:val="001E38E1"/>
    <w:rsid w:val="001E625C"/>
    <w:rsid w:val="001F076E"/>
    <w:rsid w:val="002027AD"/>
    <w:rsid w:val="00202D94"/>
    <w:rsid w:val="002045B3"/>
    <w:rsid w:val="00215E97"/>
    <w:rsid w:val="00217E6D"/>
    <w:rsid w:val="00221163"/>
    <w:rsid w:val="00221CEE"/>
    <w:rsid w:val="00223C63"/>
    <w:rsid w:val="0023091C"/>
    <w:rsid w:val="00237AE4"/>
    <w:rsid w:val="002527F5"/>
    <w:rsid w:val="00275357"/>
    <w:rsid w:val="00280817"/>
    <w:rsid w:val="00286A24"/>
    <w:rsid w:val="002905A6"/>
    <w:rsid w:val="002A48C6"/>
    <w:rsid w:val="002A6699"/>
    <w:rsid w:val="002A7CB7"/>
    <w:rsid w:val="002C0F40"/>
    <w:rsid w:val="002D0BD1"/>
    <w:rsid w:val="002E1928"/>
    <w:rsid w:val="002E5EE2"/>
    <w:rsid w:val="002F34C0"/>
    <w:rsid w:val="002F37B4"/>
    <w:rsid w:val="002F7A25"/>
    <w:rsid w:val="00311B1B"/>
    <w:rsid w:val="00312223"/>
    <w:rsid w:val="003215C0"/>
    <w:rsid w:val="003342B4"/>
    <w:rsid w:val="00337760"/>
    <w:rsid w:val="00337864"/>
    <w:rsid w:val="0034020C"/>
    <w:rsid w:val="003511E1"/>
    <w:rsid w:val="003700CB"/>
    <w:rsid w:val="00375C15"/>
    <w:rsid w:val="0038055C"/>
    <w:rsid w:val="003915DF"/>
    <w:rsid w:val="003B5B3A"/>
    <w:rsid w:val="003B65C2"/>
    <w:rsid w:val="003C396C"/>
    <w:rsid w:val="003D0EEA"/>
    <w:rsid w:val="003D327C"/>
    <w:rsid w:val="003F342B"/>
    <w:rsid w:val="0040012B"/>
    <w:rsid w:val="00400E54"/>
    <w:rsid w:val="00402AAF"/>
    <w:rsid w:val="004111AD"/>
    <w:rsid w:val="004113EB"/>
    <w:rsid w:val="00421259"/>
    <w:rsid w:val="0044493A"/>
    <w:rsid w:val="004478AC"/>
    <w:rsid w:val="004504C7"/>
    <w:rsid w:val="004622D4"/>
    <w:rsid w:val="00487A4F"/>
    <w:rsid w:val="00493720"/>
    <w:rsid w:val="004A1194"/>
    <w:rsid w:val="004A7B00"/>
    <w:rsid w:val="004C4F36"/>
    <w:rsid w:val="00503C87"/>
    <w:rsid w:val="00504F73"/>
    <w:rsid w:val="00512F56"/>
    <w:rsid w:val="005133B0"/>
    <w:rsid w:val="00513952"/>
    <w:rsid w:val="00530CB7"/>
    <w:rsid w:val="005360F0"/>
    <w:rsid w:val="005452B8"/>
    <w:rsid w:val="0054575B"/>
    <w:rsid w:val="00551CF3"/>
    <w:rsid w:val="005538EA"/>
    <w:rsid w:val="0055658A"/>
    <w:rsid w:val="005632D9"/>
    <w:rsid w:val="0058050D"/>
    <w:rsid w:val="005A729D"/>
    <w:rsid w:val="005A7736"/>
    <w:rsid w:val="005B3898"/>
    <w:rsid w:val="005D21E2"/>
    <w:rsid w:val="005D4B89"/>
    <w:rsid w:val="005D68CC"/>
    <w:rsid w:val="005E26E2"/>
    <w:rsid w:val="005E3106"/>
    <w:rsid w:val="005E36E7"/>
    <w:rsid w:val="005E3902"/>
    <w:rsid w:val="005E47A8"/>
    <w:rsid w:val="00625A2D"/>
    <w:rsid w:val="00631A2C"/>
    <w:rsid w:val="006437BE"/>
    <w:rsid w:val="00644FE3"/>
    <w:rsid w:val="00656580"/>
    <w:rsid w:val="0066205C"/>
    <w:rsid w:val="006628CA"/>
    <w:rsid w:val="00664EC9"/>
    <w:rsid w:val="0066719C"/>
    <w:rsid w:val="00673326"/>
    <w:rsid w:val="006806DF"/>
    <w:rsid w:val="006811DA"/>
    <w:rsid w:val="00683FE5"/>
    <w:rsid w:val="0068419E"/>
    <w:rsid w:val="0068709B"/>
    <w:rsid w:val="00687EFB"/>
    <w:rsid w:val="0069641D"/>
    <w:rsid w:val="006A15A4"/>
    <w:rsid w:val="006A4E25"/>
    <w:rsid w:val="006B3395"/>
    <w:rsid w:val="006B559D"/>
    <w:rsid w:val="006C51C0"/>
    <w:rsid w:val="006D0FA4"/>
    <w:rsid w:val="006D7C3B"/>
    <w:rsid w:val="006E0132"/>
    <w:rsid w:val="006E3704"/>
    <w:rsid w:val="00704FE6"/>
    <w:rsid w:val="00705F80"/>
    <w:rsid w:val="00711299"/>
    <w:rsid w:val="00717B2D"/>
    <w:rsid w:val="007240C2"/>
    <w:rsid w:val="0073267E"/>
    <w:rsid w:val="00734EB5"/>
    <w:rsid w:val="00735E7D"/>
    <w:rsid w:val="007427E8"/>
    <w:rsid w:val="00743A54"/>
    <w:rsid w:val="00746047"/>
    <w:rsid w:val="007467A2"/>
    <w:rsid w:val="00757AA2"/>
    <w:rsid w:val="0076607C"/>
    <w:rsid w:val="007753BA"/>
    <w:rsid w:val="00775A00"/>
    <w:rsid w:val="00780902"/>
    <w:rsid w:val="00785470"/>
    <w:rsid w:val="007857FC"/>
    <w:rsid w:val="007979EB"/>
    <w:rsid w:val="007A0F48"/>
    <w:rsid w:val="007A1821"/>
    <w:rsid w:val="007B797B"/>
    <w:rsid w:val="007D051F"/>
    <w:rsid w:val="007E4741"/>
    <w:rsid w:val="007E6689"/>
    <w:rsid w:val="007F0C0F"/>
    <w:rsid w:val="007F3A1B"/>
    <w:rsid w:val="0082174B"/>
    <w:rsid w:val="008232B0"/>
    <w:rsid w:val="00835575"/>
    <w:rsid w:val="00835E31"/>
    <w:rsid w:val="00854F6F"/>
    <w:rsid w:val="008559AD"/>
    <w:rsid w:val="00863154"/>
    <w:rsid w:val="008661A3"/>
    <w:rsid w:val="00882830"/>
    <w:rsid w:val="00886229"/>
    <w:rsid w:val="00886430"/>
    <w:rsid w:val="00887C70"/>
    <w:rsid w:val="00894564"/>
    <w:rsid w:val="00896DB2"/>
    <w:rsid w:val="008A0090"/>
    <w:rsid w:val="008B32B1"/>
    <w:rsid w:val="008C485A"/>
    <w:rsid w:val="008C7570"/>
    <w:rsid w:val="008E7677"/>
    <w:rsid w:val="008E7B00"/>
    <w:rsid w:val="009209A2"/>
    <w:rsid w:val="00923F7D"/>
    <w:rsid w:val="00944191"/>
    <w:rsid w:val="00946B65"/>
    <w:rsid w:val="0095139E"/>
    <w:rsid w:val="009A409F"/>
    <w:rsid w:val="009A534A"/>
    <w:rsid w:val="009B380F"/>
    <w:rsid w:val="009D02B6"/>
    <w:rsid w:val="009D5F20"/>
    <w:rsid w:val="009D61E0"/>
    <w:rsid w:val="00A04F0C"/>
    <w:rsid w:val="00A21AE3"/>
    <w:rsid w:val="00A251DD"/>
    <w:rsid w:val="00A3166E"/>
    <w:rsid w:val="00A326A3"/>
    <w:rsid w:val="00A45A25"/>
    <w:rsid w:val="00A551C3"/>
    <w:rsid w:val="00A55556"/>
    <w:rsid w:val="00A6090A"/>
    <w:rsid w:val="00A613A1"/>
    <w:rsid w:val="00A6660A"/>
    <w:rsid w:val="00A70CEC"/>
    <w:rsid w:val="00A7265B"/>
    <w:rsid w:val="00A81DAF"/>
    <w:rsid w:val="00A90273"/>
    <w:rsid w:val="00A96004"/>
    <w:rsid w:val="00A97416"/>
    <w:rsid w:val="00AA3261"/>
    <w:rsid w:val="00AA40B0"/>
    <w:rsid w:val="00AB52C5"/>
    <w:rsid w:val="00AE5F70"/>
    <w:rsid w:val="00AF109C"/>
    <w:rsid w:val="00AF1FC8"/>
    <w:rsid w:val="00B11A5A"/>
    <w:rsid w:val="00B12917"/>
    <w:rsid w:val="00B218DE"/>
    <w:rsid w:val="00B2793B"/>
    <w:rsid w:val="00B47CCA"/>
    <w:rsid w:val="00B53DE6"/>
    <w:rsid w:val="00BA298D"/>
    <w:rsid w:val="00BA5236"/>
    <w:rsid w:val="00BA6537"/>
    <w:rsid w:val="00BA68E9"/>
    <w:rsid w:val="00BD74DE"/>
    <w:rsid w:val="00BE74B4"/>
    <w:rsid w:val="00BF6238"/>
    <w:rsid w:val="00C00DC1"/>
    <w:rsid w:val="00C325BB"/>
    <w:rsid w:val="00C3337E"/>
    <w:rsid w:val="00C43D1C"/>
    <w:rsid w:val="00C4422E"/>
    <w:rsid w:val="00C443C9"/>
    <w:rsid w:val="00C46963"/>
    <w:rsid w:val="00C5155D"/>
    <w:rsid w:val="00C66361"/>
    <w:rsid w:val="00C716F6"/>
    <w:rsid w:val="00C7271E"/>
    <w:rsid w:val="00C815E0"/>
    <w:rsid w:val="00C91642"/>
    <w:rsid w:val="00C93152"/>
    <w:rsid w:val="00C9357B"/>
    <w:rsid w:val="00CB027C"/>
    <w:rsid w:val="00CB4117"/>
    <w:rsid w:val="00CC6426"/>
    <w:rsid w:val="00CD0103"/>
    <w:rsid w:val="00CD0C8E"/>
    <w:rsid w:val="00CD0D85"/>
    <w:rsid w:val="00CD499A"/>
    <w:rsid w:val="00CE214C"/>
    <w:rsid w:val="00CE7140"/>
    <w:rsid w:val="00CF34C2"/>
    <w:rsid w:val="00D065A1"/>
    <w:rsid w:val="00D21E24"/>
    <w:rsid w:val="00D24FEF"/>
    <w:rsid w:val="00D410E4"/>
    <w:rsid w:val="00D64FB8"/>
    <w:rsid w:val="00D6684C"/>
    <w:rsid w:val="00D7256E"/>
    <w:rsid w:val="00D72660"/>
    <w:rsid w:val="00D81369"/>
    <w:rsid w:val="00D86E4A"/>
    <w:rsid w:val="00D905C7"/>
    <w:rsid w:val="00D9722B"/>
    <w:rsid w:val="00DA5DBD"/>
    <w:rsid w:val="00DB36F6"/>
    <w:rsid w:val="00DB711C"/>
    <w:rsid w:val="00DC048B"/>
    <w:rsid w:val="00DD4AA6"/>
    <w:rsid w:val="00DE42FE"/>
    <w:rsid w:val="00DE4D9B"/>
    <w:rsid w:val="00E00AAE"/>
    <w:rsid w:val="00E00E15"/>
    <w:rsid w:val="00E101E8"/>
    <w:rsid w:val="00E132B2"/>
    <w:rsid w:val="00E140E6"/>
    <w:rsid w:val="00E2131A"/>
    <w:rsid w:val="00E24DF9"/>
    <w:rsid w:val="00E27EEB"/>
    <w:rsid w:val="00E41008"/>
    <w:rsid w:val="00E41DC8"/>
    <w:rsid w:val="00E42113"/>
    <w:rsid w:val="00E640C2"/>
    <w:rsid w:val="00E6AC87"/>
    <w:rsid w:val="00E76EF5"/>
    <w:rsid w:val="00E84119"/>
    <w:rsid w:val="00EA73A0"/>
    <w:rsid w:val="00EB212A"/>
    <w:rsid w:val="00EB2343"/>
    <w:rsid w:val="00EC117E"/>
    <w:rsid w:val="00EE0698"/>
    <w:rsid w:val="00EE14B5"/>
    <w:rsid w:val="00F16D38"/>
    <w:rsid w:val="00F273B2"/>
    <w:rsid w:val="00F274CA"/>
    <w:rsid w:val="00F4458C"/>
    <w:rsid w:val="00F47BA7"/>
    <w:rsid w:val="00F61420"/>
    <w:rsid w:val="00F6213F"/>
    <w:rsid w:val="00F6427D"/>
    <w:rsid w:val="00F74DAF"/>
    <w:rsid w:val="00F862B2"/>
    <w:rsid w:val="00F93CC2"/>
    <w:rsid w:val="00F9427C"/>
    <w:rsid w:val="00FA047E"/>
    <w:rsid w:val="00FA291A"/>
    <w:rsid w:val="00FA3A57"/>
    <w:rsid w:val="00FA5DA4"/>
    <w:rsid w:val="00FC301F"/>
    <w:rsid w:val="00FC7D12"/>
    <w:rsid w:val="00FD5C22"/>
    <w:rsid w:val="00FD630B"/>
    <w:rsid w:val="00FE5EDC"/>
    <w:rsid w:val="00FF0D2B"/>
    <w:rsid w:val="01D3737B"/>
    <w:rsid w:val="01E35824"/>
    <w:rsid w:val="02044823"/>
    <w:rsid w:val="02623783"/>
    <w:rsid w:val="0341BA75"/>
    <w:rsid w:val="0396633C"/>
    <w:rsid w:val="043E6612"/>
    <w:rsid w:val="047BA24C"/>
    <w:rsid w:val="04AB9526"/>
    <w:rsid w:val="04B6A6FF"/>
    <w:rsid w:val="04DD7F43"/>
    <w:rsid w:val="050B25F6"/>
    <w:rsid w:val="051CFCB7"/>
    <w:rsid w:val="05325ADB"/>
    <w:rsid w:val="0533FA05"/>
    <w:rsid w:val="05BC15E8"/>
    <w:rsid w:val="05BF3D16"/>
    <w:rsid w:val="05D1BD08"/>
    <w:rsid w:val="0644A914"/>
    <w:rsid w:val="066A4A74"/>
    <w:rsid w:val="0738FC70"/>
    <w:rsid w:val="0742459C"/>
    <w:rsid w:val="07DAE3BB"/>
    <w:rsid w:val="0887C482"/>
    <w:rsid w:val="08891847"/>
    <w:rsid w:val="09115E3F"/>
    <w:rsid w:val="09FE441A"/>
    <w:rsid w:val="0A163D87"/>
    <w:rsid w:val="0A3FBF38"/>
    <w:rsid w:val="0AEA30FD"/>
    <w:rsid w:val="0B0CD874"/>
    <w:rsid w:val="0B37BCB2"/>
    <w:rsid w:val="0BA62FE6"/>
    <w:rsid w:val="0BB6FB7E"/>
    <w:rsid w:val="0BCCC8E1"/>
    <w:rsid w:val="0BF47F51"/>
    <w:rsid w:val="0C1D11ED"/>
    <w:rsid w:val="0CAE87AF"/>
    <w:rsid w:val="0CC19386"/>
    <w:rsid w:val="0CF05675"/>
    <w:rsid w:val="0D233661"/>
    <w:rsid w:val="0D280404"/>
    <w:rsid w:val="0D8587E1"/>
    <w:rsid w:val="0DAC80DA"/>
    <w:rsid w:val="0DD4AF91"/>
    <w:rsid w:val="0DFB488C"/>
    <w:rsid w:val="0E984241"/>
    <w:rsid w:val="0E99DF41"/>
    <w:rsid w:val="0FA09A0A"/>
    <w:rsid w:val="0FACE74B"/>
    <w:rsid w:val="0FFAC0C7"/>
    <w:rsid w:val="104DD277"/>
    <w:rsid w:val="105168E4"/>
    <w:rsid w:val="10A27B3E"/>
    <w:rsid w:val="10B9A78B"/>
    <w:rsid w:val="10DCACF0"/>
    <w:rsid w:val="1138471E"/>
    <w:rsid w:val="11452ADA"/>
    <w:rsid w:val="134964F4"/>
    <w:rsid w:val="1375F337"/>
    <w:rsid w:val="13F79980"/>
    <w:rsid w:val="142DC1A8"/>
    <w:rsid w:val="145C4491"/>
    <w:rsid w:val="149980CB"/>
    <w:rsid w:val="152AF68D"/>
    <w:rsid w:val="1584BEC0"/>
    <w:rsid w:val="15A472E2"/>
    <w:rsid w:val="15D92B19"/>
    <w:rsid w:val="15FE3B15"/>
    <w:rsid w:val="16702F86"/>
    <w:rsid w:val="16A042AE"/>
    <w:rsid w:val="17257CB7"/>
    <w:rsid w:val="1748DD8C"/>
    <w:rsid w:val="17880D3D"/>
    <w:rsid w:val="17A303BA"/>
    <w:rsid w:val="181D08E8"/>
    <w:rsid w:val="18233A9E"/>
    <w:rsid w:val="185B934D"/>
    <w:rsid w:val="189CB6F3"/>
    <w:rsid w:val="18FF539B"/>
    <w:rsid w:val="190974E1"/>
    <w:rsid w:val="191EEA1C"/>
    <w:rsid w:val="1930B1D3"/>
    <w:rsid w:val="199C748E"/>
    <w:rsid w:val="19AE1E58"/>
    <w:rsid w:val="1A910B67"/>
    <w:rsid w:val="1AD9A770"/>
    <w:rsid w:val="1AEC5D3B"/>
    <w:rsid w:val="1B09FBD7"/>
    <w:rsid w:val="1B557633"/>
    <w:rsid w:val="1B889798"/>
    <w:rsid w:val="1BC8FB00"/>
    <w:rsid w:val="1BCBC91A"/>
    <w:rsid w:val="1C5F371A"/>
    <w:rsid w:val="1C8E86E9"/>
    <w:rsid w:val="1CA6C857"/>
    <w:rsid w:val="1CA91AA4"/>
    <w:rsid w:val="1D009185"/>
    <w:rsid w:val="1D15EFA9"/>
    <w:rsid w:val="1D2DE916"/>
    <w:rsid w:val="1DB8CA79"/>
    <w:rsid w:val="1DC1B930"/>
    <w:rsid w:val="1DD95815"/>
    <w:rsid w:val="1DE2525F"/>
    <w:rsid w:val="1EAE660B"/>
    <w:rsid w:val="1F1C913E"/>
    <w:rsid w:val="1F514975"/>
    <w:rsid w:val="1F727296"/>
    <w:rsid w:val="1F98DAB2"/>
    <w:rsid w:val="2005E6FA"/>
    <w:rsid w:val="2009A12E"/>
    <w:rsid w:val="206CAD15"/>
    <w:rsid w:val="2094585A"/>
    <w:rsid w:val="209977C6"/>
    <w:rsid w:val="209A04A6"/>
    <w:rsid w:val="209FA97C"/>
    <w:rsid w:val="20DD6503"/>
    <w:rsid w:val="211925D1"/>
    <w:rsid w:val="21A7B95F"/>
    <w:rsid w:val="21AD20B1"/>
    <w:rsid w:val="2221AF70"/>
    <w:rsid w:val="226938F2"/>
    <w:rsid w:val="22906783"/>
    <w:rsid w:val="22BC68E6"/>
    <w:rsid w:val="22C65418"/>
    <w:rsid w:val="22E5431B"/>
    <w:rsid w:val="2309E3D8"/>
    <w:rsid w:val="2337F3A4"/>
    <w:rsid w:val="239E95F8"/>
    <w:rsid w:val="23F666E8"/>
    <w:rsid w:val="24050676"/>
    <w:rsid w:val="241D32B4"/>
    <w:rsid w:val="2438C28E"/>
    <w:rsid w:val="2439BEAD"/>
    <w:rsid w:val="24C286F8"/>
    <w:rsid w:val="24DBA5F8"/>
    <w:rsid w:val="25258982"/>
    <w:rsid w:val="25356E2B"/>
    <w:rsid w:val="2594FB1F"/>
    <w:rsid w:val="25B089AA"/>
    <w:rsid w:val="261C1994"/>
    <w:rsid w:val="2627F796"/>
    <w:rsid w:val="263EF4E4"/>
    <w:rsid w:val="2648A7D7"/>
    <w:rsid w:val="272EF931"/>
    <w:rsid w:val="27328F9E"/>
    <w:rsid w:val="2768F5BB"/>
    <w:rsid w:val="27914567"/>
    <w:rsid w:val="2799001C"/>
    <w:rsid w:val="27CDB853"/>
    <w:rsid w:val="280BC721"/>
    <w:rsid w:val="280C93B7"/>
    <w:rsid w:val="28154990"/>
    <w:rsid w:val="2834FDB2"/>
    <w:rsid w:val="283F7E44"/>
    <w:rsid w:val="2855ADF3"/>
    <w:rsid w:val="288797E1"/>
    <w:rsid w:val="2910C738"/>
    <w:rsid w:val="2A5CBEC7"/>
    <w:rsid w:val="2A83C040"/>
    <w:rsid w:val="2ABFCAAE"/>
    <w:rsid w:val="2AEB2DF6"/>
    <w:rsid w:val="2B782267"/>
    <w:rsid w:val="2C02D993"/>
    <w:rsid w:val="2C0E7850"/>
    <w:rsid w:val="2D68538E"/>
    <w:rsid w:val="2DF0B86D"/>
    <w:rsid w:val="2E2AEA1F"/>
    <w:rsid w:val="2E496036"/>
    <w:rsid w:val="2EF845ED"/>
    <w:rsid w:val="2F1DE2C9"/>
    <w:rsid w:val="2F1EDEE8"/>
    <w:rsid w:val="2F2DC772"/>
    <w:rsid w:val="2F34E6C8"/>
    <w:rsid w:val="2F74148F"/>
    <w:rsid w:val="302D9B38"/>
    <w:rsid w:val="30977228"/>
    <w:rsid w:val="30E2CAC8"/>
    <w:rsid w:val="31027EEA"/>
    <w:rsid w:val="311CFC7A"/>
    <w:rsid w:val="312BE504"/>
    <w:rsid w:val="313837CB"/>
    <w:rsid w:val="313CB09C"/>
    <w:rsid w:val="31487EE1"/>
    <w:rsid w:val="31658AD1"/>
    <w:rsid w:val="319678CF"/>
    <w:rsid w:val="31EA5848"/>
    <w:rsid w:val="320251B5"/>
    <w:rsid w:val="320E497D"/>
    <w:rsid w:val="33135F57"/>
    <w:rsid w:val="333C398C"/>
    <w:rsid w:val="336C2C66"/>
    <w:rsid w:val="33A9E28B"/>
    <w:rsid w:val="33C42F2C"/>
    <w:rsid w:val="33D3EB99"/>
    <w:rsid w:val="340AEB88"/>
    <w:rsid w:val="34211F88"/>
    <w:rsid w:val="34925448"/>
    <w:rsid w:val="34A93B6B"/>
    <w:rsid w:val="34F98477"/>
    <w:rsid w:val="351DCB25"/>
    <w:rsid w:val="3573EDEA"/>
    <w:rsid w:val="358F8CC5"/>
    <w:rsid w:val="35F7109F"/>
    <w:rsid w:val="3604768E"/>
    <w:rsid w:val="369B7AFB"/>
    <w:rsid w:val="36C8093E"/>
    <w:rsid w:val="36D45982"/>
    <w:rsid w:val="3722E3BB"/>
    <w:rsid w:val="37858063"/>
    <w:rsid w:val="37AE5A98"/>
    <w:rsid w:val="37D93185"/>
    <w:rsid w:val="383D3511"/>
    <w:rsid w:val="38552E7E"/>
    <w:rsid w:val="385D5872"/>
    <w:rsid w:val="387D0C94"/>
    <w:rsid w:val="3913A1C2"/>
    <w:rsid w:val="395F39A6"/>
    <w:rsid w:val="39E5B041"/>
    <w:rsid w:val="39FF4372"/>
    <w:rsid w:val="3A05443E"/>
    <w:rsid w:val="3B822AC6"/>
    <w:rsid w:val="3B92DC3F"/>
    <w:rsid w:val="3C710023"/>
    <w:rsid w:val="3CEE8A95"/>
    <w:rsid w:val="3D70D2EE"/>
    <w:rsid w:val="3D75F355"/>
    <w:rsid w:val="3E076917"/>
    <w:rsid w:val="3E8E2ECC"/>
    <w:rsid w:val="3EDAAD9F"/>
    <w:rsid w:val="3F1B1107"/>
    <w:rsid w:val="3F94EE21"/>
    <w:rsid w:val="3F9D4430"/>
    <w:rsid w:val="3FF8DE5E"/>
    <w:rsid w:val="402185C2"/>
    <w:rsid w:val="407FFF1D"/>
    <w:rsid w:val="408C4C5E"/>
    <w:rsid w:val="40F97B72"/>
    <w:rsid w:val="4172F7C7"/>
    <w:rsid w:val="418160F4"/>
    <w:rsid w:val="426EA745"/>
    <w:rsid w:val="42966F30"/>
    <w:rsid w:val="429D52C4"/>
    <w:rsid w:val="43108E90"/>
    <w:rsid w:val="435A180B"/>
    <w:rsid w:val="43F1BF83"/>
    <w:rsid w:val="443EAC43"/>
    <w:rsid w:val="446B3BD8"/>
    <w:rsid w:val="451EE9DF"/>
    <w:rsid w:val="45289CD2"/>
    <w:rsid w:val="4573C577"/>
    <w:rsid w:val="45A15784"/>
    <w:rsid w:val="45CA841D"/>
    <w:rsid w:val="465BF9DF"/>
    <w:rsid w:val="46A8284D"/>
    <w:rsid w:val="46F0ABFF"/>
    <w:rsid w:val="470E82B7"/>
    <w:rsid w:val="4756532F"/>
    <w:rsid w:val="47743556"/>
    <w:rsid w:val="478AD895"/>
    <w:rsid w:val="484CE341"/>
    <w:rsid w:val="48BC3341"/>
    <w:rsid w:val="49029FB1"/>
    <w:rsid w:val="4913DA88"/>
    <w:rsid w:val="493FDBEB"/>
    <w:rsid w:val="4A12E405"/>
    <w:rsid w:val="4A37DED1"/>
    <w:rsid w:val="4A3A8F4A"/>
    <w:rsid w:val="4A5566E9"/>
    <w:rsid w:val="4B106624"/>
    <w:rsid w:val="4B1CA133"/>
    <w:rsid w:val="4B5EA9BE"/>
    <w:rsid w:val="4B98DB70"/>
    <w:rsid w:val="4BC1B5A5"/>
    <w:rsid w:val="4BD686E9"/>
    <w:rsid w:val="4BD82613"/>
    <w:rsid w:val="4BEE8056"/>
    <w:rsid w:val="4C3B31FA"/>
    <w:rsid w:val="4CD6AFC4"/>
    <w:rsid w:val="4D62DDEA"/>
    <w:rsid w:val="4E11E0B5"/>
    <w:rsid w:val="4EB3C800"/>
    <w:rsid w:val="4ECA386E"/>
    <w:rsid w:val="4EE092B1"/>
    <w:rsid w:val="4EEF6728"/>
    <w:rsid w:val="4F2D4455"/>
    <w:rsid w:val="4F34FF0A"/>
    <w:rsid w:val="4F5A0F06"/>
    <w:rsid w:val="4FEB0A96"/>
    <w:rsid w:val="5020C9DF"/>
    <w:rsid w:val="5030AE88"/>
    <w:rsid w:val="517D0026"/>
    <w:rsid w:val="5196C063"/>
    <w:rsid w:val="519CB448"/>
    <w:rsid w:val="524A5BF4"/>
    <w:rsid w:val="530AB624"/>
    <w:rsid w:val="53C4A82E"/>
    <w:rsid w:val="53E77F88"/>
    <w:rsid w:val="53EA6652"/>
    <w:rsid w:val="5434E0CF"/>
    <w:rsid w:val="54B7A0D8"/>
    <w:rsid w:val="54E88ED6"/>
    <w:rsid w:val="55D69AE5"/>
    <w:rsid w:val="56CA7A7E"/>
    <w:rsid w:val="57280CEA"/>
    <w:rsid w:val="5796B3B8"/>
    <w:rsid w:val="579DBF06"/>
    <w:rsid w:val="57A9B333"/>
    <w:rsid w:val="57D15E78"/>
    <w:rsid w:val="5868B2FC"/>
    <w:rsid w:val="586FE12C"/>
    <w:rsid w:val="591A4C7A"/>
    <w:rsid w:val="59568C95"/>
    <w:rsid w:val="59BF3D52"/>
    <w:rsid w:val="59FB7D6D"/>
    <w:rsid w:val="5A08578E"/>
    <w:rsid w:val="5A1DE97D"/>
    <w:rsid w:val="5A224939"/>
    <w:rsid w:val="5A724BA4"/>
    <w:rsid w:val="5B08F4A2"/>
    <w:rsid w:val="5B3DACD9"/>
    <w:rsid w:val="5B67BADA"/>
    <w:rsid w:val="5B8F4B18"/>
    <w:rsid w:val="5BB5A02F"/>
    <w:rsid w:val="5C489EF0"/>
    <w:rsid w:val="5C6500D7"/>
    <w:rsid w:val="5CBA9361"/>
    <w:rsid w:val="5D145B94"/>
    <w:rsid w:val="5D575A45"/>
    <w:rsid w:val="5D7906A5"/>
    <w:rsid w:val="5D95929E"/>
    <w:rsid w:val="5DD0D69A"/>
    <w:rsid w:val="5E02C1B2"/>
    <w:rsid w:val="5E279540"/>
    <w:rsid w:val="5E815D73"/>
    <w:rsid w:val="5ECD8237"/>
    <w:rsid w:val="5F332967"/>
    <w:rsid w:val="5F762818"/>
    <w:rsid w:val="5FA47BC8"/>
    <w:rsid w:val="5FFD47DC"/>
    <w:rsid w:val="601DF81D"/>
    <w:rsid w:val="606B1900"/>
    <w:rsid w:val="60EC500A"/>
    <w:rsid w:val="61CAE6AF"/>
    <w:rsid w:val="61E044D3"/>
    <w:rsid w:val="6269FFE0"/>
    <w:rsid w:val="6284C66C"/>
    <w:rsid w:val="62CEAAF1"/>
    <w:rsid w:val="630B9133"/>
    <w:rsid w:val="63DE6265"/>
    <w:rsid w:val="63EB9778"/>
    <w:rsid w:val="6423B363"/>
    <w:rsid w:val="6482E3FE"/>
    <w:rsid w:val="65D3C923"/>
    <w:rsid w:val="664617A3"/>
    <w:rsid w:val="66ACA3AB"/>
    <w:rsid w:val="66C4277F"/>
    <w:rsid w:val="66D074C0"/>
    <w:rsid w:val="66FDCC51"/>
    <w:rsid w:val="6715C5BE"/>
    <w:rsid w:val="67A8809B"/>
    <w:rsid w:val="67B7AD09"/>
    <w:rsid w:val="67BD51DF"/>
    <w:rsid w:val="68017884"/>
    <w:rsid w:val="685419DE"/>
    <w:rsid w:val="688B49DD"/>
    <w:rsid w:val="688DBFAB"/>
    <w:rsid w:val="689DFE63"/>
    <w:rsid w:val="68C5DB7E"/>
    <w:rsid w:val="690CAEF2"/>
    <w:rsid w:val="69349391"/>
    <w:rsid w:val="695C71A7"/>
    <w:rsid w:val="6962A35D"/>
    <w:rsid w:val="69896F29"/>
    <w:rsid w:val="69956768"/>
    <w:rsid w:val="69AE0FE6"/>
    <w:rsid w:val="6A2A6864"/>
    <w:rsid w:val="6A3E9EB9"/>
    <w:rsid w:val="6A80D4EC"/>
    <w:rsid w:val="6AA93284"/>
    <w:rsid w:val="6AC15EC2"/>
    <w:rsid w:val="6AC64B5D"/>
    <w:rsid w:val="6AF45B29"/>
    <w:rsid w:val="6AF67108"/>
    <w:rsid w:val="6B1B26F5"/>
    <w:rsid w:val="6BD07426"/>
    <w:rsid w:val="6BE234A5"/>
    <w:rsid w:val="6C4E8402"/>
    <w:rsid w:val="6C54B5B8"/>
    <w:rsid w:val="6CFBBC6F"/>
    <w:rsid w:val="6CFF52DC"/>
    <w:rsid w:val="6D506536"/>
    <w:rsid w:val="6DA77CF0"/>
    <w:rsid w:val="6DDA16A8"/>
    <w:rsid w:val="6E050F5C"/>
    <w:rsid w:val="6E555868"/>
    <w:rsid w:val="6F2A3C1A"/>
    <w:rsid w:val="6F4E82C8"/>
    <w:rsid w:val="70121578"/>
    <w:rsid w:val="70338F07"/>
    <w:rsid w:val="706F05D4"/>
    <w:rsid w:val="7090B234"/>
    <w:rsid w:val="711E908E"/>
    <w:rsid w:val="7195BA96"/>
    <w:rsid w:val="71D125D0"/>
    <w:rsid w:val="71E3FDC5"/>
    <w:rsid w:val="7232A8B8"/>
    <w:rsid w:val="7382C48F"/>
    <w:rsid w:val="74CAF2E0"/>
    <w:rsid w:val="74D12496"/>
    <w:rsid w:val="74D73B2E"/>
    <w:rsid w:val="74ED4BE8"/>
    <w:rsid w:val="752AB05B"/>
    <w:rsid w:val="75AD3D93"/>
    <w:rsid w:val="75CCD414"/>
    <w:rsid w:val="75DE9BCB"/>
    <w:rsid w:val="76F37F1A"/>
    <w:rsid w:val="76F9A807"/>
    <w:rsid w:val="77676055"/>
    <w:rsid w:val="77B7E5CF"/>
    <w:rsid w:val="7809B6DF"/>
    <w:rsid w:val="789542EC"/>
    <w:rsid w:val="78AA152B"/>
    <w:rsid w:val="78D868DB"/>
    <w:rsid w:val="790D2112"/>
    <w:rsid w:val="7921F256"/>
    <w:rsid w:val="7928B0EC"/>
    <w:rsid w:val="7954B24F"/>
    <w:rsid w:val="7957049C"/>
    <w:rsid w:val="7A1577E0"/>
    <w:rsid w:val="7ABD0401"/>
    <w:rsid w:val="7AC8607E"/>
    <w:rsid w:val="7ACECBB8"/>
    <w:rsid w:val="7B368056"/>
    <w:rsid w:val="7C6C6281"/>
    <w:rsid w:val="7CA05B07"/>
    <w:rsid w:val="7CB5EBFC"/>
    <w:rsid w:val="7D115359"/>
    <w:rsid w:val="7D47EE9E"/>
    <w:rsid w:val="7D4D9374"/>
    <w:rsid w:val="7D5A6D95"/>
    <w:rsid w:val="7D7B1DD6"/>
    <w:rsid w:val="7DC70FC9"/>
    <w:rsid w:val="7DEDDB95"/>
    <w:rsid w:val="7E8FC2E0"/>
    <w:rsid w:val="7EF145C8"/>
    <w:rsid w:val="7F7F2422"/>
    <w:rsid w:val="7F93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67906"/>
  <w15:chartTrackingRefBased/>
  <w15:docId w15:val="{53CF5338-5B56-40FE-A3E1-E2510514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47"/>
    <w:pPr>
      <w:ind w:left="720"/>
      <w:contextualSpacing/>
    </w:pPr>
  </w:style>
  <w:style w:type="table" w:styleId="TableGrid">
    <w:name w:val="Table Grid"/>
    <w:basedOn w:val="TableNormal"/>
    <w:uiPriority w:val="39"/>
    <w:rsid w:val="00195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2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56664DEE0A69469C7C20B0E4567DBE" ma:contentTypeVersion="9" ma:contentTypeDescription="Create a new document." ma:contentTypeScope="" ma:versionID="710e6bdee564cb5c2479296114062d5b">
  <xsd:schema xmlns:xsd="http://www.w3.org/2001/XMLSchema" xmlns:xs="http://www.w3.org/2001/XMLSchema" xmlns:p="http://schemas.microsoft.com/office/2006/metadata/properties" xmlns:ns3="bcb1cb71-6c21-43a1-b983-7d48c2701270" xmlns:ns4="60be7394-27b2-4988-831c-106e9ba51da9" targetNamespace="http://schemas.microsoft.com/office/2006/metadata/properties" ma:root="true" ma:fieldsID="0e49ffd7c890e7307fdb81fd418523e5" ns3:_="" ns4:_="">
    <xsd:import namespace="bcb1cb71-6c21-43a1-b983-7d48c2701270"/>
    <xsd:import namespace="60be7394-27b2-4988-831c-106e9ba51d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b1cb71-6c21-43a1-b983-7d48c27012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e7394-27b2-4988-831c-106e9ba51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b1cb71-6c21-43a1-b983-7d48c2701270" xsi:nil="true"/>
  </documentManagement>
</p:properties>
</file>

<file path=customXml/itemProps1.xml><?xml version="1.0" encoding="utf-8"?>
<ds:datastoreItem xmlns:ds="http://schemas.openxmlformats.org/officeDocument/2006/customXml" ds:itemID="{1BB23736-3D7B-4178-87AB-D4C64A2097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5E702D-534E-4671-9A79-C79853094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b1cb71-6c21-43a1-b983-7d48c2701270"/>
    <ds:schemaRef ds:uri="60be7394-27b2-4988-831c-106e9ba51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F92403-1A61-401C-8335-0E62B3815550}">
  <ds:schemaRefs>
    <ds:schemaRef ds:uri="http://schemas.microsoft.com/office/2006/metadata/properties"/>
    <ds:schemaRef ds:uri="http://schemas.microsoft.com/office/infopath/2007/PartnerControls"/>
    <ds:schemaRef ds:uri="bcb1cb71-6c21-43a1-b983-7d48c270127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 Soenarjo</dc:creator>
  <cp:keywords/>
  <dc:description/>
  <cp:lastModifiedBy>Yiran Yuan</cp:lastModifiedBy>
  <cp:revision>336</cp:revision>
  <dcterms:created xsi:type="dcterms:W3CDTF">2023-03-25T05:28:00Z</dcterms:created>
  <dcterms:modified xsi:type="dcterms:W3CDTF">2023-03-24T13:52:00Z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0x010100DD56664DEE0A69469C7C20B0E4567DBE</vt:lpwstr>
  </property>
</Properties>
</file>