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4E9A9" w14:textId="77777777" w:rsidR="00AF1E12" w:rsidRPr="003670B8" w:rsidRDefault="00AF1E12" w:rsidP="00AF1E12">
      <w:pPr>
        <w:pStyle w:val="Heading3"/>
        <w:rPr>
          <w:rFonts w:cs="Times New Roman"/>
          <w:color w:val="000000" w:themeColor="text1"/>
          <w:sz w:val="24"/>
          <w:szCs w:val="24"/>
          <w:u w:val="single"/>
        </w:rPr>
      </w:pPr>
      <w:bookmarkStart w:id="0" w:name="_Toc162011312"/>
      <w:r>
        <w:rPr>
          <w:color w:val="000000" w:themeColor="text1"/>
          <w:sz w:val="24"/>
          <w:szCs w:val="24"/>
          <w:u w:val="single"/>
        </w:rPr>
        <w:t>Appendix C: Assumptions</w:t>
      </w:r>
      <w:bookmarkEnd w:id="0"/>
    </w:p>
    <w:p w14:paraId="73A4AE1E" w14:textId="77777777" w:rsidR="00AF1E12" w:rsidRDefault="00AF1E12" w:rsidP="00AF1E12">
      <w:pPr>
        <w:rPr>
          <w:i/>
        </w:rPr>
      </w:pPr>
      <w:r w:rsidRPr="00E07CF3">
        <w:rPr>
          <w:i/>
        </w:rPr>
        <w:t>Appendix C</w:t>
      </w:r>
      <w:r>
        <w:rPr>
          <w:i/>
        </w:rPr>
        <w:t>1</w:t>
      </w:r>
      <w:r w:rsidRPr="00E07CF3">
        <w:rPr>
          <w:i/>
        </w:rPr>
        <w:t xml:space="preserve">: </w:t>
      </w:r>
      <w:r>
        <w:rPr>
          <w:i/>
        </w:rPr>
        <w:t>Mortality Tables for Smokers and Non-Smokers</w:t>
      </w:r>
    </w:p>
    <w:p w14:paraId="0FB897CF" w14:textId="77777777" w:rsidR="00AF1E12" w:rsidRDefault="00AF1E12" w:rsidP="00AF1E12">
      <w:pPr>
        <w:rPr>
          <w:iCs/>
        </w:rPr>
      </w:pPr>
      <w:r>
        <w:rPr>
          <w:iCs/>
        </w:rPr>
        <w:t xml:space="preserve">Smoker and Non-Smoker Mortality Tables were constructed for our policyholders. </w:t>
      </w:r>
      <w:proofErr w:type="gramStart"/>
      <w:r>
        <w:rPr>
          <w:iCs/>
        </w:rPr>
        <w:t>First</w:t>
      </w:r>
      <w:proofErr w:type="gramEnd"/>
      <w:r>
        <w:rPr>
          <w:iCs/>
        </w:rPr>
        <w:t xml:space="preserve"> we considered the proportion of smokers at each age group for a comparable country (given the relatively similar life expectancies and mortality trends), the United States. From there we use the fact that 11.5% of the US’s population are smokers versus 18% of </w:t>
      </w:r>
      <w:proofErr w:type="spellStart"/>
      <w:r>
        <w:rPr>
          <w:iCs/>
        </w:rPr>
        <w:t>Lumaria’s</w:t>
      </w:r>
      <w:proofErr w:type="spellEnd"/>
      <w:r>
        <w:rPr>
          <w:iCs/>
        </w:rPr>
        <w:t xml:space="preserve"> population (</w:t>
      </w:r>
      <w:proofErr w:type="spellStart"/>
      <w:r w:rsidRPr="15B38D9B">
        <w:t>Center</w:t>
      </w:r>
      <w:proofErr w:type="spellEnd"/>
      <w:r w:rsidRPr="15B38D9B">
        <w:t xml:space="preserve"> for Disease Control and Prevention</w:t>
      </w:r>
      <w:r>
        <w:t>, 2023</w:t>
      </w:r>
      <w:r>
        <w:rPr>
          <w:iCs/>
        </w:rPr>
        <w:t xml:space="preserve">), giving us a scaler that we use to adjust to find the approximate proportion of smokers at each of these age groups in </w:t>
      </w:r>
      <w:proofErr w:type="spellStart"/>
      <w:r>
        <w:rPr>
          <w:iCs/>
        </w:rPr>
        <w:t>Lumaria</w:t>
      </w:r>
      <w:proofErr w:type="spellEnd"/>
      <w:r>
        <w:rPr>
          <w:iCs/>
        </w:rPr>
        <w:t xml:space="preserve"> (see below). For each age group, we assumed smoking proportion to be uniform across every age within the group.</w:t>
      </w:r>
    </w:p>
    <w:p w14:paraId="37A48AAF" w14:textId="77777777" w:rsidR="00AF1E12" w:rsidRDefault="00AF1E12" w:rsidP="00AF1E12">
      <w:pPr>
        <w:rPr>
          <w:iCs/>
        </w:rPr>
      </w:pPr>
    </w:p>
    <w:tbl>
      <w:tblPr>
        <w:tblStyle w:val="TableGrid"/>
        <w:tblW w:w="0" w:type="auto"/>
        <w:tblLook w:val="04A0" w:firstRow="1" w:lastRow="0" w:firstColumn="1" w:lastColumn="0" w:noHBand="0" w:noVBand="1"/>
      </w:tblPr>
      <w:tblGrid>
        <w:gridCol w:w="4675"/>
        <w:gridCol w:w="4675"/>
      </w:tblGrid>
      <w:tr w:rsidR="00AF1E12" w14:paraId="4794ADA6" w14:textId="77777777" w:rsidTr="00760C66">
        <w:tc>
          <w:tcPr>
            <w:tcW w:w="4675" w:type="dxa"/>
          </w:tcPr>
          <w:p w14:paraId="3E69350A" w14:textId="77777777" w:rsidR="00AF1E12" w:rsidRDefault="00AF1E12" w:rsidP="00760C66">
            <w:pPr>
              <w:rPr>
                <w:iCs/>
              </w:rPr>
            </w:pPr>
            <w:r>
              <w:rPr>
                <w:iCs/>
              </w:rPr>
              <w:t>Proportion of Smokers in the United States</w:t>
            </w:r>
          </w:p>
        </w:tc>
        <w:tc>
          <w:tcPr>
            <w:tcW w:w="4675" w:type="dxa"/>
          </w:tcPr>
          <w:p w14:paraId="652495D3" w14:textId="77777777" w:rsidR="00AF1E12" w:rsidRDefault="00AF1E12" w:rsidP="00760C66">
            <w:pPr>
              <w:rPr>
                <w:iCs/>
              </w:rPr>
            </w:pPr>
            <w:r>
              <w:rPr>
                <w:iCs/>
              </w:rPr>
              <w:t>11.5%</w:t>
            </w:r>
          </w:p>
        </w:tc>
      </w:tr>
      <w:tr w:rsidR="00AF1E12" w14:paraId="3608F19B" w14:textId="77777777" w:rsidTr="00760C66">
        <w:tc>
          <w:tcPr>
            <w:tcW w:w="4675" w:type="dxa"/>
          </w:tcPr>
          <w:p w14:paraId="2DD685A8" w14:textId="77777777" w:rsidR="00AF1E12" w:rsidRDefault="00AF1E12" w:rsidP="00760C66">
            <w:pPr>
              <w:rPr>
                <w:iCs/>
              </w:rPr>
            </w:pPr>
            <w:proofErr w:type="spellStart"/>
            <w:r>
              <w:rPr>
                <w:iCs/>
              </w:rPr>
              <w:t>Porportion</w:t>
            </w:r>
            <w:proofErr w:type="spellEnd"/>
            <w:r>
              <w:rPr>
                <w:iCs/>
              </w:rPr>
              <w:t xml:space="preserve"> of Smokers in </w:t>
            </w:r>
            <w:proofErr w:type="spellStart"/>
            <w:r>
              <w:rPr>
                <w:iCs/>
              </w:rPr>
              <w:t>Lumaria</w:t>
            </w:r>
            <w:proofErr w:type="spellEnd"/>
          </w:p>
        </w:tc>
        <w:tc>
          <w:tcPr>
            <w:tcW w:w="4675" w:type="dxa"/>
          </w:tcPr>
          <w:p w14:paraId="19D25B65" w14:textId="77777777" w:rsidR="00AF1E12" w:rsidRDefault="00AF1E12" w:rsidP="00760C66">
            <w:pPr>
              <w:rPr>
                <w:iCs/>
              </w:rPr>
            </w:pPr>
            <w:r>
              <w:rPr>
                <w:iCs/>
              </w:rPr>
              <w:t>18%</w:t>
            </w:r>
          </w:p>
        </w:tc>
      </w:tr>
      <w:tr w:rsidR="00AF1E12" w14:paraId="61504F19" w14:textId="77777777" w:rsidTr="00760C66">
        <w:tc>
          <w:tcPr>
            <w:tcW w:w="4675" w:type="dxa"/>
          </w:tcPr>
          <w:p w14:paraId="10299ED4" w14:textId="77777777" w:rsidR="00AF1E12" w:rsidRDefault="00AF1E12" w:rsidP="00760C66">
            <w:pPr>
              <w:rPr>
                <w:iCs/>
              </w:rPr>
            </w:pPr>
            <w:r>
              <w:rPr>
                <w:iCs/>
              </w:rPr>
              <w:t>Scaler</w:t>
            </w:r>
          </w:p>
        </w:tc>
        <w:tc>
          <w:tcPr>
            <w:tcW w:w="4675" w:type="dxa"/>
          </w:tcPr>
          <w:p w14:paraId="27BEE47D" w14:textId="77777777" w:rsidR="00AF1E12" w:rsidRDefault="00AF1E12" w:rsidP="00760C66">
            <w:pPr>
              <w:rPr>
                <w:iCs/>
              </w:rPr>
            </w:pPr>
            <w:r>
              <w:rPr>
                <w:iCs/>
              </w:rPr>
              <w:t>1.57</w:t>
            </w:r>
          </w:p>
        </w:tc>
      </w:tr>
    </w:tbl>
    <w:p w14:paraId="60F75B0E" w14:textId="77777777" w:rsidR="00AF1E12" w:rsidRDefault="00AF1E12" w:rsidP="00AF1E12">
      <w:pPr>
        <w:rPr>
          <w:iCs/>
        </w:rPr>
      </w:pPr>
    </w:p>
    <w:tbl>
      <w:tblPr>
        <w:tblStyle w:val="TableGrid"/>
        <w:tblW w:w="0" w:type="auto"/>
        <w:tblLook w:val="04A0" w:firstRow="1" w:lastRow="0" w:firstColumn="1" w:lastColumn="0" w:noHBand="0" w:noVBand="1"/>
      </w:tblPr>
      <w:tblGrid>
        <w:gridCol w:w="1555"/>
        <w:gridCol w:w="3685"/>
        <w:gridCol w:w="4110"/>
      </w:tblGrid>
      <w:tr w:rsidR="00AF1E12" w14:paraId="182F2EE9" w14:textId="77777777" w:rsidTr="00760C66">
        <w:tc>
          <w:tcPr>
            <w:tcW w:w="1555" w:type="dxa"/>
          </w:tcPr>
          <w:p w14:paraId="0C6D1449" w14:textId="77777777" w:rsidR="00AF1E12" w:rsidRDefault="00AF1E12" w:rsidP="00760C66">
            <w:pPr>
              <w:rPr>
                <w:iCs/>
              </w:rPr>
            </w:pPr>
            <w:r>
              <w:rPr>
                <w:iCs/>
              </w:rPr>
              <w:t>Age Group</w:t>
            </w:r>
          </w:p>
        </w:tc>
        <w:tc>
          <w:tcPr>
            <w:tcW w:w="3685" w:type="dxa"/>
          </w:tcPr>
          <w:p w14:paraId="4FAFF316" w14:textId="77777777" w:rsidR="00AF1E12" w:rsidRDefault="00AF1E12" w:rsidP="00760C66">
            <w:pPr>
              <w:rPr>
                <w:iCs/>
              </w:rPr>
            </w:pPr>
            <w:r>
              <w:rPr>
                <w:iCs/>
              </w:rPr>
              <w:t>Proportion of Smoker (US)</w:t>
            </w:r>
          </w:p>
        </w:tc>
        <w:tc>
          <w:tcPr>
            <w:tcW w:w="4110" w:type="dxa"/>
          </w:tcPr>
          <w:p w14:paraId="2C0D602B" w14:textId="77777777" w:rsidR="00AF1E12" w:rsidRDefault="00AF1E12" w:rsidP="00760C66">
            <w:pPr>
              <w:rPr>
                <w:iCs/>
              </w:rPr>
            </w:pPr>
            <w:r>
              <w:rPr>
                <w:iCs/>
              </w:rPr>
              <w:t>Proportion of Smoker (</w:t>
            </w:r>
            <w:proofErr w:type="spellStart"/>
            <w:r>
              <w:rPr>
                <w:iCs/>
              </w:rPr>
              <w:t>Lumaria</w:t>
            </w:r>
            <w:proofErr w:type="spellEnd"/>
            <w:r>
              <w:rPr>
                <w:iCs/>
              </w:rPr>
              <w:t>)</w:t>
            </w:r>
          </w:p>
        </w:tc>
      </w:tr>
      <w:tr w:rsidR="00AF1E12" w14:paraId="43F9F702" w14:textId="77777777" w:rsidTr="00760C66">
        <w:tc>
          <w:tcPr>
            <w:tcW w:w="1555" w:type="dxa"/>
          </w:tcPr>
          <w:p w14:paraId="65275997" w14:textId="77777777" w:rsidR="00AF1E12" w:rsidRDefault="00AF1E12" w:rsidP="00760C66">
            <w:pPr>
              <w:rPr>
                <w:iCs/>
              </w:rPr>
            </w:pPr>
            <w:r>
              <w:rPr>
                <w:iCs/>
              </w:rPr>
              <w:t>18-24</w:t>
            </w:r>
          </w:p>
        </w:tc>
        <w:tc>
          <w:tcPr>
            <w:tcW w:w="3685" w:type="dxa"/>
          </w:tcPr>
          <w:p w14:paraId="31A4D17E" w14:textId="77777777" w:rsidR="00AF1E12" w:rsidRDefault="00AF1E12" w:rsidP="00760C66">
            <w:pPr>
              <w:rPr>
                <w:iCs/>
              </w:rPr>
            </w:pPr>
            <w:r>
              <w:rPr>
                <w:iCs/>
              </w:rPr>
              <w:t>5.3%</w:t>
            </w:r>
          </w:p>
        </w:tc>
        <w:tc>
          <w:tcPr>
            <w:tcW w:w="4110" w:type="dxa"/>
          </w:tcPr>
          <w:p w14:paraId="1B05AE3C" w14:textId="77777777" w:rsidR="00AF1E12" w:rsidRDefault="00AF1E12" w:rsidP="00760C66">
            <w:pPr>
              <w:rPr>
                <w:iCs/>
              </w:rPr>
            </w:pPr>
            <w:r>
              <w:rPr>
                <w:iCs/>
              </w:rPr>
              <w:t>8.3%</w:t>
            </w:r>
          </w:p>
        </w:tc>
      </w:tr>
      <w:tr w:rsidR="00AF1E12" w14:paraId="3717F456" w14:textId="77777777" w:rsidTr="00760C66">
        <w:tc>
          <w:tcPr>
            <w:tcW w:w="1555" w:type="dxa"/>
          </w:tcPr>
          <w:p w14:paraId="6785DEF1" w14:textId="77777777" w:rsidR="00AF1E12" w:rsidRDefault="00AF1E12" w:rsidP="00760C66">
            <w:pPr>
              <w:rPr>
                <w:iCs/>
              </w:rPr>
            </w:pPr>
            <w:r>
              <w:rPr>
                <w:iCs/>
              </w:rPr>
              <w:t>25-44</w:t>
            </w:r>
          </w:p>
        </w:tc>
        <w:tc>
          <w:tcPr>
            <w:tcW w:w="3685" w:type="dxa"/>
          </w:tcPr>
          <w:p w14:paraId="15C6ADE0" w14:textId="77777777" w:rsidR="00AF1E12" w:rsidRDefault="00AF1E12" w:rsidP="00760C66">
            <w:pPr>
              <w:rPr>
                <w:iCs/>
              </w:rPr>
            </w:pPr>
            <w:r>
              <w:rPr>
                <w:iCs/>
              </w:rPr>
              <w:t>12.6%</w:t>
            </w:r>
          </w:p>
        </w:tc>
        <w:tc>
          <w:tcPr>
            <w:tcW w:w="4110" w:type="dxa"/>
          </w:tcPr>
          <w:p w14:paraId="02093A8D" w14:textId="77777777" w:rsidR="00AF1E12" w:rsidRDefault="00AF1E12" w:rsidP="00760C66">
            <w:pPr>
              <w:rPr>
                <w:iCs/>
              </w:rPr>
            </w:pPr>
            <w:r>
              <w:rPr>
                <w:iCs/>
              </w:rPr>
              <w:t>19.7%</w:t>
            </w:r>
          </w:p>
        </w:tc>
      </w:tr>
      <w:tr w:rsidR="00AF1E12" w14:paraId="2553C56D" w14:textId="77777777" w:rsidTr="00760C66">
        <w:tc>
          <w:tcPr>
            <w:tcW w:w="1555" w:type="dxa"/>
          </w:tcPr>
          <w:p w14:paraId="2D055B2A" w14:textId="77777777" w:rsidR="00AF1E12" w:rsidRDefault="00AF1E12" w:rsidP="00760C66">
            <w:pPr>
              <w:rPr>
                <w:iCs/>
              </w:rPr>
            </w:pPr>
            <w:r>
              <w:rPr>
                <w:iCs/>
              </w:rPr>
              <w:t>45-64</w:t>
            </w:r>
          </w:p>
        </w:tc>
        <w:tc>
          <w:tcPr>
            <w:tcW w:w="3685" w:type="dxa"/>
          </w:tcPr>
          <w:p w14:paraId="41873585" w14:textId="77777777" w:rsidR="00AF1E12" w:rsidRDefault="00AF1E12" w:rsidP="00760C66">
            <w:pPr>
              <w:rPr>
                <w:iCs/>
              </w:rPr>
            </w:pPr>
            <w:r>
              <w:rPr>
                <w:iCs/>
              </w:rPr>
              <w:t>14.9%</w:t>
            </w:r>
          </w:p>
        </w:tc>
        <w:tc>
          <w:tcPr>
            <w:tcW w:w="4110" w:type="dxa"/>
          </w:tcPr>
          <w:p w14:paraId="7B1D124B" w14:textId="77777777" w:rsidR="00AF1E12" w:rsidRDefault="00AF1E12" w:rsidP="00760C66">
            <w:pPr>
              <w:rPr>
                <w:iCs/>
              </w:rPr>
            </w:pPr>
            <w:r>
              <w:rPr>
                <w:iCs/>
              </w:rPr>
              <w:t>23.3%</w:t>
            </w:r>
          </w:p>
        </w:tc>
      </w:tr>
      <w:tr w:rsidR="00AF1E12" w14:paraId="0BE2B1B3" w14:textId="77777777" w:rsidTr="00760C66">
        <w:tc>
          <w:tcPr>
            <w:tcW w:w="1555" w:type="dxa"/>
          </w:tcPr>
          <w:p w14:paraId="19C9BBF2" w14:textId="77777777" w:rsidR="00AF1E12" w:rsidRDefault="00AF1E12" w:rsidP="00760C66">
            <w:pPr>
              <w:rPr>
                <w:iCs/>
              </w:rPr>
            </w:pPr>
            <w:r>
              <w:rPr>
                <w:iCs/>
              </w:rPr>
              <w:t>65-120</w:t>
            </w:r>
          </w:p>
        </w:tc>
        <w:tc>
          <w:tcPr>
            <w:tcW w:w="3685" w:type="dxa"/>
          </w:tcPr>
          <w:p w14:paraId="6B3BE21E" w14:textId="77777777" w:rsidR="00AF1E12" w:rsidRDefault="00AF1E12" w:rsidP="00760C66">
            <w:pPr>
              <w:rPr>
                <w:iCs/>
              </w:rPr>
            </w:pPr>
            <w:r>
              <w:rPr>
                <w:iCs/>
              </w:rPr>
              <w:t>8.3%</w:t>
            </w:r>
          </w:p>
        </w:tc>
        <w:tc>
          <w:tcPr>
            <w:tcW w:w="4110" w:type="dxa"/>
          </w:tcPr>
          <w:p w14:paraId="735E835E" w14:textId="77777777" w:rsidR="00AF1E12" w:rsidRDefault="00AF1E12" w:rsidP="00760C66">
            <w:pPr>
              <w:rPr>
                <w:iCs/>
              </w:rPr>
            </w:pPr>
            <w:r>
              <w:rPr>
                <w:iCs/>
              </w:rPr>
              <w:t>13.0%</w:t>
            </w:r>
          </w:p>
        </w:tc>
      </w:tr>
    </w:tbl>
    <w:p w14:paraId="12C7DFF2" w14:textId="77777777" w:rsidR="00AF1E12" w:rsidRDefault="00AF1E12" w:rsidP="00AF1E12">
      <w:pPr>
        <w:rPr>
          <w:iCs/>
        </w:rPr>
      </w:pPr>
    </w:p>
    <w:p w14:paraId="18E6F812" w14:textId="77777777" w:rsidR="00AF1E12" w:rsidRDefault="00AF1E12" w:rsidP="00AF1E12">
      <w:pPr>
        <w:rPr>
          <w:iCs/>
        </w:rPr>
      </w:pPr>
      <w:r>
        <w:rPr>
          <w:iCs/>
        </w:rPr>
        <w:t xml:space="preserve">From there, we found mortality tables for male smokers, female smoker, male </w:t>
      </w:r>
      <w:proofErr w:type="gramStart"/>
      <w:r>
        <w:rPr>
          <w:iCs/>
        </w:rPr>
        <w:t>non-smokers</w:t>
      </w:r>
      <w:proofErr w:type="gramEnd"/>
      <w:r>
        <w:rPr>
          <w:iCs/>
        </w:rPr>
        <w:t xml:space="preserve"> and female non-smokers for the United Kingdom (</w:t>
      </w:r>
      <w:r w:rsidRPr="00864E94">
        <w:rPr>
          <w:iCs/>
        </w:rPr>
        <w:t>Benjamin, B., and R. Michaelson, 1988</w:t>
      </w:r>
      <w:r>
        <w:rPr>
          <w:iCs/>
        </w:rPr>
        <w:t xml:space="preserve">), another comparable country. By approximating an equal proportion of males and females for each group, we condensed this into a smoker mortality table and a non-smoker mortality table. By considering the ratio of the mortality at each age between non-smokers and smokers, this gave us a mortality adjustment for non-smokers. </w:t>
      </w:r>
    </w:p>
    <w:p w14:paraId="6FC78402" w14:textId="77777777" w:rsidR="00AF1E12" w:rsidRDefault="00AF1E12" w:rsidP="00AF1E12">
      <w:pPr>
        <w:rPr>
          <w:iCs/>
        </w:rPr>
      </w:pPr>
    </w:p>
    <w:p w14:paraId="542026C7" w14:textId="77777777" w:rsidR="00AF1E12" w:rsidRDefault="00AF1E12" w:rsidP="00AF1E12">
      <w:pPr>
        <w:rPr>
          <w:iCs/>
        </w:rPr>
      </w:pPr>
      <w:r>
        <w:rPr>
          <w:iCs/>
        </w:rPr>
        <w:t xml:space="preserve">Using the approximated percentage of smokers at each age, the relative mortality of smokers and non-smokers at each age, and the </w:t>
      </w:r>
      <w:proofErr w:type="spellStart"/>
      <w:r>
        <w:rPr>
          <w:iCs/>
        </w:rPr>
        <w:t>Lumarian</w:t>
      </w:r>
      <w:proofErr w:type="spellEnd"/>
      <w:r>
        <w:rPr>
          <w:iCs/>
        </w:rPr>
        <w:t xml:space="preserve"> mortality table for the total population, we were able to derive mortality tables for both smokers and non-smokers, as per the equation: </w:t>
      </w:r>
      <m:oMath>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ns</m:t>
            </m:r>
          </m:sub>
        </m:sSub>
        <m:sSub>
          <m:sSubPr>
            <m:ctrlPr>
              <w:rPr>
                <w:rFonts w:ascii="Cambria Math" w:hAnsi="Cambria Math"/>
                <w:i/>
                <w:iCs/>
              </w:rPr>
            </m:ctrlPr>
          </m:sSubPr>
          <m:e>
            <m:r>
              <w:rPr>
                <w:rFonts w:ascii="Cambria Math" w:hAnsi="Cambria Math"/>
              </w:rPr>
              <m:t>p</m:t>
            </m:r>
          </m:e>
          <m:sub>
            <m:r>
              <w:rPr>
                <w:rFonts w:ascii="Cambria Math" w:hAnsi="Cambria Math"/>
              </w:rPr>
              <m:t>ns</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s</m:t>
                </m:r>
              </m:sub>
            </m:sSub>
            <m:r>
              <w:rPr>
                <w:rFonts w:ascii="Cambria Math" w:hAnsi="Cambria Math"/>
              </w:rPr>
              <m:t>(1-p</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ns</m:t>
            </m:r>
          </m:sub>
        </m:sSub>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p</m:t>
                </m:r>
              </m:e>
              <m:sub>
                <m:r>
                  <w:rPr>
                    <w:rFonts w:ascii="Cambria Math" w:hAnsi="Cambria Math"/>
                  </w:rPr>
                  <m:t>s</m:t>
                </m:r>
              </m:sub>
            </m:sSub>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s</m:t>
                </m:r>
              </m:sub>
            </m:sSub>
          </m:e>
        </m:d>
        <m:r>
          <w:rPr>
            <w:rFonts w:ascii="Cambria Math" w:hAnsi="Cambria Math"/>
          </w:rPr>
          <m:t>,</m:t>
        </m:r>
      </m:oMath>
      <w:r>
        <w:rPr>
          <w:iCs/>
        </w:rPr>
        <w:t xml:space="preserve"> where </w:t>
      </w:r>
      <m:oMath>
        <m:r>
          <w:rPr>
            <w:rFonts w:ascii="Cambria Math" w:hAnsi="Cambria Math"/>
          </w:rPr>
          <m:t>q</m:t>
        </m:r>
      </m:oMath>
      <w:r>
        <w:rPr>
          <w:iCs/>
        </w:rPr>
        <w:t xml:space="preserve"> is the overall mortality rate at a given age, </w:t>
      </w:r>
      <m:oMath>
        <m:sSub>
          <m:sSubPr>
            <m:ctrlPr>
              <w:rPr>
                <w:rFonts w:ascii="Cambria Math" w:hAnsi="Cambria Math"/>
                <w:i/>
                <w:iCs/>
              </w:rPr>
            </m:ctrlPr>
          </m:sSubPr>
          <m:e>
            <m:r>
              <w:rPr>
                <w:rFonts w:ascii="Cambria Math" w:hAnsi="Cambria Math"/>
              </w:rPr>
              <m:t>q</m:t>
            </m:r>
          </m:e>
          <m:sub>
            <m:r>
              <w:rPr>
                <w:rFonts w:ascii="Cambria Math" w:hAnsi="Cambria Math"/>
              </w:rPr>
              <m:t>s</m:t>
            </m:r>
          </m:sub>
        </m:sSub>
      </m:oMath>
      <w:r>
        <w:rPr>
          <w:iCs/>
        </w:rPr>
        <w:t xml:space="preserve"> is the mortality rate for smokers at that age, </w:t>
      </w:r>
      <m:oMath>
        <m:sSub>
          <m:sSubPr>
            <m:ctrlPr>
              <w:rPr>
                <w:rFonts w:ascii="Cambria Math" w:hAnsi="Cambria Math"/>
                <w:i/>
                <w:iCs/>
              </w:rPr>
            </m:ctrlPr>
          </m:sSubPr>
          <m:e>
            <m:r>
              <w:rPr>
                <w:rFonts w:ascii="Cambria Math" w:hAnsi="Cambria Math"/>
              </w:rPr>
              <m:t>q</m:t>
            </m:r>
          </m:e>
          <m:sub>
            <m:r>
              <w:rPr>
                <w:rFonts w:ascii="Cambria Math" w:hAnsi="Cambria Math"/>
              </w:rPr>
              <m:t>ns</m:t>
            </m:r>
          </m:sub>
        </m:sSub>
      </m:oMath>
      <w:r>
        <w:rPr>
          <w:iCs/>
        </w:rPr>
        <w:t xml:space="preserve"> is the mortality rate for non-smokers at that age, </w:t>
      </w:r>
      <m:oMath>
        <m:sSub>
          <m:sSubPr>
            <m:ctrlPr>
              <w:rPr>
                <w:rFonts w:ascii="Cambria Math" w:hAnsi="Cambria Math"/>
                <w:i/>
                <w:iCs/>
              </w:rPr>
            </m:ctrlPr>
          </m:sSubPr>
          <m:e>
            <m:r>
              <w:rPr>
                <w:rFonts w:ascii="Cambria Math" w:hAnsi="Cambria Math"/>
              </w:rPr>
              <m:t>p</m:t>
            </m:r>
          </m:e>
          <m:sub>
            <m:r>
              <w:rPr>
                <w:rFonts w:ascii="Cambria Math" w:hAnsi="Cambria Math"/>
              </w:rPr>
              <m:t>s</m:t>
            </m:r>
          </m:sub>
        </m:sSub>
      </m:oMath>
      <w:r>
        <w:rPr>
          <w:iCs/>
        </w:rPr>
        <w:t xml:space="preserve"> is the proportion of smokers at that age, </w:t>
      </w:r>
      <m:oMath>
        <m:sSub>
          <m:sSubPr>
            <m:ctrlPr>
              <w:rPr>
                <w:rFonts w:ascii="Cambria Math" w:hAnsi="Cambria Math"/>
                <w:i/>
                <w:iCs/>
              </w:rPr>
            </m:ctrlPr>
          </m:sSubPr>
          <m:e>
            <m:r>
              <w:rPr>
                <w:rFonts w:ascii="Cambria Math" w:hAnsi="Cambria Math"/>
              </w:rPr>
              <m:t>p</m:t>
            </m:r>
          </m:e>
          <m:sub>
            <m:r>
              <w:rPr>
                <w:rFonts w:ascii="Cambria Math" w:hAnsi="Cambria Math"/>
              </w:rPr>
              <m:t>ns</m:t>
            </m:r>
          </m:sub>
        </m:sSub>
      </m:oMath>
      <w:r>
        <w:rPr>
          <w:iCs/>
        </w:rPr>
        <w:t xml:space="preserve"> is the proportion of non-smokers at that age, and </w:t>
      </w:r>
      <m:oMath>
        <m:r>
          <w:rPr>
            <w:rFonts w:ascii="Cambria Math" w:hAnsi="Cambria Math"/>
          </w:rPr>
          <m:t>r</m:t>
        </m:r>
      </m:oMath>
      <w:r>
        <w:rPr>
          <w:iCs/>
        </w:rPr>
        <w:t xml:space="preserve"> is the mortality improvement of non-smokers versus smokers. </w:t>
      </w:r>
    </w:p>
    <w:p w14:paraId="707C896A" w14:textId="77777777" w:rsidR="00AF1E12" w:rsidRDefault="00AF1E12" w:rsidP="00AF1E12">
      <w:pPr>
        <w:rPr>
          <w:iCs/>
        </w:rPr>
      </w:pPr>
    </w:p>
    <w:p w14:paraId="74B0A1A3" w14:textId="77777777" w:rsidR="00AF1E12" w:rsidRDefault="00AF1E12" w:rsidP="00AF1E12">
      <w:pPr>
        <w:rPr>
          <w:iCs/>
        </w:rPr>
      </w:pPr>
      <w:r>
        <w:rPr>
          <w:iCs/>
        </w:rPr>
        <w:t xml:space="preserve">However, comparing these population-level mortality tables against our in-force data, we noticed some discrepancies that we had to address through loading factors, namely that smokers had a much worse mortality at all ages, especially, ages 45 and older. For this reason, we applied mortality loadings to develop an estimate for the smoker mortality table for </w:t>
      </w:r>
      <w:proofErr w:type="spellStart"/>
      <w:r>
        <w:rPr>
          <w:iCs/>
        </w:rPr>
        <w:t>SuperLife’s</w:t>
      </w:r>
      <w:proofErr w:type="spellEnd"/>
      <w:r>
        <w:rPr>
          <w:iCs/>
        </w:rPr>
        <w:t xml:space="preserve"> policyholders. </w:t>
      </w:r>
    </w:p>
    <w:p w14:paraId="3735ED6A" w14:textId="77777777" w:rsidR="00AF1E12" w:rsidRDefault="00AF1E12" w:rsidP="00AF1E12">
      <w:pPr>
        <w:rPr>
          <w:iCs/>
        </w:rPr>
      </w:pPr>
    </w:p>
    <w:p w14:paraId="2AE1D772" w14:textId="77777777" w:rsidR="00AF1E12" w:rsidRDefault="00AF1E12" w:rsidP="00AF1E12">
      <w:pPr>
        <w:rPr>
          <w:iCs/>
        </w:rPr>
      </w:pPr>
      <w:r>
        <w:rPr>
          <w:iCs/>
        </w:rPr>
        <w:t xml:space="preserve">The final mortality table for </w:t>
      </w:r>
      <w:proofErr w:type="spellStart"/>
      <w:r>
        <w:rPr>
          <w:iCs/>
        </w:rPr>
        <w:t>SuperLife’s</w:t>
      </w:r>
      <w:proofErr w:type="spellEnd"/>
      <w:r>
        <w:rPr>
          <w:iCs/>
        </w:rPr>
        <w:t xml:space="preserve"> smokers and non-smokers is shown below: </w:t>
      </w:r>
    </w:p>
    <w:p w14:paraId="35130562" w14:textId="77777777" w:rsidR="00AF1E12" w:rsidRDefault="00AF1E12" w:rsidP="00AF1E12">
      <w:pPr>
        <w:rPr>
          <w:iCs/>
        </w:rPr>
      </w:pPr>
    </w:p>
    <w:p w14:paraId="35C259B1" w14:textId="77777777" w:rsidR="00AF1E12" w:rsidRDefault="00AF1E12" w:rsidP="00AF1E12">
      <w:pPr>
        <w:rPr>
          <w:iCs/>
        </w:rPr>
      </w:pPr>
    </w:p>
    <w:tbl>
      <w:tblPr>
        <w:tblW w:w="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000"/>
        <w:gridCol w:w="1980"/>
        <w:gridCol w:w="1480"/>
      </w:tblGrid>
      <w:tr w:rsidR="00AF1E12" w14:paraId="12BE1223" w14:textId="77777777" w:rsidTr="00760C66">
        <w:trPr>
          <w:trHeight w:val="300"/>
        </w:trPr>
        <w:tc>
          <w:tcPr>
            <w:tcW w:w="1000" w:type="dxa"/>
            <w:shd w:val="clear" w:color="000000" w:fill="024D7C"/>
            <w:noWrap/>
            <w:vAlign w:val="bottom"/>
            <w:hideMark/>
          </w:tcPr>
          <w:p w14:paraId="7BF7B403" w14:textId="77777777" w:rsidR="00AF1E12" w:rsidRDefault="00AF1E12" w:rsidP="00760C66">
            <w:pPr>
              <w:jc w:val="center"/>
              <w:rPr>
                <w:rFonts w:ascii="Calibri" w:hAnsi="Calibri" w:cs="Calibri"/>
                <w:b/>
                <w:bCs/>
                <w:color w:val="FFFFFF"/>
                <w:sz w:val="22"/>
                <w:szCs w:val="22"/>
                <w:lang w:eastAsia="en-AU"/>
              </w:rPr>
            </w:pPr>
            <w:r>
              <w:rPr>
                <w:rFonts w:ascii="Calibri" w:hAnsi="Calibri" w:cs="Calibri"/>
                <w:b/>
                <w:bCs/>
                <w:color w:val="FFFFFF"/>
                <w:sz w:val="22"/>
                <w:szCs w:val="22"/>
              </w:rPr>
              <w:lastRenderedPageBreak/>
              <w:t>Age</w:t>
            </w:r>
          </w:p>
        </w:tc>
        <w:tc>
          <w:tcPr>
            <w:tcW w:w="1980" w:type="dxa"/>
            <w:shd w:val="clear" w:color="000000" w:fill="024D7C"/>
            <w:noWrap/>
            <w:vAlign w:val="bottom"/>
            <w:hideMark/>
          </w:tcPr>
          <w:p w14:paraId="68C1D9B0" w14:textId="77777777" w:rsidR="00AF1E12" w:rsidRDefault="00AF1E12" w:rsidP="00760C66">
            <w:pPr>
              <w:jc w:val="center"/>
              <w:rPr>
                <w:rFonts w:ascii="Calibri" w:hAnsi="Calibri" w:cs="Calibri"/>
                <w:b/>
                <w:bCs/>
                <w:color w:val="FFFFFF"/>
                <w:sz w:val="22"/>
                <w:szCs w:val="22"/>
              </w:rPr>
            </w:pPr>
            <w:proofErr w:type="spellStart"/>
            <w:r>
              <w:rPr>
                <w:rFonts w:ascii="Calibri" w:hAnsi="Calibri" w:cs="Calibri"/>
                <w:b/>
                <w:bCs/>
                <w:color w:val="FFFFFF"/>
                <w:sz w:val="22"/>
                <w:szCs w:val="22"/>
              </w:rPr>
              <w:t>qx</w:t>
            </w:r>
            <w:proofErr w:type="spellEnd"/>
            <w:r>
              <w:rPr>
                <w:rFonts w:ascii="Calibri" w:hAnsi="Calibri" w:cs="Calibri"/>
                <w:b/>
                <w:bCs/>
                <w:color w:val="FFFFFF"/>
                <w:sz w:val="22"/>
                <w:szCs w:val="22"/>
              </w:rPr>
              <w:t xml:space="preserve"> (Non-smokers)</w:t>
            </w:r>
          </w:p>
        </w:tc>
        <w:tc>
          <w:tcPr>
            <w:tcW w:w="1480" w:type="dxa"/>
            <w:shd w:val="clear" w:color="000000" w:fill="024D7C"/>
            <w:noWrap/>
            <w:vAlign w:val="bottom"/>
            <w:hideMark/>
          </w:tcPr>
          <w:p w14:paraId="6FC925DA" w14:textId="77777777" w:rsidR="00AF1E12" w:rsidRDefault="00AF1E12" w:rsidP="00760C66">
            <w:pPr>
              <w:jc w:val="center"/>
              <w:rPr>
                <w:rFonts w:ascii="Calibri" w:hAnsi="Calibri" w:cs="Calibri"/>
                <w:b/>
                <w:bCs/>
                <w:color w:val="FFFFFF"/>
                <w:sz w:val="22"/>
                <w:szCs w:val="22"/>
              </w:rPr>
            </w:pPr>
            <w:proofErr w:type="spellStart"/>
            <w:r>
              <w:rPr>
                <w:rFonts w:ascii="Calibri" w:hAnsi="Calibri" w:cs="Calibri"/>
                <w:b/>
                <w:bCs/>
                <w:color w:val="FFFFFF"/>
                <w:sz w:val="22"/>
                <w:szCs w:val="22"/>
              </w:rPr>
              <w:t>qx</w:t>
            </w:r>
            <w:proofErr w:type="spellEnd"/>
            <w:r>
              <w:rPr>
                <w:rFonts w:ascii="Calibri" w:hAnsi="Calibri" w:cs="Calibri"/>
                <w:b/>
                <w:bCs/>
                <w:color w:val="FFFFFF"/>
                <w:sz w:val="22"/>
                <w:szCs w:val="22"/>
              </w:rPr>
              <w:t xml:space="preserve"> (Smokers)</w:t>
            </w:r>
          </w:p>
        </w:tc>
      </w:tr>
      <w:tr w:rsidR="00AF1E12" w14:paraId="353BE6D3" w14:textId="77777777" w:rsidTr="00760C66">
        <w:trPr>
          <w:trHeight w:val="300"/>
        </w:trPr>
        <w:tc>
          <w:tcPr>
            <w:tcW w:w="1000" w:type="dxa"/>
            <w:noWrap/>
            <w:vAlign w:val="center"/>
            <w:hideMark/>
          </w:tcPr>
          <w:p w14:paraId="20CA789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0</w:t>
            </w:r>
          </w:p>
        </w:tc>
        <w:tc>
          <w:tcPr>
            <w:tcW w:w="1980" w:type="dxa"/>
            <w:noWrap/>
            <w:vAlign w:val="bottom"/>
            <w:hideMark/>
          </w:tcPr>
          <w:p w14:paraId="12813BA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0.003547</w:t>
            </w:r>
          </w:p>
        </w:tc>
        <w:tc>
          <w:tcPr>
            <w:tcW w:w="1480" w:type="dxa"/>
            <w:noWrap/>
            <w:vAlign w:val="bottom"/>
            <w:hideMark/>
          </w:tcPr>
          <w:p w14:paraId="02DB619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0.003547</w:t>
            </w:r>
          </w:p>
        </w:tc>
      </w:tr>
      <w:tr w:rsidR="00AF1E12" w14:paraId="23E00C8D" w14:textId="77777777" w:rsidTr="00760C66">
        <w:trPr>
          <w:trHeight w:val="300"/>
        </w:trPr>
        <w:tc>
          <w:tcPr>
            <w:tcW w:w="1000" w:type="dxa"/>
            <w:noWrap/>
            <w:vAlign w:val="center"/>
            <w:hideMark/>
          </w:tcPr>
          <w:p w14:paraId="561307F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w:t>
            </w:r>
          </w:p>
        </w:tc>
        <w:tc>
          <w:tcPr>
            <w:tcW w:w="1980" w:type="dxa"/>
            <w:noWrap/>
            <w:vAlign w:val="bottom"/>
            <w:hideMark/>
          </w:tcPr>
          <w:p w14:paraId="332675D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0.000337</w:t>
            </w:r>
          </w:p>
        </w:tc>
        <w:tc>
          <w:tcPr>
            <w:tcW w:w="1480" w:type="dxa"/>
            <w:noWrap/>
            <w:vAlign w:val="bottom"/>
            <w:hideMark/>
          </w:tcPr>
          <w:p w14:paraId="658469E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0.000337</w:t>
            </w:r>
          </w:p>
        </w:tc>
      </w:tr>
      <w:tr w:rsidR="00AF1E12" w14:paraId="2C9C89A0" w14:textId="77777777" w:rsidTr="00760C66">
        <w:trPr>
          <w:trHeight w:val="300"/>
        </w:trPr>
        <w:tc>
          <w:tcPr>
            <w:tcW w:w="1000" w:type="dxa"/>
            <w:noWrap/>
            <w:vAlign w:val="center"/>
            <w:hideMark/>
          </w:tcPr>
          <w:p w14:paraId="654E4F3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w:t>
            </w:r>
          </w:p>
        </w:tc>
        <w:tc>
          <w:tcPr>
            <w:tcW w:w="1980" w:type="dxa"/>
            <w:noWrap/>
            <w:vAlign w:val="bottom"/>
            <w:hideMark/>
          </w:tcPr>
          <w:p w14:paraId="0841001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0.000240</w:t>
            </w:r>
          </w:p>
        </w:tc>
        <w:tc>
          <w:tcPr>
            <w:tcW w:w="1480" w:type="dxa"/>
            <w:noWrap/>
            <w:vAlign w:val="bottom"/>
            <w:hideMark/>
          </w:tcPr>
          <w:p w14:paraId="40AC49E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0.000240</w:t>
            </w:r>
          </w:p>
        </w:tc>
      </w:tr>
      <w:tr w:rsidR="00AF1E12" w14:paraId="24CD54CB" w14:textId="77777777" w:rsidTr="00760C66">
        <w:trPr>
          <w:trHeight w:val="300"/>
        </w:trPr>
        <w:tc>
          <w:tcPr>
            <w:tcW w:w="1000" w:type="dxa"/>
            <w:noWrap/>
            <w:vAlign w:val="center"/>
            <w:hideMark/>
          </w:tcPr>
          <w:p w14:paraId="0C587D0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w:t>
            </w:r>
          </w:p>
        </w:tc>
        <w:tc>
          <w:tcPr>
            <w:tcW w:w="1980" w:type="dxa"/>
            <w:noWrap/>
            <w:vAlign w:val="bottom"/>
            <w:hideMark/>
          </w:tcPr>
          <w:p w14:paraId="39C0DDA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0.000180</w:t>
            </w:r>
          </w:p>
        </w:tc>
        <w:tc>
          <w:tcPr>
            <w:tcW w:w="1480" w:type="dxa"/>
            <w:noWrap/>
            <w:vAlign w:val="bottom"/>
            <w:hideMark/>
          </w:tcPr>
          <w:p w14:paraId="3703B89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0.000180</w:t>
            </w:r>
          </w:p>
        </w:tc>
      </w:tr>
      <w:tr w:rsidR="00AF1E12" w14:paraId="6114DE38" w14:textId="77777777" w:rsidTr="00760C66">
        <w:trPr>
          <w:trHeight w:val="300"/>
        </w:trPr>
        <w:tc>
          <w:tcPr>
            <w:tcW w:w="1000" w:type="dxa"/>
            <w:noWrap/>
            <w:vAlign w:val="center"/>
            <w:hideMark/>
          </w:tcPr>
          <w:p w14:paraId="743AC4B6"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w:t>
            </w:r>
          </w:p>
        </w:tc>
        <w:tc>
          <w:tcPr>
            <w:tcW w:w="1980" w:type="dxa"/>
            <w:noWrap/>
            <w:vAlign w:val="bottom"/>
            <w:hideMark/>
          </w:tcPr>
          <w:p w14:paraId="0D99799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0.000158</w:t>
            </w:r>
          </w:p>
        </w:tc>
        <w:tc>
          <w:tcPr>
            <w:tcW w:w="1480" w:type="dxa"/>
            <w:noWrap/>
            <w:vAlign w:val="bottom"/>
            <w:hideMark/>
          </w:tcPr>
          <w:p w14:paraId="53D9AED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0.000158</w:t>
            </w:r>
          </w:p>
        </w:tc>
      </w:tr>
      <w:tr w:rsidR="00AF1E12" w14:paraId="11691B5C" w14:textId="77777777" w:rsidTr="00760C66">
        <w:trPr>
          <w:trHeight w:val="300"/>
        </w:trPr>
        <w:tc>
          <w:tcPr>
            <w:tcW w:w="1000" w:type="dxa"/>
            <w:noWrap/>
            <w:vAlign w:val="center"/>
            <w:hideMark/>
          </w:tcPr>
          <w:p w14:paraId="789DF710"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w:t>
            </w:r>
          </w:p>
        </w:tc>
        <w:tc>
          <w:tcPr>
            <w:tcW w:w="1980" w:type="dxa"/>
            <w:noWrap/>
            <w:vAlign w:val="bottom"/>
            <w:hideMark/>
          </w:tcPr>
          <w:p w14:paraId="5F1C102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0.000147</w:t>
            </w:r>
          </w:p>
        </w:tc>
        <w:tc>
          <w:tcPr>
            <w:tcW w:w="1480" w:type="dxa"/>
            <w:noWrap/>
            <w:vAlign w:val="bottom"/>
            <w:hideMark/>
          </w:tcPr>
          <w:p w14:paraId="52A4A55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0.000147</w:t>
            </w:r>
          </w:p>
        </w:tc>
      </w:tr>
      <w:tr w:rsidR="00AF1E12" w14:paraId="0B0924B3" w14:textId="77777777" w:rsidTr="00760C66">
        <w:trPr>
          <w:trHeight w:val="300"/>
        </w:trPr>
        <w:tc>
          <w:tcPr>
            <w:tcW w:w="1000" w:type="dxa"/>
            <w:noWrap/>
            <w:vAlign w:val="center"/>
            <w:hideMark/>
          </w:tcPr>
          <w:p w14:paraId="084B56D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w:t>
            </w:r>
          </w:p>
        </w:tc>
        <w:tc>
          <w:tcPr>
            <w:tcW w:w="1980" w:type="dxa"/>
            <w:noWrap/>
            <w:vAlign w:val="bottom"/>
            <w:hideMark/>
          </w:tcPr>
          <w:p w14:paraId="4D4F355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0.000138</w:t>
            </w:r>
          </w:p>
        </w:tc>
        <w:tc>
          <w:tcPr>
            <w:tcW w:w="1480" w:type="dxa"/>
            <w:noWrap/>
            <w:vAlign w:val="bottom"/>
            <w:hideMark/>
          </w:tcPr>
          <w:p w14:paraId="72BE567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0.000138</w:t>
            </w:r>
          </w:p>
        </w:tc>
      </w:tr>
      <w:tr w:rsidR="00AF1E12" w14:paraId="63186031" w14:textId="77777777" w:rsidTr="00760C66">
        <w:trPr>
          <w:trHeight w:val="300"/>
        </w:trPr>
        <w:tc>
          <w:tcPr>
            <w:tcW w:w="1000" w:type="dxa"/>
            <w:noWrap/>
            <w:vAlign w:val="center"/>
            <w:hideMark/>
          </w:tcPr>
          <w:p w14:paraId="78D1A37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w:t>
            </w:r>
          </w:p>
        </w:tc>
        <w:tc>
          <w:tcPr>
            <w:tcW w:w="1980" w:type="dxa"/>
            <w:noWrap/>
            <w:vAlign w:val="bottom"/>
            <w:hideMark/>
          </w:tcPr>
          <w:p w14:paraId="1D7A090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0.000129</w:t>
            </w:r>
          </w:p>
        </w:tc>
        <w:tc>
          <w:tcPr>
            <w:tcW w:w="1480" w:type="dxa"/>
            <w:noWrap/>
            <w:vAlign w:val="bottom"/>
            <w:hideMark/>
          </w:tcPr>
          <w:p w14:paraId="6DB8BC3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0.000129</w:t>
            </w:r>
          </w:p>
        </w:tc>
      </w:tr>
      <w:tr w:rsidR="00AF1E12" w14:paraId="220DDDFB" w14:textId="77777777" w:rsidTr="00760C66">
        <w:trPr>
          <w:trHeight w:val="300"/>
        </w:trPr>
        <w:tc>
          <w:tcPr>
            <w:tcW w:w="1000" w:type="dxa"/>
            <w:noWrap/>
            <w:vAlign w:val="center"/>
            <w:hideMark/>
          </w:tcPr>
          <w:p w14:paraId="392F213A"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w:t>
            </w:r>
          </w:p>
        </w:tc>
        <w:tc>
          <w:tcPr>
            <w:tcW w:w="1980" w:type="dxa"/>
            <w:noWrap/>
            <w:vAlign w:val="bottom"/>
            <w:hideMark/>
          </w:tcPr>
          <w:p w14:paraId="601A775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0.000126</w:t>
            </w:r>
          </w:p>
        </w:tc>
        <w:tc>
          <w:tcPr>
            <w:tcW w:w="1480" w:type="dxa"/>
            <w:noWrap/>
            <w:vAlign w:val="bottom"/>
            <w:hideMark/>
          </w:tcPr>
          <w:p w14:paraId="726183E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0.000126</w:t>
            </w:r>
          </w:p>
        </w:tc>
      </w:tr>
      <w:tr w:rsidR="00AF1E12" w14:paraId="23FABBDE" w14:textId="77777777" w:rsidTr="00760C66">
        <w:trPr>
          <w:trHeight w:val="300"/>
        </w:trPr>
        <w:tc>
          <w:tcPr>
            <w:tcW w:w="1000" w:type="dxa"/>
            <w:noWrap/>
            <w:vAlign w:val="center"/>
            <w:hideMark/>
          </w:tcPr>
          <w:p w14:paraId="0909AE5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w:t>
            </w:r>
          </w:p>
        </w:tc>
        <w:tc>
          <w:tcPr>
            <w:tcW w:w="1980" w:type="dxa"/>
            <w:noWrap/>
            <w:vAlign w:val="bottom"/>
            <w:hideMark/>
          </w:tcPr>
          <w:p w14:paraId="5372165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0.000125</w:t>
            </w:r>
          </w:p>
        </w:tc>
        <w:tc>
          <w:tcPr>
            <w:tcW w:w="1480" w:type="dxa"/>
            <w:noWrap/>
            <w:vAlign w:val="bottom"/>
            <w:hideMark/>
          </w:tcPr>
          <w:p w14:paraId="5AD1216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0.000125</w:t>
            </w:r>
          </w:p>
        </w:tc>
      </w:tr>
      <w:tr w:rsidR="00AF1E12" w14:paraId="608B5E0B" w14:textId="77777777" w:rsidTr="00760C66">
        <w:trPr>
          <w:trHeight w:val="300"/>
        </w:trPr>
        <w:tc>
          <w:tcPr>
            <w:tcW w:w="1000" w:type="dxa"/>
            <w:noWrap/>
            <w:vAlign w:val="center"/>
            <w:hideMark/>
          </w:tcPr>
          <w:p w14:paraId="6505F283"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w:t>
            </w:r>
          </w:p>
        </w:tc>
        <w:tc>
          <w:tcPr>
            <w:tcW w:w="1980" w:type="dxa"/>
            <w:noWrap/>
            <w:vAlign w:val="bottom"/>
            <w:hideMark/>
          </w:tcPr>
          <w:p w14:paraId="303574A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0.000137</w:t>
            </w:r>
          </w:p>
        </w:tc>
        <w:tc>
          <w:tcPr>
            <w:tcW w:w="1480" w:type="dxa"/>
            <w:noWrap/>
            <w:vAlign w:val="bottom"/>
            <w:hideMark/>
          </w:tcPr>
          <w:p w14:paraId="0DC8846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0.000137</w:t>
            </w:r>
          </w:p>
        </w:tc>
      </w:tr>
      <w:tr w:rsidR="00AF1E12" w14:paraId="370DAF6B" w14:textId="77777777" w:rsidTr="00760C66">
        <w:trPr>
          <w:trHeight w:val="300"/>
        </w:trPr>
        <w:tc>
          <w:tcPr>
            <w:tcW w:w="1000" w:type="dxa"/>
            <w:noWrap/>
            <w:vAlign w:val="center"/>
            <w:hideMark/>
          </w:tcPr>
          <w:p w14:paraId="5DA3BFE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w:t>
            </w:r>
          </w:p>
        </w:tc>
        <w:tc>
          <w:tcPr>
            <w:tcW w:w="1980" w:type="dxa"/>
            <w:noWrap/>
            <w:vAlign w:val="bottom"/>
            <w:hideMark/>
          </w:tcPr>
          <w:p w14:paraId="6E06276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0.000145</w:t>
            </w:r>
          </w:p>
        </w:tc>
        <w:tc>
          <w:tcPr>
            <w:tcW w:w="1480" w:type="dxa"/>
            <w:noWrap/>
            <w:vAlign w:val="bottom"/>
            <w:hideMark/>
          </w:tcPr>
          <w:p w14:paraId="7D22B1D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0.000145</w:t>
            </w:r>
          </w:p>
        </w:tc>
      </w:tr>
      <w:tr w:rsidR="00AF1E12" w14:paraId="4CC60AC6" w14:textId="77777777" w:rsidTr="00760C66">
        <w:trPr>
          <w:trHeight w:val="300"/>
        </w:trPr>
        <w:tc>
          <w:tcPr>
            <w:tcW w:w="1000" w:type="dxa"/>
            <w:noWrap/>
            <w:vAlign w:val="center"/>
            <w:hideMark/>
          </w:tcPr>
          <w:p w14:paraId="230F70C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12</w:t>
            </w:r>
          </w:p>
        </w:tc>
        <w:tc>
          <w:tcPr>
            <w:tcW w:w="1980" w:type="dxa"/>
            <w:noWrap/>
            <w:vAlign w:val="bottom"/>
            <w:hideMark/>
          </w:tcPr>
          <w:p w14:paraId="2265E15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0.000161</w:t>
            </w:r>
          </w:p>
        </w:tc>
        <w:tc>
          <w:tcPr>
            <w:tcW w:w="1480" w:type="dxa"/>
            <w:noWrap/>
            <w:vAlign w:val="bottom"/>
            <w:hideMark/>
          </w:tcPr>
          <w:p w14:paraId="398209F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0.000161</w:t>
            </w:r>
          </w:p>
        </w:tc>
      </w:tr>
      <w:tr w:rsidR="00AF1E12" w14:paraId="267D6A6A" w14:textId="77777777" w:rsidTr="00760C66">
        <w:trPr>
          <w:trHeight w:val="300"/>
        </w:trPr>
        <w:tc>
          <w:tcPr>
            <w:tcW w:w="1000" w:type="dxa"/>
            <w:noWrap/>
            <w:vAlign w:val="center"/>
            <w:hideMark/>
          </w:tcPr>
          <w:p w14:paraId="64981BE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13</w:t>
            </w:r>
          </w:p>
        </w:tc>
        <w:tc>
          <w:tcPr>
            <w:tcW w:w="1980" w:type="dxa"/>
            <w:noWrap/>
            <w:vAlign w:val="bottom"/>
            <w:hideMark/>
          </w:tcPr>
          <w:p w14:paraId="3A7456A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0.000181</w:t>
            </w:r>
          </w:p>
        </w:tc>
        <w:tc>
          <w:tcPr>
            <w:tcW w:w="1480" w:type="dxa"/>
            <w:noWrap/>
            <w:vAlign w:val="bottom"/>
            <w:hideMark/>
          </w:tcPr>
          <w:p w14:paraId="1C2DDCD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0.000181</w:t>
            </w:r>
          </w:p>
        </w:tc>
      </w:tr>
      <w:tr w:rsidR="00AF1E12" w14:paraId="2A8481B8" w14:textId="77777777" w:rsidTr="00760C66">
        <w:trPr>
          <w:trHeight w:val="300"/>
        </w:trPr>
        <w:tc>
          <w:tcPr>
            <w:tcW w:w="1000" w:type="dxa"/>
            <w:noWrap/>
            <w:vAlign w:val="center"/>
            <w:hideMark/>
          </w:tcPr>
          <w:p w14:paraId="34681D3B"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14</w:t>
            </w:r>
          </w:p>
        </w:tc>
        <w:tc>
          <w:tcPr>
            <w:tcW w:w="1980" w:type="dxa"/>
            <w:noWrap/>
            <w:vAlign w:val="bottom"/>
            <w:hideMark/>
          </w:tcPr>
          <w:p w14:paraId="1936272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0.000217</w:t>
            </w:r>
          </w:p>
        </w:tc>
        <w:tc>
          <w:tcPr>
            <w:tcW w:w="1480" w:type="dxa"/>
            <w:noWrap/>
            <w:vAlign w:val="bottom"/>
            <w:hideMark/>
          </w:tcPr>
          <w:p w14:paraId="4D89621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0.000217</w:t>
            </w:r>
          </w:p>
        </w:tc>
      </w:tr>
      <w:tr w:rsidR="00AF1E12" w14:paraId="262A31B2" w14:textId="77777777" w:rsidTr="00760C66">
        <w:trPr>
          <w:trHeight w:val="300"/>
        </w:trPr>
        <w:tc>
          <w:tcPr>
            <w:tcW w:w="1000" w:type="dxa"/>
            <w:noWrap/>
            <w:vAlign w:val="center"/>
            <w:hideMark/>
          </w:tcPr>
          <w:p w14:paraId="38712B43"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15</w:t>
            </w:r>
          </w:p>
        </w:tc>
        <w:tc>
          <w:tcPr>
            <w:tcW w:w="1980" w:type="dxa"/>
            <w:noWrap/>
            <w:vAlign w:val="bottom"/>
            <w:hideMark/>
          </w:tcPr>
          <w:p w14:paraId="689584C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0.000263</w:t>
            </w:r>
          </w:p>
        </w:tc>
        <w:tc>
          <w:tcPr>
            <w:tcW w:w="1480" w:type="dxa"/>
            <w:noWrap/>
            <w:vAlign w:val="bottom"/>
            <w:hideMark/>
          </w:tcPr>
          <w:p w14:paraId="4B12AAA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0.000373</w:t>
            </w:r>
          </w:p>
        </w:tc>
      </w:tr>
      <w:tr w:rsidR="00AF1E12" w14:paraId="449BFAFC" w14:textId="77777777" w:rsidTr="00760C66">
        <w:trPr>
          <w:trHeight w:val="300"/>
        </w:trPr>
        <w:tc>
          <w:tcPr>
            <w:tcW w:w="1000" w:type="dxa"/>
            <w:noWrap/>
            <w:vAlign w:val="center"/>
            <w:hideMark/>
          </w:tcPr>
          <w:p w14:paraId="3BC14FC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16</w:t>
            </w:r>
          </w:p>
        </w:tc>
        <w:tc>
          <w:tcPr>
            <w:tcW w:w="1980" w:type="dxa"/>
            <w:noWrap/>
            <w:vAlign w:val="bottom"/>
            <w:hideMark/>
          </w:tcPr>
          <w:p w14:paraId="021D940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0.000315</w:t>
            </w:r>
          </w:p>
        </w:tc>
        <w:tc>
          <w:tcPr>
            <w:tcW w:w="1480" w:type="dxa"/>
            <w:noWrap/>
            <w:vAlign w:val="bottom"/>
            <w:hideMark/>
          </w:tcPr>
          <w:p w14:paraId="43C3ABA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0.000456</w:t>
            </w:r>
          </w:p>
        </w:tc>
      </w:tr>
      <w:tr w:rsidR="00AF1E12" w14:paraId="1E853E16" w14:textId="77777777" w:rsidTr="00760C66">
        <w:trPr>
          <w:trHeight w:val="300"/>
        </w:trPr>
        <w:tc>
          <w:tcPr>
            <w:tcW w:w="1000" w:type="dxa"/>
            <w:noWrap/>
            <w:vAlign w:val="center"/>
            <w:hideMark/>
          </w:tcPr>
          <w:p w14:paraId="2EF8689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17</w:t>
            </w:r>
          </w:p>
        </w:tc>
        <w:tc>
          <w:tcPr>
            <w:tcW w:w="1980" w:type="dxa"/>
            <w:noWrap/>
            <w:vAlign w:val="bottom"/>
            <w:hideMark/>
          </w:tcPr>
          <w:p w14:paraId="0AD0666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0.000376</w:t>
            </w:r>
          </w:p>
        </w:tc>
        <w:tc>
          <w:tcPr>
            <w:tcW w:w="1480" w:type="dxa"/>
            <w:noWrap/>
            <w:vAlign w:val="bottom"/>
            <w:hideMark/>
          </w:tcPr>
          <w:p w14:paraId="77F5748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0.000548</w:t>
            </w:r>
          </w:p>
        </w:tc>
      </w:tr>
      <w:tr w:rsidR="00AF1E12" w14:paraId="3FEAB5BA" w14:textId="77777777" w:rsidTr="00760C66">
        <w:trPr>
          <w:trHeight w:val="300"/>
        </w:trPr>
        <w:tc>
          <w:tcPr>
            <w:tcW w:w="1000" w:type="dxa"/>
            <w:noWrap/>
            <w:vAlign w:val="center"/>
            <w:hideMark/>
          </w:tcPr>
          <w:p w14:paraId="78AB850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18</w:t>
            </w:r>
          </w:p>
        </w:tc>
        <w:tc>
          <w:tcPr>
            <w:tcW w:w="1980" w:type="dxa"/>
            <w:noWrap/>
            <w:vAlign w:val="bottom"/>
            <w:hideMark/>
          </w:tcPr>
          <w:p w14:paraId="671ADF0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0.000407</w:t>
            </w:r>
          </w:p>
        </w:tc>
        <w:tc>
          <w:tcPr>
            <w:tcW w:w="1480" w:type="dxa"/>
            <w:noWrap/>
            <w:vAlign w:val="bottom"/>
            <w:hideMark/>
          </w:tcPr>
          <w:p w14:paraId="0CEB74C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0.000605</w:t>
            </w:r>
          </w:p>
        </w:tc>
      </w:tr>
      <w:tr w:rsidR="00AF1E12" w14:paraId="5FD41AB6" w14:textId="77777777" w:rsidTr="00760C66">
        <w:trPr>
          <w:trHeight w:val="300"/>
        </w:trPr>
        <w:tc>
          <w:tcPr>
            <w:tcW w:w="1000" w:type="dxa"/>
            <w:noWrap/>
            <w:vAlign w:val="center"/>
            <w:hideMark/>
          </w:tcPr>
          <w:p w14:paraId="2A4A817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19</w:t>
            </w:r>
          </w:p>
        </w:tc>
        <w:tc>
          <w:tcPr>
            <w:tcW w:w="1980" w:type="dxa"/>
            <w:noWrap/>
            <w:vAlign w:val="bottom"/>
            <w:hideMark/>
          </w:tcPr>
          <w:p w14:paraId="075513A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0.000441</w:t>
            </w:r>
          </w:p>
        </w:tc>
        <w:tc>
          <w:tcPr>
            <w:tcW w:w="1480" w:type="dxa"/>
            <w:noWrap/>
            <w:vAlign w:val="bottom"/>
            <w:hideMark/>
          </w:tcPr>
          <w:p w14:paraId="65E0100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0.000663</w:t>
            </w:r>
          </w:p>
        </w:tc>
      </w:tr>
      <w:tr w:rsidR="00AF1E12" w14:paraId="63141DCA" w14:textId="77777777" w:rsidTr="00760C66">
        <w:trPr>
          <w:trHeight w:val="300"/>
        </w:trPr>
        <w:tc>
          <w:tcPr>
            <w:tcW w:w="1000" w:type="dxa"/>
            <w:noWrap/>
            <w:vAlign w:val="center"/>
            <w:hideMark/>
          </w:tcPr>
          <w:p w14:paraId="6711921B"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20</w:t>
            </w:r>
          </w:p>
        </w:tc>
        <w:tc>
          <w:tcPr>
            <w:tcW w:w="1980" w:type="dxa"/>
            <w:noWrap/>
            <w:vAlign w:val="bottom"/>
            <w:hideMark/>
          </w:tcPr>
          <w:p w14:paraId="281EF56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0.000476</w:t>
            </w:r>
          </w:p>
        </w:tc>
        <w:tc>
          <w:tcPr>
            <w:tcW w:w="1480" w:type="dxa"/>
            <w:noWrap/>
            <w:vAlign w:val="bottom"/>
            <w:hideMark/>
          </w:tcPr>
          <w:p w14:paraId="46B9DB0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0.000719</w:t>
            </w:r>
          </w:p>
        </w:tc>
      </w:tr>
      <w:tr w:rsidR="00AF1E12" w14:paraId="080B1B5A" w14:textId="77777777" w:rsidTr="00760C66">
        <w:trPr>
          <w:trHeight w:val="300"/>
        </w:trPr>
        <w:tc>
          <w:tcPr>
            <w:tcW w:w="1000" w:type="dxa"/>
            <w:noWrap/>
            <w:vAlign w:val="center"/>
            <w:hideMark/>
          </w:tcPr>
          <w:p w14:paraId="15C7B97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21</w:t>
            </w:r>
          </w:p>
        </w:tc>
        <w:tc>
          <w:tcPr>
            <w:tcW w:w="1980" w:type="dxa"/>
            <w:noWrap/>
            <w:vAlign w:val="bottom"/>
            <w:hideMark/>
          </w:tcPr>
          <w:p w14:paraId="2A2286A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0.000499</w:t>
            </w:r>
          </w:p>
        </w:tc>
        <w:tc>
          <w:tcPr>
            <w:tcW w:w="1480" w:type="dxa"/>
            <w:noWrap/>
            <w:vAlign w:val="bottom"/>
            <w:hideMark/>
          </w:tcPr>
          <w:p w14:paraId="0993D97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0.000764</w:t>
            </w:r>
          </w:p>
        </w:tc>
      </w:tr>
      <w:tr w:rsidR="00AF1E12" w14:paraId="6DCFED65" w14:textId="77777777" w:rsidTr="00760C66">
        <w:trPr>
          <w:trHeight w:val="300"/>
        </w:trPr>
        <w:tc>
          <w:tcPr>
            <w:tcW w:w="1000" w:type="dxa"/>
            <w:noWrap/>
            <w:vAlign w:val="center"/>
            <w:hideMark/>
          </w:tcPr>
          <w:p w14:paraId="2D25131A"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22</w:t>
            </w:r>
          </w:p>
        </w:tc>
        <w:tc>
          <w:tcPr>
            <w:tcW w:w="1980" w:type="dxa"/>
            <w:noWrap/>
            <w:vAlign w:val="bottom"/>
            <w:hideMark/>
          </w:tcPr>
          <w:p w14:paraId="025AAA4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0.000516</w:t>
            </w:r>
          </w:p>
        </w:tc>
        <w:tc>
          <w:tcPr>
            <w:tcW w:w="1480" w:type="dxa"/>
            <w:noWrap/>
            <w:vAlign w:val="bottom"/>
            <w:hideMark/>
          </w:tcPr>
          <w:p w14:paraId="6B42695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0.000805</w:t>
            </w:r>
          </w:p>
        </w:tc>
      </w:tr>
      <w:tr w:rsidR="00AF1E12" w14:paraId="7F1845E6" w14:textId="77777777" w:rsidTr="00760C66">
        <w:trPr>
          <w:trHeight w:val="300"/>
        </w:trPr>
        <w:tc>
          <w:tcPr>
            <w:tcW w:w="1000" w:type="dxa"/>
            <w:noWrap/>
            <w:vAlign w:val="center"/>
            <w:hideMark/>
          </w:tcPr>
          <w:p w14:paraId="5CD334D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23</w:t>
            </w:r>
          </w:p>
        </w:tc>
        <w:tc>
          <w:tcPr>
            <w:tcW w:w="1980" w:type="dxa"/>
            <w:noWrap/>
            <w:vAlign w:val="bottom"/>
            <w:hideMark/>
          </w:tcPr>
          <w:p w14:paraId="2D9F5E1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0.000517</w:t>
            </w:r>
          </w:p>
        </w:tc>
        <w:tc>
          <w:tcPr>
            <w:tcW w:w="1480" w:type="dxa"/>
            <w:noWrap/>
            <w:vAlign w:val="bottom"/>
            <w:hideMark/>
          </w:tcPr>
          <w:p w14:paraId="55E9A2D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0.000828</w:t>
            </w:r>
          </w:p>
        </w:tc>
      </w:tr>
      <w:tr w:rsidR="00AF1E12" w14:paraId="0E1FD75C" w14:textId="77777777" w:rsidTr="00760C66">
        <w:trPr>
          <w:trHeight w:val="300"/>
        </w:trPr>
        <w:tc>
          <w:tcPr>
            <w:tcW w:w="1000" w:type="dxa"/>
            <w:noWrap/>
            <w:vAlign w:val="center"/>
            <w:hideMark/>
          </w:tcPr>
          <w:p w14:paraId="613E932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24</w:t>
            </w:r>
          </w:p>
        </w:tc>
        <w:tc>
          <w:tcPr>
            <w:tcW w:w="1980" w:type="dxa"/>
            <w:noWrap/>
            <w:vAlign w:val="bottom"/>
            <w:hideMark/>
          </w:tcPr>
          <w:p w14:paraId="38A0DA5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0.000519</w:t>
            </w:r>
          </w:p>
        </w:tc>
        <w:tc>
          <w:tcPr>
            <w:tcW w:w="1480" w:type="dxa"/>
            <w:noWrap/>
            <w:vAlign w:val="bottom"/>
            <w:hideMark/>
          </w:tcPr>
          <w:p w14:paraId="0DE465B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0.000838</w:t>
            </w:r>
          </w:p>
        </w:tc>
      </w:tr>
      <w:tr w:rsidR="00AF1E12" w14:paraId="4AF487CF" w14:textId="77777777" w:rsidTr="00760C66">
        <w:trPr>
          <w:trHeight w:val="300"/>
        </w:trPr>
        <w:tc>
          <w:tcPr>
            <w:tcW w:w="1000" w:type="dxa"/>
            <w:noWrap/>
            <w:vAlign w:val="center"/>
            <w:hideMark/>
          </w:tcPr>
          <w:p w14:paraId="769593C6"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25</w:t>
            </w:r>
          </w:p>
        </w:tc>
        <w:tc>
          <w:tcPr>
            <w:tcW w:w="1980" w:type="dxa"/>
            <w:noWrap/>
            <w:vAlign w:val="bottom"/>
            <w:hideMark/>
          </w:tcPr>
          <w:p w14:paraId="63530B5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0.000488</w:t>
            </w:r>
          </w:p>
        </w:tc>
        <w:tc>
          <w:tcPr>
            <w:tcW w:w="1480" w:type="dxa"/>
            <w:noWrap/>
            <w:vAlign w:val="bottom"/>
            <w:hideMark/>
          </w:tcPr>
          <w:p w14:paraId="03E6DE8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0.000834</w:t>
            </w:r>
          </w:p>
        </w:tc>
      </w:tr>
      <w:tr w:rsidR="00AF1E12" w14:paraId="2F1DB969" w14:textId="77777777" w:rsidTr="00760C66">
        <w:trPr>
          <w:trHeight w:val="300"/>
        </w:trPr>
        <w:tc>
          <w:tcPr>
            <w:tcW w:w="1000" w:type="dxa"/>
            <w:noWrap/>
            <w:vAlign w:val="center"/>
            <w:hideMark/>
          </w:tcPr>
          <w:p w14:paraId="220B001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26</w:t>
            </w:r>
          </w:p>
        </w:tc>
        <w:tc>
          <w:tcPr>
            <w:tcW w:w="1980" w:type="dxa"/>
            <w:noWrap/>
            <w:vAlign w:val="bottom"/>
            <w:hideMark/>
          </w:tcPr>
          <w:p w14:paraId="1B0E6D4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0.000498</w:t>
            </w:r>
          </w:p>
        </w:tc>
        <w:tc>
          <w:tcPr>
            <w:tcW w:w="1480" w:type="dxa"/>
            <w:noWrap/>
            <w:vAlign w:val="bottom"/>
            <w:hideMark/>
          </w:tcPr>
          <w:p w14:paraId="13834C9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0.000852</w:t>
            </w:r>
          </w:p>
        </w:tc>
      </w:tr>
      <w:tr w:rsidR="00AF1E12" w14:paraId="560F0D9E" w14:textId="77777777" w:rsidTr="00760C66">
        <w:trPr>
          <w:trHeight w:val="300"/>
        </w:trPr>
        <w:tc>
          <w:tcPr>
            <w:tcW w:w="1000" w:type="dxa"/>
            <w:noWrap/>
            <w:vAlign w:val="center"/>
            <w:hideMark/>
          </w:tcPr>
          <w:p w14:paraId="225EBD5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27</w:t>
            </w:r>
          </w:p>
        </w:tc>
        <w:tc>
          <w:tcPr>
            <w:tcW w:w="1980" w:type="dxa"/>
            <w:noWrap/>
            <w:vAlign w:val="bottom"/>
            <w:hideMark/>
          </w:tcPr>
          <w:p w14:paraId="2792CEC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0.000511</w:t>
            </w:r>
          </w:p>
        </w:tc>
        <w:tc>
          <w:tcPr>
            <w:tcW w:w="1480" w:type="dxa"/>
            <w:noWrap/>
            <w:vAlign w:val="bottom"/>
            <w:hideMark/>
          </w:tcPr>
          <w:p w14:paraId="4612B0A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0.000874</w:t>
            </w:r>
          </w:p>
        </w:tc>
      </w:tr>
      <w:tr w:rsidR="00AF1E12" w14:paraId="6935A812" w14:textId="77777777" w:rsidTr="00760C66">
        <w:trPr>
          <w:trHeight w:val="300"/>
        </w:trPr>
        <w:tc>
          <w:tcPr>
            <w:tcW w:w="1000" w:type="dxa"/>
            <w:noWrap/>
            <w:vAlign w:val="center"/>
            <w:hideMark/>
          </w:tcPr>
          <w:p w14:paraId="1A8A4D4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28</w:t>
            </w:r>
          </w:p>
        </w:tc>
        <w:tc>
          <w:tcPr>
            <w:tcW w:w="1980" w:type="dxa"/>
            <w:noWrap/>
            <w:vAlign w:val="bottom"/>
            <w:hideMark/>
          </w:tcPr>
          <w:p w14:paraId="46C35F5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0.000525</w:t>
            </w:r>
          </w:p>
        </w:tc>
        <w:tc>
          <w:tcPr>
            <w:tcW w:w="1480" w:type="dxa"/>
            <w:noWrap/>
            <w:vAlign w:val="bottom"/>
            <w:hideMark/>
          </w:tcPr>
          <w:p w14:paraId="502CFEB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0.000898</w:t>
            </w:r>
          </w:p>
        </w:tc>
      </w:tr>
      <w:tr w:rsidR="00AF1E12" w14:paraId="1941CE08" w14:textId="77777777" w:rsidTr="00760C66">
        <w:trPr>
          <w:trHeight w:val="300"/>
        </w:trPr>
        <w:tc>
          <w:tcPr>
            <w:tcW w:w="1000" w:type="dxa"/>
            <w:noWrap/>
            <w:vAlign w:val="center"/>
            <w:hideMark/>
          </w:tcPr>
          <w:p w14:paraId="4A7DADB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29</w:t>
            </w:r>
          </w:p>
        </w:tc>
        <w:tc>
          <w:tcPr>
            <w:tcW w:w="1980" w:type="dxa"/>
            <w:noWrap/>
            <w:vAlign w:val="bottom"/>
            <w:hideMark/>
          </w:tcPr>
          <w:p w14:paraId="527DB33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0.000543</w:t>
            </w:r>
          </w:p>
        </w:tc>
        <w:tc>
          <w:tcPr>
            <w:tcW w:w="1480" w:type="dxa"/>
            <w:noWrap/>
            <w:vAlign w:val="bottom"/>
            <w:hideMark/>
          </w:tcPr>
          <w:p w14:paraId="3B50791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0.000929</w:t>
            </w:r>
          </w:p>
        </w:tc>
      </w:tr>
      <w:tr w:rsidR="00AF1E12" w14:paraId="0B399860" w14:textId="77777777" w:rsidTr="00760C66">
        <w:trPr>
          <w:trHeight w:val="300"/>
        </w:trPr>
        <w:tc>
          <w:tcPr>
            <w:tcW w:w="1000" w:type="dxa"/>
            <w:noWrap/>
            <w:vAlign w:val="center"/>
            <w:hideMark/>
          </w:tcPr>
          <w:p w14:paraId="0C89D39D"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30</w:t>
            </w:r>
          </w:p>
        </w:tc>
        <w:tc>
          <w:tcPr>
            <w:tcW w:w="1980" w:type="dxa"/>
            <w:noWrap/>
            <w:vAlign w:val="bottom"/>
            <w:hideMark/>
          </w:tcPr>
          <w:p w14:paraId="1E87E52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0.000570</w:t>
            </w:r>
          </w:p>
        </w:tc>
        <w:tc>
          <w:tcPr>
            <w:tcW w:w="1480" w:type="dxa"/>
            <w:noWrap/>
            <w:vAlign w:val="bottom"/>
            <w:hideMark/>
          </w:tcPr>
          <w:p w14:paraId="5E7009E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0.000975</w:t>
            </w:r>
          </w:p>
        </w:tc>
      </w:tr>
      <w:tr w:rsidR="00AF1E12" w14:paraId="2A5A459C" w14:textId="77777777" w:rsidTr="00760C66">
        <w:trPr>
          <w:trHeight w:val="300"/>
        </w:trPr>
        <w:tc>
          <w:tcPr>
            <w:tcW w:w="1000" w:type="dxa"/>
            <w:noWrap/>
            <w:vAlign w:val="center"/>
            <w:hideMark/>
          </w:tcPr>
          <w:p w14:paraId="3B97551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31</w:t>
            </w:r>
          </w:p>
        </w:tc>
        <w:tc>
          <w:tcPr>
            <w:tcW w:w="1980" w:type="dxa"/>
            <w:noWrap/>
            <w:vAlign w:val="bottom"/>
            <w:hideMark/>
          </w:tcPr>
          <w:p w14:paraId="37A858B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0.000602</w:t>
            </w:r>
          </w:p>
        </w:tc>
        <w:tc>
          <w:tcPr>
            <w:tcW w:w="1480" w:type="dxa"/>
            <w:noWrap/>
            <w:vAlign w:val="bottom"/>
            <w:hideMark/>
          </w:tcPr>
          <w:p w14:paraId="5060BDB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0.001030</w:t>
            </w:r>
          </w:p>
        </w:tc>
      </w:tr>
      <w:tr w:rsidR="00AF1E12" w14:paraId="690A2BDE" w14:textId="77777777" w:rsidTr="00760C66">
        <w:trPr>
          <w:trHeight w:val="300"/>
        </w:trPr>
        <w:tc>
          <w:tcPr>
            <w:tcW w:w="1000" w:type="dxa"/>
            <w:noWrap/>
            <w:vAlign w:val="center"/>
            <w:hideMark/>
          </w:tcPr>
          <w:p w14:paraId="642D336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32</w:t>
            </w:r>
          </w:p>
        </w:tc>
        <w:tc>
          <w:tcPr>
            <w:tcW w:w="1980" w:type="dxa"/>
            <w:noWrap/>
            <w:vAlign w:val="bottom"/>
            <w:hideMark/>
          </w:tcPr>
          <w:p w14:paraId="35191BE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0.000635</w:t>
            </w:r>
          </w:p>
        </w:tc>
        <w:tc>
          <w:tcPr>
            <w:tcW w:w="1480" w:type="dxa"/>
            <w:noWrap/>
            <w:vAlign w:val="bottom"/>
            <w:hideMark/>
          </w:tcPr>
          <w:p w14:paraId="1F505CF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0.001085</w:t>
            </w:r>
          </w:p>
        </w:tc>
      </w:tr>
      <w:tr w:rsidR="00AF1E12" w14:paraId="5EBD4AE9" w14:textId="77777777" w:rsidTr="00760C66">
        <w:trPr>
          <w:trHeight w:val="300"/>
        </w:trPr>
        <w:tc>
          <w:tcPr>
            <w:tcW w:w="1000" w:type="dxa"/>
            <w:noWrap/>
            <w:vAlign w:val="center"/>
            <w:hideMark/>
          </w:tcPr>
          <w:p w14:paraId="4641C4D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33</w:t>
            </w:r>
          </w:p>
        </w:tc>
        <w:tc>
          <w:tcPr>
            <w:tcW w:w="1980" w:type="dxa"/>
            <w:noWrap/>
            <w:vAlign w:val="bottom"/>
            <w:hideMark/>
          </w:tcPr>
          <w:p w14:paraId="6428E96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0.000675</w:t>
            </w:r>
          </w:p>
        </w:tc>
        <w:tc>
          <w:tcPr>
            <w:tcW w:w="1480" w:type="dxa"/>
            <w:noWrap/>
            <w:vAlign w:val="bottom"/>
            <w:hideMark/>
          </w:tcPr>
          <w:p w14:paraId="108F264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0.001154</w:t>
            </w:r>
          </w:p>
        </w:tc>
      </w:tr>
      <w:tr w:rsidR="00AF1E12" w14:paraId="664E7E32" w14:textId="77777777" w:rsidTr="00760C66">
        <w:trPr>
          <w:trHeight w:val="300"/>
        </w:trPr>
        <w:tc>
          <w:tcPr>
            <w:tcW w:w="1000" w:type="dxa"/>
            <w:noWrap/>
            <w:vAlign w:val="center"/>
            <w:hideMark/>
          </w:tcPr>
          <w:p w14:paraId="1EEFBEEA"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34</w:t>
            </w:r>
          </w:p>
        </w:tc>
        <w:tc>
          <w:tcPr>
            <w:tcW w:w="1980" w:type="dxa"/>
            <w:noWrap/>
            <w:vAlign w:val="bottom"/>
            <w:hideMark/>
          </w:tcPr>
          <w:p w14:paraId="6E7BCA8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0.000717</w:t>
            </w:r>
          </w:p>
        </w:tc>
        <w:tc>
          <w:tcPr>
            <w:tcW w:w="1480" w:type="dxa"/>
            <w:noWrap/>
            <w:vAlign w:val="bottom"/>
            <w:hideMark/>
          </w:tcPr>
          <w:p w14:paraId="1E16A89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0.001226</w:t>
            </w:r>
          </w:p>
        </w:tc>
      </w:tr>
      <w:tr w:rsidR="00AF1E12" w14:paraId="0E9305C1" w14:textId="77777777" w:rsidTr="00760C66">
        <w:trPr>
          <w:trHeight w:val="300"/>
        </w:trPr>
        <w:tc>
          <w:tcPr>
            <w:tcW w:w="1000" w:type="dxa"/>
            <w:noWrap/>
            <w:vAlign w:val="center"/>
            <w:hideMark/>
          </w:tcPr>
          <w:p w14:paraId="6C4C401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35</w:t>
            </w:r>
          </w:p>
        </w:tc>
        <w:tc>
          <w:tcPr>
            <w:tcW w:w="1980" w:type="dxa"/>
            <w:noWrap/>
            <w:vAlign w:val="bottom"/>
            <w:hideMark/>
          </w:tcPr>
          <w:p w14:paraId="4443C33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0.000766</w:t>
            </w:r>
          </w:p>
        </w:tc>
        <w:tc>
          <w:tcPr>
            <w:tcW w:w="1480" w:type="dxa"/>
            <w:noWrap/>
            <w:vAlign w:val="bottom"/>
            <w:hideMark/>
          </w:tcPr>
          <w:p w14:paraId="76A40CF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0.001310</w:t>
            </w:r>
          </w:p>
        </w:tc>
      </w:tr>
      <w:tr w:rsidR="00AF1E12" w14:paraId="14338D69" w14:textId="77777777" w:rsidTr="00760C66">
        <w:trPr>
          <w:trHeight w:val="300"/>
        </w:trPr>
        <w:tc>
          <w:tcPr>
            <w:tcW w:w="1000" w:type="dxa"/>
            <w:noWrap/>
            <w:vAlign w:val="center"/>
            <w:hideMark/>
          </w:tcPr>
          <w:p w14:paraId="3950674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36</w:t>
            </w:r>
          </w:p>
        </w:tc>
        <w:tc>
          <w:tcPr>
            <w:tcW w:w="1980" w:type="dxa"/>
            <w:noWrap/>
            <w:vAlign w:val="bottom"/>
            <w:hideMark/>
          </w:tcPr>
          <w:p w14:paraId="5C97B29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0.000833</w:t>
            </w:r>
          </w:p>
        </w:tc>
        <w:tc>
          <w:tcPr>
            <w:tcW w:w="1480" w:type="dxa"/>
            <w:noWrap/>
            <w:vAlign w:val="bottom"/>
            <w:hideMark/>
          </w:tcPr>
          <w:p w14:paraId="42AA23F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0.001425</w:t>
            </w:r>
          </w:p>
        </w:tc>
      </w:tr>
      <w:tr w:rsidR="00AF1E12" w14:paraId="7F304053" w14:textId="77777777" w:rsidTr="00760C66">
        <w:trPr>
          <w:trHeight w:val="300"/>
        </w:trPr>
        <w:tc>
          <w:tcPr>
            <w:tcW w:w="1000" w:type="dxa"/>
            <w:noWrap/>
            <w:vAlign w:val="center"/>
            <w:hideMark/>
          </w:tcPr>
          <w:p w14:paraId="18C4A93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lastRenderedPageBreak/>
              <w:t>37</w:t>
            </w:r>
          </w:p>
        </w:tc>
        <w:tc>
          <w:tcPr>
            <w:tcW w:w="1980" w:type="dxa"/>
            <w:noWrap/>
            <w:vAlign w:val="bottom"/>
            <w:hideMark/>
          </w:tcPr>
          <w:p w14:paraId="4B9CAC6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0.000911</w:t>
            </w:r>
          </w:p>
        </w:tc>
        <w:tc>
          <w:tcPr>
            <w:tcW w:w="1480" w:type="dxa"/>
            <w:noWrap/>
            <w:vAlign w:val="bottom"/>
            <w:hideMark/>
          </w:tcPr>
          <w:p w14:paraId="548EA3D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0.001558</w:t>
            </w:r>
          </w:p>
        </w:tc>
      </w:tr>
      <w:tr w:rsidR="00AF1E12" w14:paraId="1F61C4AC" w14:textId="77777777" w:rsidTr="00760C66">
        <w:trPr>
          <w:trHeight w:val="300"/>
        </w:trPr>
        <w:tc>
          <w:tcPr>
            <w:tcW w:w="1000" w:type="dxa"/>
            <w:noWrap/>
            <w:vAlign w:val="center"/>
            <w:hideMark/>
          </w:tcPr>
          <w:p w14:paraId="7920AC7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38</w:t>
            </w:r>
          </w:p>
        </w:tc>
        <w:tc>
          <w:tcPr>
            <w:tcW w:w="1980" w:type="dxa"/>
            <w:noWrap/>
            <w:vAlign w:val="bottom"/>
            <w:hideMark/>
          </w:tcPr>
          <w:p w14:paraId="7584EB8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0.000992</w:t>
            </w:r>
          </w:p>
        </w:tc>
        <w:tc>
          <w:tcPr>
            <w:tcW w:w="1480" w:type="dxa"/>
            <w:noWrap/>
            <w:vAlign w:val="bottom"/>
            <w:hideMark/>
          </w:tcPr>
          <w:p w14:paraId="074C90F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0.001696</w:t>
            </w:r>
          </w:p>
        </w:tc>
      </w:tr>
      <w:tr w:rsidR="00AF1E12" w14:paraId="2B77744D" w14:textId="77777777" w:rsidTr="00760C66">
        <w:trPr>
          <w:trHeight w:val="300"/>
        </w:trPr>
        <w:tc>
          <w:tcPr>
            <w:tcW w:w="1000" w:type="dxa"/>
            <w:noWrap/>
            <w:vAlign w:val="center"/>
            <w:hideMark/>
          </w:tcPr>
          <w:p w14:paraId="04C2C0C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39</w:t>
            </w:r>
          </w:p>
        </w:tc>
        <w:tc>
          <w:tcPr>
            <w:tcW w:w="1980" w:type="dxa"/>
            <w:noWrap/>
            <w:vAlign w:val="bottom"/>
            <w:hideMark/>
          </w:tcPr>
          <w:p w14:paraId="3E6A079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0.001075</w:t>
            </w:r>
          </w:p>
        </w:tc>
        <w:tc>
          <w:tcPr>
            <w:tcW w:w="1480" w:type="dxa"/>
            <w:noWrap/>
            <w:vAlign w:val="bottom"/>
            <w:hideMark/>
          </w:tcPr>
          <w:p w14:paraId="04B1939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0.001839</w:t>
            </w:r>
          </w:p>
        </w:tc>
      </w:tr>
      <w:tr w:rsidR="00AF1E12" w14:paraId="4AF5E849" w14:textId="77777777" w:rsidTr="00760C66">
        <w:trPr>
          <w:trHeight w:val="300"/>
        </w:trPr>
        <w:tc>
          <w:tcPr>
            <w:tcW w:w="1000" w:type="dxa"/>
            <w:noWrap/>
            <w:vAlign w:val="center"/>
            <w:hideMark/>
          </w:tcPr>
          <w:p w14:paraId="20B5782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40</w:t>
            </w:r>
          </w:p>
        </w:tc>
        <w:tc>
          <w:tcPr>
            <w:tcW w:w="1980" w:type="dxa"/>
            <w:noWrap/>
            <w:vAlign w:val="bottom"/>
            <w:hideMark/>
          </w:tcPr>
          <w:p w14:paraId="6CCF434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0.001173</w:t>
            </w:r>
          </w:p>
        </w:tc>
        <w:tc>
          <w:tcPr>
            <w:tcW w:w="1480" w:type="dxa"/>
            <w:noWrap/>
            <w:vAlign w:val="bottom"/>
            <w:hideMark/>
          </w:tcPr>
          <w:p w14:paraId="66544C0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0.002005</w:t>
            </w:r>
          </w:p>
        </w:tc>
      </w:tr>
      <w:tr w:rsidR="00AF1E12" w14:paraId="7DF15489" w14:textId="77777777" w:rsidTr="00760C66">
        <w:trPr>
          <w:trHeight w:val="300"/>
        </w:trPr>
        <w:tc>
          <w:tcPr>
            <w:tcW w:w="1000" w:type="dxa"/>
            <w:noWrap/>
            <w:vAlign w:val="center"/>
            <w:hideMark/>
          </w:tcPr>
          <w:p w14:paraId="56DD0B6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41</w:t>
            </w:r>
          </w:p>
        </w:tc>
        <w:tc>
          <w:tcPr>
            <w:tcW w:w="1980" w:type="dxa"/>
            <w:noWrap/>
            <w:vAlign w:val="bottom"/>
            <w:hideMark/>
          </w:tcPr>
          <w:p w14:paraId="790AD11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0.001270</w:t>
            </w:r>
          </w:p>
        </w:tc>
        <w:tc>
          <w:tcPr>
            <w:tcW w:w="1480" w:type="dxa"/>
            <w:noWrap/>
            <w:vAlign w:val="bottom"/>
            <w:hideMark/>
          </w:tcPr>
          <w:p w14:paraId="2F056B4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0.002171</w:t>
            </w:r>
          </w:p>
        </w:tc>
      </w:tr>
      <w:tr w:rsidR="00AF1E12" w14:paraId="349814E3" w14:textId="77777777" w:rsidTr="00760C66">
        <w:trPr>
          <w:trHeight w:val="300"/>
        </w:trPr>
        <w:tc>
          <w:tcPr>
            <w:tcW w:w="1000" w:type="dxa"/>
            <w:noWrap/>
            <w:vAlign w:val="center"/>
            <w:hideMark/>
          </w:tcPr>
          <w:p w14:paraId="2E45127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42</w:t>
            </w:r>
          </w:p>
        </w:tc>
        <w:tc>
          <w:tcPr>
            <w:tcW w:w="1980" w:type="dxa"/>
            <w:noWrap/>
            <w:vAlign w:val="bottom"/>
            <w:hideMark/>
          </w:tcPr>
          <w:p w14:paraId="2AE3360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0.001380</w:t>
            </w:r>
          </w:p>
        </w:tc>
        <w:tc>
          <w:tcPr>
            <w:tcW w:w="1480" w:type="dxa"/>
            <w:noWrap/>
            <w:vAlign w:val="bottom"/>
            <w:hideMark/>
          </w:tcPr>
          <w:p w14:paraId="699C849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0.002360</w:t>
            </w:r>
          </w:p>
        </w:tc>
      </w:tr>
      <w:tr w:rsidR="00AF1E12" w14:paraId="4A49449A" w14:textId="77777777" w:rsidTr="00760C66">
        <w:trPr>
          <w:trHeight w:val="300"/>
        </w:trPr>
        <w:tc>
          <w:tcPr>
            <w:tcW w:w="1000" w:type="dxa"/>
            <w:noWrap/>
            <w:vAlign w:val="center"/>
            <w:hideMark/>
          </w:tcPr>
          <w:p w14:paraId="4966157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43</w:t>
            </w:r>
          </w:p>
        </w:tc>
        <w:tc>
          <w:tcPr>
            <w:tcW w:w="1980" w:type="dxa"/>
            <w:noWrap/>
            <w:vAlign w:val="bottom"/>
            <w:hideMark/>
          </w:tcPr>
          <w:p w14:paraId="6C53521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0.001499</w:t>
            </w:r>
          </w:p>
        </w:tc>
        <w:tc>
          <w:tcPr>
            <w:tcW w:w="1480" w:type="dxa"/>
            <w:noWrap/>
            <w:vAlign w:val="bottom"/>
            <w:hideMark/>
          </w:tcPr>
          <w:p w14:paraId="538256D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0.002563</w:t>
            </w:r>
          </w:p>
        </w:tc>
      </w:tr>
      <w:tr w:rsidR="00AF1E12" w14:paraId="72B31CA2" w14:textId="77777777" w:rsidTr="00760C66">
        <w:trPr>
          <w:trHeight w:val="300"/>
        </w:trPr>
        <w:tc>
          <w:tcPr>
            <w:tcW w:w="1000" w:type="dxa"/>
            <w:noWrap/>
            <w:vAlign w:val="center"/>
            <w:hideMark/>
          </w:tcPr>
          <w:p w14:paraId="77D9960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44</w:t>
            </w:r>
          </w:p>
        </w:tc>
        <w:tc>
          <w:tcPr>
            <w:tcW w:w="1980" w:type="dxa"/>
            <w:noWrap/>
            <w:vAlign w:val="bottom"/>
            <w:hideMark/>
          </w:tcPr>
          <w:p w14:paraId="715D21F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0.001629</w:t>
            </w:r>
          </w:p>
        </w:tc>
        <w:tc>
          <w:tcPr>
            <w:tcW w:w="1480" w:type="dxa"/>
            <w:noWrap/>
            <w:vAlign w:val="bottom"/>
            <w:hideMark/>
          </w:tcPr>
          <w:p w14:paraId="1CEE07E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0.002785</w:t>
            </w:r>
          </w:p>
        </w:tc>
      </w:tr>
      <w:tr w:rsidR="00AF1E12" w14:paraId="33A1873E" w14:textId="77777777" w:rsidTr="00760C66">
        <w:trPr>
          <w:trHeight w:val="300"/>
        </w:trPr>
        <w:tc>
          <w:tcPr>
            <w:tcW w:w="1000" w:type="dxa"/>
            <w:noWrap/>
            <w:vAlign w:val="center"/>
            <w:hideMark/>
          </w:tcPr>
          <w:p w14:paraId="5C5E77A0"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45</w:t>
            </w:r>
          </w:p>
        </w:tc>
        <w:tc>
          <w:tcPr>
            <w:tcW w:w="1980" w:type="dxa"/>
            <w:noWrap/>
            <w:vAlign w:val="bottom"/>
            <w:hideMark/>
          </w:tcPr>
          <w:p w14:paraId="2F2009D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0.001728</w:t>
            </w:r>
          </w:p>
        </w:tc>
        <w:tc>
          <w:tcPr>
            <w:tcW w:w="1480" w:type="dxa"/>
            <w:noWrap/>
            <w:vAlign w:val="bottom"/>
            <w:hideMark/>
          </w:tcPr>
          <w:p w14:paraId="7B27743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0.002955</w:t>
            </w:r>
          </w:p>
        </w:tc>
      </w:tr>
      <w:tr w:rsidR="00AF1E12" w14:paraId="3E397411" w14:textId="77777777" w:rsidTr="00760C66">
        <w:trPr>
          <w:trHeight w:val="300"/>
        </w:trPr>
        <w:tc>
          <w:tcPr>
            <w:tcW w:w="1000" w:type="dxa"/>
            <w:noWrap/>
            <w:vAlign w:val="center"/>
            <w:hideMark/>
          </w:tcPr>
          <w:p w14:paraId="56CE30B6"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46</w:t>
            </w:r>
          </w:p>
        </w:tc>
        <w:tc>
          <w:tcPr>
            <w:tcW w:w="1980" w:type="dxa"/>
            <w:noWrap/>
            <w:vAlign w:val="bottom"/>
            <w:hideMark/>
          </w:tcPr>
          <w:p w14:paraId="3F2F922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0.001875</w:t>
            </w:r>
          </w:p>
        </w:tc>
        <w:tc>
          <w:tcPr>
            <w:tcW w:w="1480" w:type="dxa"/>
            <w:noWrap/>
            <w:vAlign w:val="bottom"/>
            <w:hideMark/>
          </w:tcPr>
          <w:p w14:paraId="1F05D7E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0.003262</w:t>
            </w:r>
          </w:p>
        </w:tc>
      </w:tr>
      <w:tr w:rsidR="00AF1E12" w14:paraId="7411EBA6" w14:textId="77777777" w:rsidTr="00760C66">
        <w:trPr>
          <w:trHeight w:val="300"/>
        </w:trPr>
        <w:tc>
          <w:tcPr>
            <w:tcW w:w="1000" w:type="dxa"/>
            <w:noWrap/>
            <w:vAlign w:val="center"/>
            <w:hideMark/>
          </w:tcPr>
          <w:p w14:paraId="3D26894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47</w:t>
            </w:r>
          </w:p>
        </w:tc>
        <w:tc>
          <w:tcPr>
            <w:tcW w:w="1980" w:type="dxa"/>
            <w:noWrap/>
            <w:vAlign w:val="bottom"/>
            <w:hideMark/>
          </w:tcPr>
          <w:p w14:paraId="0A6CCE6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0.002056</w:t>
            </w:r>
          </w:p>
        </w:tc>
        <w:tc>
          <w:tcPr>
            <w:tcW w:w="1480" w:type="dxa"/>
            <w:noWrap/>
            <w:vAlign w:val="bottom"/>
            <w:hideMark/>
          </w:tcPr>
          <w:p w14:paraId="0B37BB1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0.003577</w:t>
            </w:r>
          </w:p>
        </w:tc>
      </w:tr>
      <w:tr w:rsidR="00AF1E12" w14:paraId="685D4443" w14:textId="77777777" w:rsidTr="00760C66">
        <w:trPr>
          <w:trHeight w:val="300"/>
        </w:trPr>
        <w:tc>
          <w:tcPr>
            <w:tcW w:w="1000" w:type="dxa"/>
            <w:noWrap/>
            <w:vAlign w:val="center"/>
            <w:hideMark/>
          </w:tcPr>
          <w:p w14:paraId="6E8A2E4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48</w:t>
            </w:r>
          </w:p>
        </w:tc>
        <w:tc>
          <w:tcPr>
            <w:tcW w:w="1980" w:type="dxa"/>
            <w:noWrap/>
            <w:vAlign w:val="bottom"/>
            <w:hideMark/>
          </w:tcPr>
          <w:p w14:paraId="461E0DB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0.002247</w:t>
            </w:r>
          </w:p>
        </w:tc>
        <w:tc>
          <w:tcPr>
            <w:tcW w:w="1480" w:type="dxa"/>
            <w:noWrap/>
            <w:vAlign w:val="bottom"/>
            <w:hideMark/>
          </w:tcPr>
          <w:p w14:paraId="0A01210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0.003910</w:t>
            </w:r>
          </w:p>
        </w:tc>
      </w:tr>
      <w:tr w:rsidR="00AF1E12" w14:paraId="7B4627D0" w14:textId="77777777" w:rsidTr="00760C66">
        <w:trPr>
          <w:trHeight w:val="300"/>
        </w:trPr>
        <w:tc>
          <w:tcPr>
            <w:tcW w:w="1000" w:type="dxa"/>
            <w:noWrap/>
            <w:vAlign w:val="center"/>
            <w:hideMark/>
          </w:tcPr>
          <w:p w14:paraId="5D10B10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49</w:t>
            </w:r>
          </w:p>
        </w:tc>
        <w:tc>
          <w:tcPr>
            <w:tcW w:w="1980" w:type="dxa"/>
            <w:noWrap/>
            <w:vAlign w:val="bottom"/>
            <w:hideMark/>
          </w:tcPr>
          <w:p w14:paraId="6465437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0.002457</w:t>
            </w:r>
          </w:p>
        </w:tc>
        <w:tc>
          <w:tcPr>
            <w:tcW w:w="1480" w:type="dxa"/>
            <w:noWrap/>
            <w:vAlign w:val="bottom"/>
            <w:hideMark/>
          </w:tcPr>
          <w:p w14:paraId="1BD952B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0.004275</w:t>
            </w:r>
          </w:p>
        </w:tc>
      </w:tr>
      <w:tr w:rsidR="00AF1E12" w14:paraId="56DD878A" w14:textId="77777777" w:rsidTr="00760C66">
        <w:trPr>
          <w:trHeight w:val="300"/>
        </w:trPr>
        <w:tc>
          <w:tcPr>
            <w:tcW w:w="1000" w:type="dxa"/>
            <w:noWrap/>
            <w:vAlign w:val="center"/>
            <w:hideMark/>
          </w:tcPr>
          <w:p w14:paraId="4D725CC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50</w:t>
            </w:r>
          </w:p>
        </w:tc>
        <w:tc>
          <w:tcPr>
            <w:tcW w:w="1980" w:type="dxa"/>
            <w:noWrap/>
            <w:vAlign w:val="bottom"/>
            <w:hideMark/>
          </w:tcPr>
          <w:p w14:paraId="375D649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0.002682</w:t>
            </w:r>
          </w:p>
        </w:tc>
        <w:tc>
          <w:tcPr>
            <w:tcW w:w="1480" w:type="dxa"/>
            <w:noWrap/>
            <w:vAlign w:val="bottom"/>
            <w:hideMark/>
          </w:tcPr>
          <w:p w14:paraId="14E957E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0.004667</w:t>
            </w:r>
          </w:p>
        </w:tc>
      </w:tr>
      <w:tr w:rsidR="00AF1E12" w14:paraId="331291A3" w14:textId="77777777" w:rsidTr="00760C66">
        <w:trPr>
          <w:trHeight w:val="300"/>
        </w:trPr>
        <w:tc>
          <w:tcPr>
            <w:tcW w:w="1000" w:type="dxa"/>
            <w:noWrap/>
            <w:vAlign w:val="center"/>
            <w:hideMark/>
          </w:tcPr>
          <w:p w14:paraId="0BA59E70"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51</w:t>
            </w:r>
          </w:p>
        </w:tc>
        <w:tc>
          <w:tcPr>
            <w:tcW w:w="1980" w:type="dxa"/>
            <w:noWrap/>
            <w:vAlign w:val="bottom"/>
            <w:hideMark/>
          </w:tcPr>
          <w:p w14:paraId="6BBBF85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0.002941</w:t>
            </w:r>
          </w:p>
        </w:tc>
        <w:tc>
          <w:tcPr>
            <w:tcW w:w="1480" w:type="dxa"/>
            <w:noWrap/>
            <w:vAlign w:val="bottom"/>
            <w:hideMark/>
          </w:tcPr>
          <w:p w14:paraId="253310A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0.005118</w:t>
            </w:r>
          </w:p>
        </w:tc>
      </w:tr>
      <w:tr w:rsidR="00AF1E12" w14:paraId="2E001ACE" w14:textId="77777777" w:rsidTr="00760C66">
        <w:trPr>
          <w:trHeight w:val="300"/>
        </w:trPr>
        <w:tc>
          <w:tcPr>
            <w:tcW w:w="1000" w:type="dxa"/>
            <w:noWrap/>
            <w:vAlign w:val="center"/>
            <w:hideMark/>
          </w:tcPr>
          <w:p w14:paraId="6A69F22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52</w:t>
            </w:r>
          </w:p>
        </w:tc>
        <w:tc>
          <w:tcPr>
            <w:tcW w:w="1980" w:type="dxa"/>
            <w:noWrap/>
            <w:vAlign w:val="bottom"/>
            <w:hideMark/>
          </w:tcPr>
          <w:p w14:paraId="7D7CB1F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0.002090</w:t>
            </w:r>
          </w:p>
        </w:tc>
        <w:tc>
          <w:tcPr>
            <w:tcW w:w="1480" w:type="dxa"/>
            <w:noWrap/>
            <w:vAlign w:val="bottom"/>
            <w:hideMark/>
          </w:tcPr>
          <w:p w14:paraId="33C52A9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0.009404</w:t>
            </w:r>
          </w:p>
        </w:tc>
      </w:tr>
      <w:tr w:rsidR="00AF1E12" w14:paraId="3769A17A" w14:textId="77777777" w:rsidTr="00760C66">
        <w:trPr>
          <w:trHeight w:val="300"/>
        </w:trPr>
        <w:tc>
          <w:tcPr>
            <w:tcW w:w="1000" w:type="dxa"/>
            <w:noWrap/>
            <w:vAlign w:val="center"/>
            <w:hideMark/>
          </w:tcPr>
          <w:p w14:paraId="551127E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53</w:t>
            </w:r>
          </w:p>
        </w:tc>
        <w:tc>
          <w:tcPr>
            <w:tcW w:w="1980" w:type="dxa"/>
            <w:noWrap/>
            <w:vAlign w:val="bottom"/>
            <w:hideMark/>
          </w:tcPr>
          <w:p w14:paraId="0E34A54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0.002300</w:t>
            </w:r>
          </w:p>
        </w:tc>
        <w:tc>
          <w:tcPr>
            <w:tcW w:w="1480" w:type="dxa"/>
            <w:noWrap/>
            <w:vAlign w:val="bottom"/>
            <w:hideMark/>
          </w:tcPr>
          <w:p w14:paraId="14B679C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0.010351</w:t>
            </w:r>
          </w:p>
        </w:tc>
      </w:tr>
      <w:tr w:rsidR="00AF1E12" w14:paraId="52C01271" w14:textId="77777777" w:rsidTr="00760C66">
        <w:trPr>
          <w:trHeight w:val="300"/>
        </w:trPr>
        <w:tc>
          <w:tcPr>
            <w:tcW w:w="1000" w:type="dxa"/>
            <w:noWrap/>
            <w:vAlign w:val="center"/>
            <w:hideMark/>
          </w:tcPr>
          <w:p w14:paraId="6A64A04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54</w:t>
            </w:r>
          </w:p>
        </w:tc>
        <w:tc>
          <w:tcPr>
            <w:tcW w:w="1980" w:type="dxa"/>
            <w:noWrap/>
            <w:vAlign w:val="bottom"/>
            <w:hideMark/>
          </w:tcPr>
          <w:p w14:paraId="3165D7A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0.002540</w:t>
            </w:r>
          </w:p>
        </w:tc>
        <w:tc>
          <w:tcPr>
            <w:tcW w:w="1480" w:type="dxa"/>
            <w:noWrap/>
            <w:vAlign w:val="bottom"/>
            <w:hideMark/>
          </w:tcPr>
          <w:p w14:paraId="2B0DFD6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0.011429</w:t>
            </w:r>
          </w:p>
        </w:tc>
      </w:tr>
      <w:tr w:rsidR="00AF1E12" w14:paraId="2CBA049E" w14:textId="77777777" w:rsidTr="00760C66">
        <w:trPr>
          <w:trHeight w:val="300"/>
        </w:trPr>
        <w:tc>
          <w:tcPr>
            <w:tcW w:w="1000" w:type="dxa"/>
            <w:noWrap/>
            <w:vAlign w:val="center"/>
            <w:hideMark/>
          </w:tcPr>
          <w:p w14:paraId="2D905CB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55</w:t>
            </w:r>
          </w:p>
        </w:tc>
        <w:tc>
          <w:tcPr>
            <w:tcW w:w="1980" w:type="dxa"/>
            <w:noWrap/>
            <w:vAlign w:val="bottom"/>
            <w:hideMark/>
          </w:tcPr>
          <w:p w14:paraId="1641559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0.002811</w:t>
            </w:r>
          </w:p>
        </w:tc>
        <w:tc>
          <w:tcPr>
            <w:tcW w:w="1480" w:type="dxa"/>
            <w:noWrap/>
            <w:vAlign w:val="bottom"/>
            <w:hideMark/>
          </w:tcPr>
          <w:p w14:paraId="637C259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0.012650</w:t>
            </w:r>
          </w:p>
        </w:tc>
      </w:tr>
      <w:tr w:rsidR="00AF1E12" w14:paraId="7F63B2E7" w14:textId="77777777" w:rsidTr="00760C66">
        <w:trPr>
          <w:trHeight w:val="300"/>
        </w:trPr>
        <w:tc>
          <w:tcPr>
            <w:tcW w:w="1000" w:type="dxa"/>
            <w:noWrap/>
            <w:vAlign w:val="center"/>
            <w:hideMark/>
          </w:tcPr>
          <w:p w14:paraId="774FEC2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56</w:t>
            </w:r>
          </w:p>
        </w:tc>
        <w:tc>
          <w:tcPr>
            <w:tcW w:w="1980" w:type="dxa"/>
            <w:noWrap/>
            <w:vAlign w:val="bottom"/>
            <w:hideMark/>
          </w:tcPr>
          <w:p w14:paraId="50245ED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0.002462</w:t>
            </w:r>
          </w:p>
        </w:tc>
        <w:tc>
          <w:tcPr>
            <w:tcW w:w="1480" w:type="dxa"/>
            <w:noWrap/>
            <w:vAlign w:val="bottom"/>
            <w:hideMark/>
          </w:tcPr>
          <w:p w14:paraId="1E56B4D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0.016003</w:t>
            </w:r>
          </w:p>
        </w:tc>
      </w:tr>
      <w:tr w:rsidR="00AF1E12" w14:paraId="7CE583CF" w14:textId="77777777" w:rsidTr="00760C66">
        <w:trPr>
          <w:trHeight w:val="300"/>
        </w:trPr>
        <w:tc>
          <w:tcPr>
            <w:tcW w:w="1000" w:type="dxa"/>
            <w:noWrap/>
            <w:vAlign w:val="center"/>
            <w:hideMark/>
          </w:tcPr>
          <w:p w14:paraId="2ED3473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57</w:t>
            </w:r>
          </w:p>
        </w:tc>
        <w:tc>
          <w:tcPr>
            <w:tcW w:w="1980" w:type="dxa"/>
            <w:noWrap/>
            <w:vAlign w:val="bottom"/>
            <w:hideMark/>
          </w:tcPr>
          <w:p w14:paraId="7A60208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0.002703</w:t>
            </w:r>
          </w:p>
        </w:tc>
        <w:tc>
          <w:tcPr>
            <w:tcW w:w="1480" w:type="dxa"/>
            <w:noWrap/>
            <w:vAlign w:val="bottom"/>
            <w:hideMark/>
          </w:tcPr>
          <w:p w14:paraId="54CDF96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0.017570</w:t>
            </w:r>
          </w:p>
        </w:tc>
      </w:tr>
      <w:tr w:rsidR="00AF1E12" w14:paraId="4B2DD08C" w14:textId="77777777" w:rsidTr="00760C66">
        <w:trPr>
          <w:trHeight w:val="300"/>
        </w:trPr>
        <w:tc>
          <w:tcPr>
            <w:tcW w:w="1000" w:type="dxa"/>
            <w:noWrap/>
            <w:vAlign w:val="center"/>
            <w:hideMark/>
          </w:tcPr>
          <w:p w14:paraId="0BFEA08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58</w:t>
            </w:r>
          </w:p>
        </w:tc>
        <w:tc>
          <w:tcPr>
            <w:tcW w:w="1980" w:type="dxa"/>
            <w:noWrap/>
            <w:vAlign w:val="bottom"/>
            <w:hideMark/>
          </w:tcPr>
          <w:p w14:paraId="4261062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0.002968</w:t>
            </w:r>
          </w:p>
        </w:tc>
        <w:tc>
          <w:tcPr>
            <w:tcW w:w="1480" w:type="dxa"/>
            <w:noWrap/>
            <w:vAlign w:val="bottom"/>
            <w:hideMark/>
          </w:tcPr>
          <w:p w14:paraId="1F34E47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0.019294</w:t>
            </w:r>
          </w:p>
        </w:tc>
      </w:tr>
      <w:tr w:rsidR="00AF1E12" w14:paraId="311E71F0" w14:textId="77777777" w:rsidTr="00760C66">
        <w:trPr>
          <w:trHeight w:val="300"/>
        </w:trPr>
        <w:tc>
          <w:tcPr>
            <w:tcW w:w="1000" w:type="dxa"/>
            <w:noWrap/>
            <w:vAlign w:val="center"/>
            <w:hideMark/>
          </w:tcPr>
          <w:p w14:paraId="37A6557D"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59</w:t>
            </w:r>
          </w:p>
        </w:tc>
        <w:tc>
          <w:tcPr>
            <w:tcW w:w="1980" w:type="dxa"/>
            <w:noWrap/>
            <w:vAlign w:val="bottom"/>
            <w:hideMark/>
          </w:tcPr>
          <w:p w14:paraId="032A72F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0.003286</w:t>
            </w:r>
          </w:p>
        </w:tc>
        <w:tc>
          <w:tcPr>
            <w:tcW w:w="1480" w:type="dxa"/>
            <w:noWrap/>
            <w:vAlign w:val="bottom"/>
            <w:hideMark/>
          </w:tcPr>
          <w:p w14:paraId="0E88CC9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0.021359</w:t>
            </w:r>
          </w:p>
        </w:tc>
      </w:tr>
      <w:tr w:rsidR="00AF1E12" w14:paraId="37457BB1" w14:textId="77777777" w:rsidTr="00760C66">
        <w:trPr>
          <w:trHeight w:val="300"/>
        </w:trPr>
        <w:tc>
          <w:tcPr>
            <w:tcW w:w="1000" w:type="dxa"/>
            <w:noWrap/>
            <w:vAlign w:val="center"/>
            <w:hideMark/>
          </w:tcPr>
          <w:p w14:paraId="7805D8E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60</w:t>
            </w:r>
          </w:p>
        </w:tc>
        <w:tc>
          <w:tcPr>
            <w:tcW w:w="1980" w:type="dxa"/>
            <w:noWrap/>
            <w:vAlign w:val="bottom"/>
            <w:hideMark/>
          </w:tcPr>
          <w:p w14:paraId="13600D0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0.003625</w:t>
            </w:r>
          </w:p>
        </w:tc>
        <w:tc>
          <w:tcPr>
            <w:tcW w:w="1480" w:type="dxa"/>
            <w:noWrap/>
            <w:vAlign w:val="bottom"/>
            <w:hideMark/>
          </w:tcPr>
          <w:p w14:paraId="66DFEAF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0.023561</w:t>
            </w:r>
          </w:p>
        </w:tc>
      </w:tr>
      <w:tr w:rsidR="00AF1E12" w14:paraId="45122406" w14:textId="77777777" w:rsidTr="00760C66">
        <w:trPr>
          <w:trHeight w:val="300"/>
        </w:trPr>
        <w:tc>
          <w:tcPr>
            <w:tcW w:w="1000" w:type="dxa"/>
            <w:noWrap/>
            <w:vAlign w:val="center"/>
            <w:hideMark/>
          </w:tcPr>
          <w:p w14:paraId="7FA7021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61</w:t>
            </w:r>
          </w:p>
        </w:tc>
        <w:tc>
          <w:tcPr>
            <w:tcW w:w="1980" w:type="dxa"/>
            <w:noWrap/>
            <w:vAlign w:val="bottom"/>
            <w:hideMark/>
          </w:tcPr>
          <w:p w14:paraId="4508804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0.003962</w:t>
            </w:r>
          </w:p>
        </w:tc>
        <w:tc>
          <w:tcPr>
            <w:tcW w:w="1480" w:type="dxa"/>
            <w:noWrap/>
            <w:vAlign w:val="bottom"/>
            <w:hideMark/>
          </w:tcPr>
          <w:p w14:paraId="722D0B2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0.025752</w:t>
            </w:r>
          </w:p>
        </w:tc>
      </w:tr>
      <w:tr w:rsidR="00AF1E12" w14:paraId="38419F38" w14:textId="77777777" w:rsidTr="00760C66">
        <w:trPr>
          <w:trHeight w:val="300"/>
        </w:trPr>
        <w:tc>
          <w:tcPr>
            <w:tcW w:w="1000" w:type="dxa"/>
            <w:noWrap/>
            <w:vAlign w:val="center"/>
            <w:hideMark/>
          </w:tcPr>
          <w:p w14:paraId="63FCC50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62</w:t>
            </w:r>
          </w:p>
        </w:tc>
        <w:tc>
          <w:tcPr>
            <w:tcW w:w="1980" w:type="dxa"/>
            <w:noWrap/>
            <w:vAlign w:val="bottom"/>
            <w:hideMark/>
          </w:tcPr>
          <w:p w14:paraId="731FAF5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0.004333</w:t>
            </w:r>
          </w:p>
        </w:tc>
        <w:tc>
          <w:tcPr>
            <w:tcW w:w="1480" w:type="dxa"/>
            <w:noWrap/>
            <w:vAlign w:val="bottom"/>
            <w:hideMark/>
          </w:tcPr>
          <w:p w14:paraId="2196FBA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0.028164</w:t>
            </w:r>
          </w:p>
        </w:tc>
      </w:tr>
      <w:tr w:rsidR="00AF1E12" w14:paraId="44FCDB90" w14:textId="77777777" w:rsidTr="00760C66">
        <w:trPr>
          <w:trHeight w:val="300"/>
        </w:trPr>
        <w:tc>
          <w:tcPr>
            <w:tcW w:w="1000" w:type="dxa"/>
            <w:noWrap/>
            <w:vAlign w:val="center"/>
            <w:hideMark/>
          </w:tcPr>
          <w:p w14:paraId="488607DA"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63</w:t>
            </w:r>
          </w:p>
        </w:tc>
        <w:tc>
          <w:tcPr>
            <w:tcW w:w="1980" w:type="dxa"/>
            <w:noWrap/>
            <w:vAlign w:val="bottom"/>
            <w:hideMark/>
          </w:tcPr>
          <w:p w14:paraId="58E80E3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0.004728</w:t>
            </w:r>
          </w:p>
        </w:tc>
        <w:tc>
          <w:tcPr>
            <w:tcW w:w="1480" w:type="dxa"/>
            <w:noWrap/>
            <w:vAlign w:val="bottom"/>
            <w:hideMark/>
          </w:tcPr>
          <w:p w14:paraId="5976FE0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0.030730</w:t>
            </w:r>
          </w:p>
        </w:tc>
      </w:tr>
      <w:tr w:rsidR="00AF1E12" w14:paraId="5E3EE56A" w14:textId="77777777" w:rsidTr="00760C66">
        <w:trPr>
          <w:trHeight w:val="300"/>
        </w:trPr>
        <w:tc>
          <w:tcPr>
            <w:tcW w:w="1000" w:type="dxa"/>
            <w:noWrap/>
            <w:vAlign w:val="center"/>
            <w:hideMark/>
          </w:tcPr>
          <w:p w14:paraId="33800EE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64</w:t>
            </w:r>
          </w:p>
        </w:tc>
        <w:tc>
          <w:tcPr>
            <w:tcW w:w="1980" w:type="dxa"/>
            <w:noWrap/>
            <w:vAlign w:val="bottom"/>
            <w:hideMark/>
          </w:tcPr>
          <w:p w14:paraId="52C8D43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0.005167</w:t>
            </w:r>
          </w:p>
        </w:tc>
        <w:tc>
          <w:tcPr>
            <w:tcW w:w="1480" w:type="dxa"/>
            <w:noWrap/>
            <w:vAlign w:val="bottom"/>
            <w:hideMark/>
          </w:tcPr>
          <w:p w14:paraId="7D81239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0.033586</w:t>
            </w:r>
          </w:p>
        </w:tc>
      </w:tr>
      <w:tr w:rsidR="00AF1E12" w14:paraId="65DE6195" w14:textId="77777777" w:rsidTr="00760C66">
        <w:trPr>
          <w:trHeight w:val="300"/>
        </w:trPr>
        <w:tc>
          <w:tcPr>
            <w:tcW w:w="1000" w:type="dxa"/>
            <w:noWrap/>
            <w:vAlign w:val="center"/>
            <w:hideMark/>
          </w:tcPr>
          <w:p w14:paraId="2DF40F1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65</w:t>
            </w:r>
          </w:p>
        </w:tc>
        <w:tc>
          <w:tcPr>
            <w:tcW w:w="1980" w:type="dxa"/>
            <w:noWrap/>
            <w:vAlign w:val="bottom"/>
            <w:hideMark/>
          </w:tcPr>
          <w:p w14:paraId="06F2C6D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0.007555</w:t>
            </w:r>
          </w:p>
        </w:tc>
        <w:tc>
          <w:tcPr>
            <w:tcW w:w="1480" w:type="dxa"/>
            <w:noWrap/>
            <w:vAlign w:val="bottom"/>
            <w:hideMark/>
          </w:tcPr>
          <w:p w14:paraId="2AC1BF8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0.049105</w:t>
            </w:r>
          </w:p>
        </w:tc>
      </w:tr>
      <w:tr w:rsidR="00AF1E12" w14:paraId="443F141A" w14:textId="77777777" w:rsidTr="00760C66">
        <w:trPr>
          <w:trHeight w:val="300"/>
        </w:trPr>
        <w:tc>
          <w:tcPr>
            <w:tcW w:w="1000" w:type="dxa"/>
            <w:noWrap/>
            <w:vAlign w:val="center"/>
            <w:hideMark/>
          </w:tcPr>
          <w:p w14:paraId="1F52776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66</w:t>
            </w:r>
          </w:p>
        </w:tc>
        <w:tc>
          <w:tcPr>
            <w:tcW w:w="1980" w:type="dxa"/>
            <w:noWrap/>
            <w:vAlign w:val="bottom"/>
            <w:hideMark/>
          </w:tcPr>
          <w:p w14:paraId="39BBA84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0.008276</w:t>
            </w:r>
          </w:p>
        </w:tc>
        <w:tc>
          <w:tcPr>
            <w:tcW w:w="1480" w:type="dxa"/>
            <w:noWrap/>
            <w:vAlign w:val="bottom"/>
            <w:hideMark/>
          </w:tcPr>
          <w:p w14:paraId="6F344B7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0.053791</w:t>
            </w:r>
          </w:p>
        </w:tc>
      </w:tr>
      <w:tr w:rsidR="00AF1E12" w14:paraId="41783D65" w14:textId="77777777" w:rsidTr="00760C66">
        <w:trPr>
          <w:trHeight w:val="300"/>
        </w:trPr>
        <w:tc>
          <w:tcPr>
            <w:tcW w:w="1000" w:type="dxa"/>
            <w:noWrap/>
            <w:vAlign w:val="center"/>
            <w:hideMark/>
          </w:tcPr>
          <w:p w14:paraId="42F3129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67</w:t>
            </w:r>
          </w:p>
        </w:tc>
        <w:tc>
          <w:tcPr>
            <w:tcW w:w="1980" w:type="dxa"/>
            <w:noWrap/>
            <w:vAlign w:val="bottom"/>
            <w:hideMark/>
          </w:tcPr>
          <w:p w14:paraId="021C3ED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0.009042</w:t>
            </w:r>
          </w:p>
        </w:tc>
        <w:tc>
          <w:tcPr>
            <w:tcW w:w="1480" w:type="dxa"/>
            <w:noWrap/>
            <w:vAlign w:val="bottom"/>
            <w:hideMark/>
          </w:tcPr>
          <w:p w14:paraId="10A267E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0.058776</w:t>
            </w:r>
          </w:p>
        </w:tc>
      </w:tr>
      <w:tr w:rsidR="00AF1E12" w14:paraId="7064F3F4" w14:textId="77777777" w:rsidTr="00760C66">
        <w:trPr>
          <w:trHeight w:val="300"/>
        </w:trPr>
        <w:tc>
          <w:tcPr>
            <w:tcW w:w="1000" w:type="dxa"/>
            <w:noWrap/>
            <w:vAlign w:val="center"/>
            <w:hideMark/>
          </w:tcPr>
          <w:p w14:paraId="3CD81293"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68</w:t>
            </w:r>
          </w:p>
        </w:tc>
        <w:tc>
          <w:tcPr>
            <w:tcW w:w="1980" w:type="dxa"/>
            <w:noWrap/>
            <w:vAlign w:val="bottom"/>
            <w:hideMark/>
          </w:tcPr>
          <w:p w14:paraId="484D64C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0.009906</w:t>
            </w:r>
          </w:p>
        </w:tc>
        <w:tc>
          <w:tcPr>
            <w:tcW w:w="1480" w:type="dxa"/>
            <w:noWrap/>
            <w:vAlign w:val="bottom"/>
            <w:hideMark/>
          </w:tcPr>
          <w:p w14:paraId="5C20C65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0.064387</w:t>
            </w:r>
          </w:p>
        </w:tc>
      </w:tr>
      <w:tr w:rsidR="00AF1E12" w14:paraId="455207AB" w14:textId="77777777" w:rsidTr="00760C66">
        <w:trPr>
          <w:trHeight w:val="300"/>
        </w:trPr>
        <w:tc>
          <w:tcPr>
            <w:tcW w:w="1000" w:type="dxa"/>
            <w:noWrap/>
            <w:vAlign w:val="center"/>
            <w:hideMark/>
          </w:tcPr>
          <w:p w14:paraId="6BEFD25F"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69</w:t>
            </w:r>
          </w:p>
        </w:tc>
        <w:tc>
          <w:tcPr>
            <w:tcW w:w="1980" w:type="dxa"/>
            <w:noWrap/>
            <w:vAlign w:val="bottom"/>
            <w:hideMark/>
          </w:tcPr>
          <w:p w14:paraId="6A6674B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0.010879</w:t>
            </w:r>
          </w:p>
        </w:tc>
        <w:tc>
          <w:tcPr>
            <w:tcW w:w="1480" w:type="dxa"/>
            <w:noWrap/>
            <w:vAlign w:val="bottom"/>
            <w:hideMark/>
          </w:tcPr>
          <w:p w14:paraId="77990B4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0.070712</w:t>
            </w:r>
          </w:p>
        </w:tc>
      </w:tr>
      <w:tr w:rsidR="00AF1E12" w14:paraId="19EE5E1A" w14:textId="77777777" w:rsidTr="00760C66">
        <w:trPr>
          <w:trHeight w:val="300"/>
        </w:trPr>
        <w:tc>
          <w:tcPr>
            <w:tcW w:w="1000" w:type="dxa"/>
            <w:noWrap/>
            <w:vAlign w:val="center"/>
            <w:hideMark/>
          </w:tcPr>
          <w:p w14:paraId="76FD0E8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70</w:t>
            </w:r>
          </w:p>
        </w:tc>
        <w:tc>
          <w:tcPr>
            <w:tcW w:w="1980" w:type="dxa"/>
            <w:noWrap/>
            <w:vAlign w:val="bottom"/>
            <w:hideMark/>
          </w:tcPr>
          <w:p w14:paraId="6524127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0.011993</w:t>
            </w:r>
          </w:p>
        </w:tc>
        <w:tc>
          <w:tcPr>
            <w:tcW w:w="1480" w:type="dxa"/>
            <w:noWrap/>
            <w:vAlign w:val="bottom"/>
            <w:hideMark/>
          </w:tcPr>
          <w:p w14:paraId="33E6022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0.077955</w:t>
            </w:r>
          </w:p>
        </w:tc>
      </w:tr>
      <w:tr w:rsidR="00AF1E12" w14:paraId="2ADC7B8F" w14:textId="77777777" w:rsidTr="00760C66">
        <w:trPr>
          <w:trHeight w:val="300"/>
        </w:trPr>
        <w:tc>
          <w:tcPr>
            <w:tcW w:w="1000" w:type="dxa"/>
            <w:noWrap/>
            <w:vAlign w:val="center"/>
            <w:hideMark/>
          </w:tcPr>
          <w:p w14:paraId="689CD88B"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71</w:t>
            </w:r>
          </w:p>
        </w:tc>
        <w:tc>
          <w:tcPr>
            <w:tcW w:w="1980" w:type="dxa"/>
            <w:noWrap/>
            <w:vAlign w:val="bottom"/>
            <w:hideMark/>
          </w:tcPr>
          <w:p w14:paraId="642C492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0.009786</w:t>
            </w:r>
          </w:p>
        </w:tc>
        <w:tc>
          <w:tcPr>
            <w:tcW w:w="1480" w:type="dxa"/>
            <w:noWrap/>
            <w:vAlign w:val="bottom"/>
            <w:hideMark/>
          </w:tcPr>
          <w:p w14:paraId="120026C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0.109699</w:t>
            </w:r>
          </w:p>
        </w:tc>
      </w:tr>
      <w:tr w:rsidR="00AF1E12" w14:paraId="56A7AE77" w14:textId="77777777" w:rsidTr="00760C66">
        <w:trPr>
          <w:trHeight w:val="300"/>
        </w:trPr>
        <w:tc>
          <w:tcPr>
            <w:tcW w:w="1000" w:type="dxa"/>
            <w:noWrap/>
            <w:vAlign w:val="center"/>
            <w:hideMark/>
          </w:tcPr>
          <w:p w14:paraId="677CD990"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72</w:t>
            </w:r>
          </w:p>
        </w:tc>
        <w:tc>
          <w:tcPr>
            <w:tcW w:w="1980" w:type="dxa"/>
            <w:noWrap/>
            <w:vAlign w:val="bottom"/>
            <w:hideMark/>
          </w:tcPr>
          <w:p w14:paraId="3BB3677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0.010878</w:t>
            </w:r>
          </w:p>
        </w:tc>
        <w:tc>
          <w:tcPr>
            <w:tcW w:w="1480" w:type="dxa"/>
            <w:noWrap/>
            <w:vAlign w:val="bottom"/>
            <w:hideMark/>
          </w:tcPr>
          <w:p w14:paraId="6C96221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0.121945</w:t>
            </w:r>
          </w:p>
        </w:tc>
      </w:tr>
      <w:tr w:rsidR="00AF1E12" w14:paraId="5315B21D" w14:textId="77777777" w:rsidTr="00760C66">
        <w:trPr>
          <w:trHeight w:val="300"/>
        </w:trPr>
        <w:tc>
          <w:tcPr>
            <w:tcW w:w="1000" w:type="dxa"/>
            <w:noWrap/>
            <w:vAlign w:val="center"/>
            <w:hideMark/>
          </w:tcPr>
          <w:p w14:paraId="79DCF5DA"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73</w:t>
            </w:r>
          </w:p>
        </w:tc>
        <w:tc>
          <w:tcPr>
            <w:tcW w:w="1980" w:type="dxa"/>
            <w:noWrap/>
            <w:vAlign w:val="bottom"/>
            <w:hideMark/>
          </w:tcPr>
          <w:p w14:paraId="2CD0983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0.012179</w:t>
            </w:r>
          </w:p>
        </w:tc>
        <w:tc>
          <w:tcPr>
            <w:tcW w:w="1480" w:type="dxa"/>
            <w:noWrap/>
            <w:vAlign w:val="bottom"/>
            <w:hideMark/>
          </w:tcPr>
          <w:p w14:paraId="596D59A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0.136531</w:t>
            </w:r>
          </w:p>
        </w:tc>
      </w:tr>
      <w:tr w:rsidR="00AF1E12" w14:paraId="2D437177" w14:textId="77777777" w:rsidTr="00760C66">
        <w:trPr>
          <w:trHeight w:val="300"/>
        </w:trPr>
        <w:tc>
          <w:tcPr>
            <w:tcW w:w="1000" w:type="dxa"/>
            <w:noWrap/>
            <w:vAlign w:val="center"/>
            <w:hideMark/>
          </w:tcPr>
          <w:p w14:paraId="025ED6D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74</w:t>
            </w:r>
          </w:p>
        </w:tc>
        <w:tc>
          <w:tcPr>
            <w:tcW w:w="1980" w:type="dxa"/>
            <w:noWrap/>
            <w:vAlign w:val="bottom"/>
            <w:hideMark/>
          </w:tcPr>
          <w:p w14:paraId="0B646A1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0.013680</w:t>
            </w:r>
          </w:p>
        </w:tc>
        <w:tc>
          <w:tcPr>
            <w:tcW w:w="1480" w:type="dxa"/>
            <w:noWrap/>
            <w:vAlign w:val="bottom"/>
            <w:hideMark/>
          </w:tcPr>
          <w:p w14:paraId="2647D85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0.153350</w:t>
            </w:r>
          </w:p>
        </w:tc>
      </w:tr>
      <w:tr w:rsidR="00AF1E12" w14:paraId="11A99A5C" w14:textId="77777777" w:rsidTr="00760C66">
        <w:trPr>
          <w:trHeight w:val="300"/>
        </w:trPr>
        <w:tc>
          <w:tcPr>
            <w:tcW w:w="1000" w:type="dxa"/>
            <w:noWrap/>
            <w:vAlign w:val="center"/>
            <w:hideMark/>
          </w:tcPr>
          <w:p w14:paraId="0F64B41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lastRenderedPageBreak/>
              <w:t>75</w:t>
            </w:r>
          </w:p>
        </w:tc>
        <w:tc>
          <w:tcPr>
            <w:tcW w:w="1980" w:type="dxa"/>
            <w:noWrap/>
            <w:vAlign w:val="bottom"/>
            <w:hideMark/>
          </w:tcPr>
          <w:p w14:paraId="255DADF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0.015403</w:t>
            </w:r>
          </w:p>
        </w:tc>
        <w:tc>
          <w:tcPr>
            <w:tcW w:w="1480" w:type="dxa"/>
            <w:noWrap/>
            <w:vAlign w:val="bottom"/>
            <w:hideMark/>
          </w:tcPr>
          <w:p w14:paraId="15E873A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0.172668</w:t>
            </w:r>
          </w:p>
        </w:tc>
      </w:tr>
      <w:tr w:rsidR="00AF1E12" w14:paraId="2437B89D" w14:textId="77777777" w:rsidTr="00760C66">
        <w:trPr>
          <w:trHeight w:val="300"/>
        </w:trPr>
        <w:tc>
          <w:tcPr>
            <w:tcW w:w="1000" w:type="dxa"/>
            <w:noWrap/>
            <w:vAlign w:val="center"/>
            <w:hideMark/>
          </w:tcPr>
          <w:p w14:paraId="32937E9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76</w:t>
            </w:r>
          </w:p>
        </w:tc>
        <w:tc>
          <w:tcPr>
            <w:tcW w:w="1980" w:type="dxa"/>
            <w:noWrap/>
            <w:vAlign w:val="bottom"/>
            <w:hideMark/>
          </w:tcPr>
          <w:p w14:paraId="5F6C742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0.017394</w:t>
            </w:r>
          </w:p>
        </w:tc>
        <w:tc>
          <w:tcPr>
            <w:tcW w:w="1480" w:type="dxa"/>
            <w:noWrap/>
            <w:vAlign w:val="bottom"/>
            <w:hideMark/>
          </w:tcPr>
          <w:p w14:paraId="5EB0158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0.194984</w:t>
            </w:r>
          </w:p>
        </w:tc>
      </w:tr>
      <w:tr w:rsidR="00AF1E12" w14:paraId="78E5AF58" w14:textId="77777777" w:rsidTr="00760C66">
        <w:trPr>
          <w:trHeight w:val="300"/>
        </w:trPr>
        <w:tc>
          <w:tcPr>
            <w:tcW w:w="1000" w:type="dxa"/>
            <w:noWrap/>
            <w:vAlign w:val="center"/>
            <w:hideMark/>
          </w:tcPr>
          <w:p w14:paraId="08B2123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77</w:t>
            </w:r>
          </w:p>
        </w:tc>
        <w:tc>
          <w:tcPr>
            <w:tcW w:w="1980" w:type="dxa"/>
            <w:noWrap/>
            <w:vAlign w:val="bottom"/>
            <w:hideMark/>
          </w:tcPr>
          <w:p w14:paraId="32717DC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0.019620</w:t>
            </w:r>
          </w:p>
        </w:tc>
        <w:tc>
          <w:tcPr>
            <w:tcW w:w="1480" w:type="dxa"/>
            <w:noWrap/>
            <w:vAlign w:val="bottom"/>
            <w:hideMark/>
          </w:tcPr>
          <w:p w14:paraId="46F3252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0.219936</w:t>
            </w:r>
          </w:p>
        </w:tc>
      </w:tr>
      <w:tr w:rsidR="00AF1E12" w14:paraId="02C9D55B" w14:textId="77777777" w:rsidTr="00760C66">
        <w:trPr>
          <w:trHeight w:val="300"/>
        </w:trPr>
        <w:tc>
          <w:tcPr>
            <w:tcW w:w="1000" w:type="dxa"/>
            <w:noWrap/>
            <w:vAlign w:val="center"/>
            <w:hideMark/>
          </w:tcPr>
          <w:p w14:paraId="1E84C32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78</w:t>
            </w:r>
          </w:p>
        </w:tc>
        <w:tc>
          <w:tcPr>
            <w:tcW w:w="1980" w:type="dxa"/>
            <w:noWrap/>
            <w:vAlign w:val="bottom"/>
            <w:hideMark/>
          </w:tcPr>
          <w:p w14:paraId="664040B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0.022097</w:t>
            </w:r>
          </w:p>
        </w:tc>
        <w:tc>
          <w:tcPr>
            <w:tcW w:w="1480" w:type="dxa"/>
            <w:noWrap/>
            <w:vAlign w:val="bottom"/>
            <w:hideMark/>
          </w:tcPr>
          <w:p w14:paraId="4A00264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0.247703</w:t>
            </w:r>
          </w:p>
        </w:tc>
      </w:tr>
      <w:tr w:rsidR="00AF1E12" w14:paraId="7395FC8A" w14:textId="77777777" w:rsidTr="00760C66">
        <w:trPr>
          <w:trHeight w:val="300"/>
        </w:trPr>
        <w:tc>
          <w:tcPr>
            <w:tcW w:w="1000" w:type="dxa"/>
            <w:noWrap/>
            <w:vAlign w:val="center"/>
            <w:hideMark/>
          </w:tcPr>
          <w:p w14:paraId="140AA9D3"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79</w:t>
            </w:r>
          </w:p>
        </w:tc>
        <w:tc>
          <w:tcPr>
            <w:tcW w:w="1980" w:type="dxa"/>
            <w:noWrap/>
            <w:vAlign w:val="bottom"/>
            <w:hideMark/>
          </w:tcPr>
          <w:p w14:paraId="7821CC1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0.024800</w:t>
            </w:r>
          </w:p>
        </w:tc>
        <w:tc>
          <w:tcPr>
            <w:tcW w:w="1480" w:type="dxa"/>
            <w:noWrap/>
            <w:vAlign w:val="bottom"/>
            <w:hideMark/>
          </w:tcPr>
          <w:p w14:paraId="43A0317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0.278011</w:t>
            </w:r>
          </w:p>
        </w:tc>
      </w:tr>
      <w:tr w:rsidR="00AF1E12" w14:paraId="3402F983" w14:textId="77777777" w:rsidTr="00760C66">
        <w:trPr>
          <w:trHeight w:val="300"/>
        </w:trPr>
        <w:tc>
          <w:tcPr>
            <w:tcW w:w="1000" w:type="dxa"/>
            <w:noWrap/>
            <w:vAlign w:val="center"/>
            <w:hideMark/>
          </w:tcPr>
          <w:p w14:paraId="5C062C5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80</w:t>
            </w:r>
          </w:p>
        </w:tc>
        <w:tc>
          <w:tcPr>
            <w:tcW w:w="1980" w:type="dxa"/>
            <w:noWrap/>
            <w:vAlign w:val="bottom"/>
            <w:hideMark/>
          </w:tcPr>
          <w:p w14:paraId="73DF3F1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0.027772</w:t>
            </w:r>
          </w:p>
        </w:tc>
        <w:tc>
          <w:tcPr>
            <w:tcW w:w="1480" w:type="dxa"/>
            <w:noWrap/>
            <w:vAlign w:val="bottom"/>
            <w:hideMark/>
          </w:tcPr>
          <w:p w14:paraId="56847ED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0.311327</w:t>
            </w:r>
          </w:p>
        </w:tc>
      </w:tr>
      <w:tr w:rsidR="00AF1E12" w14:paraId="7C44BE72" w14:textId="77777777" w:rsidTr="00760C66">
        <w:trPr>
          <w:trHeight w:val="300"/>
        </w:trPr>
        <w:tc>
          <w:tcPr>
            <w:tcW w:w="1000" w:type="dxa"/>
            <w:noWrap/>
            <w:vAlign w:val="center"/>
            <w:hideMark/>
          </w:tcPr>
          <w:p w14:paraId="712AF6A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81</w:t>
            </w:r>
          </w:p>
        </w:tc>
        <w:tc>
          <w:tcPr>
            <w:tcW w:w="1980" w:type="dxa"/>
            <w:noWrap/>
            <w:vAlign w:val="bottom"/>
            <w:hideMark/>
          </w:tcPr>
          <w:p w14:paraId="184512E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0.031116</w:t>
            </w:r>
          </w:p>
        </w:tc>
        <w:tc>
          <w:tcPr>
            <w:tcW w:w="1480" w:type="dxa"/>
            <w:noWrap/>
            <w:vAlign w:val="bottom"/>
            <w:hideMark/>
          </w:tcPr>
          <w:p w14:paraId="2CF2DE3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0.348809</w:t>
            </w:r>
          </w:p>
        </w:tc>
      </w:tr>
      <w:tr w:rsidR="00AF1E12" w14:paraId="446C75CA" w14:textId="77777777" w:rsidTr="00760C66">
        <w:trPr>
          <w:trHeight w:val="300"/>
        </w:trPr>
        <w:tc>
          <w:tcPr>
            <w:tcW w:w="1000" w:type="dxa"/>
            <w:noWrap/>
            <w:vAlign w:val="center"/>
            <w:hideMark/>
          </w:tcPr>
          <w:p w14:paraId="744B180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82</w:t>
            </w:r>
          </w:p>
        </w:tc>
        <w:tc>
          <w:tcPr>
            <w:tcW w:w="1980" w:type="dxa"/>
            <w:noWrap/>
            <w:vAlign w:val="bottom"/>
            <w:hideMark/>
          </w:tcPr>
          <w:p w14:paraId="7FE5545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0.034873</w:t>
            </w:r>
          </w:p>
        </w:tc>
        <w:tc>
          <w:tcPr>
            <w:tcW w:w="1480" w:type="dxa"/>
            <w:noWrap/>
            <w:vAlign w:val="bottom"/>
            <w:hideMark/>
          </w:tcPr>
          <w:p w14:paraId="1BE1E72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0.390926</w:t>
            </w:r>
          </w:p>
        </w:tc>
      </w:tr>
      <w:tr w:rsidR="00AF1E12" w14:paraId="65CAA17C" w14:textId="77777777" w:rsidTr="00760C66">
        <w:trPr>
          <w:trHeight w:val="300"/>
        </w:trPr>
        <w:tc>
          <w:tcPr>
            <w:tcW w:w="1000" w:type="dxa"/>
            <w:noWrap/>
            <w:vAlign w:val="center"/>
            <w:hideMark/>
          </w:tcPr>
          <w:p w14:paraId="0FEFA4F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83</w:t>
            </w:r>
          </w:p>
        </w:tc>
        <w:tc>
          <w:tcPr>
            <w:tcW w:w="1980" w:type="dxa"/>
            <w:noWrap/>
            <w:vAlign w:val="bottom"/>
            <w:hideMark/>
          </w:tcPr>
          <w:p w14:paraId="7797943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0.039110</w:t>
            </w:r>
          </w:p>
        </w:tc>
        <w:tc>
          <w:tcPr>
            <w:tcW w:w="1480" w:type="dxa"/>
            <w:noWrap/>
            <w:vAlign w:val="bottom"/>
            <w:hideMark/>
          </w:tcPr>
          <w:p w14:paraId="0D1E7DB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0.438426</w:t>
            </w:r>
          </w:p>
        </w:tc>
      </w:tr>
      <w:tr w:rsidR="00AF1E12" w14:paraId="5165773D" w14:textId="77777777" w:rsidTr="00760C66">
        <w:trPr>
          <w:trHeight w:val="300"/>
        </w:trPr>
        <w:tc>
          <w:tcPr>
            <w:tcW w:w="1000" w:type="dxa"/>
            <w:noWrap/>
            <w:vAlign w:val="center"/>
            <w:hideMark/>
          </w:tcPr>
          <w:p w14:paraId="29A20C7B"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84</w:t>
            </w:r>
          </w:p>
        </w:tc>
        <w:tc>
          <w:tcPr>
            <w:tcW w:w="1980" w:type="dxa"/>
            <w:noWrap/>
            <w:vAlign w:val="bottom"/>
            <w:hideMark/>
          </w:tcPr>
          <w:p w14:paraId="48C59CE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0.043688</w:t>
            </w:r>
          </w:p>
        </w:tc>
        <w:tc>
          <w:tcPr>
            <w:tcW w:w="1480" w:type="dxa"/>
            <w:noWrap/>
            <w:vAlign w:val="bottom"/>
            <w:hideMark/>
          </w:tcPr>
          <w:p w14:paraId="6020478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0.489739</w:t>
            </w:r>
          </w:p>
        </w:tc>
      </w:tr>
      <w:tr w:rsidR="00AF1E12" w14:paraId="14266994" w14:textId="77777777" w:rsidTr="00760C66">
        <w:trPr>
          <w:trHeight w:val="300"/>
        </w:trPr>
        <w:tc>
          <w:tcPr>
            <w:tcW w:w="1000" w:type="dxa"/>
            <w:noWrap/>
            <w:vAlign w:val="center"/>
            <w:hideMark/>
          </w:tcPr>
          <w:p w14:paraId="3C9C2D8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85</w:t>
            </w:r>
          </w:p>
        </w:tc>
        <w:tc>
          <w:tcPr>
            <w:tcW w:w="1980" w:type="dxa"/>
            <w:noWrap/>
            <w:vAlign w:val="bottom"/>
            <w:hideMark/>
          </w:tcPr>
          <w:p w14:paraId="4E8BBA7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0.048471</w:t>
            </w:r>
          </w:p>
        </w:tc>
        <w:tc>
          <w:tcPr>
            <w:tcW w:w="1480" w:type="dxa"/>
            <w:noWrap/>
            <w:vAlign w:val="bottom"/>
            <w:hideMark/>
          </w:tcPr>
          <w:p w14:paraId="617D049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0.543359</w:t>
            </w:r>
          </w:p>
        </w:tc>
      </w:tr>
      <w:tr w:rsidR="00AF1E12" w14:paraId="2BF9812C" w14:textId="77777777" w:rsidTr="00760C66">
        <w:trPr>
          <w:trHeight w:val="300"/>
        </w:trPr>
        <w:tc>
          <w:tcPr>
            <w:tcW w:w="1000" w:type="dxa"/>
            <w:noWrap/>
            <w:vAlign w:val="center"/>
            <w:hideMark/>
          </w:tcPr>
          <w:p w14:paraId="20AD203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86</w:t>
            </w:r>
          </w:p>
        </w:tc>
        <w:tc>
          <w:tcPr>
            <w:tcW w:w="1980" w:type="dxa"/>
            <w:noWrap/>
            <w:vAlign w:val="bottom"/>
            <w:hideMark/>
          </w:tcPr>
          <w:p w14:paraId="2CBABD5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0.061251</w:t>
            </w:r>
          </w:p>
        </w:tc>
        <w:tc>
          <w:tcPr>
            <w:tcW w:w="1480" w:type="dxa"/>
            <w:noWrap/>
            <w:vAlign w:val="bottom"/>
            <w:hideMark/>
          </w:tcPr>
          <w:p w14:paraId="12FDC19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0.551260</w:t>
            </w:r>
          </w:p>
        </w:tc>
      </w:tr>
      <w:tr w:rsidR="00AF1E12" w14:paraId="384E36CF" w14:textId="77777777" w:rsidTr="00760C66">
        <w:trPr>
          <w:trHeight w:val="300"/>
        </w:trPr>
        <w:tc>
          <w:tcPr>
            <w:tcW w:w="1000" w:type="dxa"/>
            <w:noWrap/>
            <w:vAlign w:val="center"/>
            <w:hideMark/>
          </w:tcPr>
          <w:p w14:paraId="1DDD465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87</w:t>
            </w:r>
          </w:p>
        </w:tc>
        <w:tc>
          <w:tcPr>
            <w:tcW w:w="1980" w:type="dxa"/>
            <w:noWrap/>
            <w:vAlign w:val="bottom"/>
            <w:hideMark/>
          </w:tcPr>
          <w:p w14:paraId="4CE0F4F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0.067685</w:t>
            </w:r>
          </w:p>
        </w:tc>
        <w:tc>
          <w:tcPr>
            <w:tcW w:w="1480" w:type="dxa"/>
            <w:noWrap/>
            <w:vAlign w:val="bottom"/>
            <w:hideMark/>
          </w:tcPr>
          <w:p w14:paraId="6D2179E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0.609169</w:t>
            </w:r>
          </w:p>
        </w:tc>
      </w:tr>
      <w:tr w:rsidR="00AF1E12" w14:paraId="2E4BBD9C" w14:textId="77777777" w:rsidTr="00760C66">
        <w:trPr>
          <w:trHeight w:val="300"/>
        </w:trPr>
        <w:tc>
          <w:tcPr>
            <w:tcW w:w="1000" w:type="dxa"/>
            <w:noWrap/>
            <w:vAlign w:val="center"/>
            <w:hideMark/>
          </w:tcPr>
          <w:p w14:paraId="2B997D5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88</w:t>
            </w:r>
          </w:p>
        </w:tc>
        <w:tc>
          <w:tcPr>
            <w:tcW w:w="1980" w:type="dxa"/>
            <w:noWrap/>
            <w:vAlign w:val="bottom"/>
            <w:hideMark/>
          </w:tcPr>
          <w:p w14:paraId="3A6A39C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0.074775</w:t>
            </w:r>
          </w:p>
        </w:tc>
        <w:tc>
          <w:tcPr>
            <w:tcW w:w="1480" w:type="dxa"/>
            <w:noWrap/>
            <w:vAlign w:val="bottom"/>
            <w:hideMark/>
          </w:tcPr>
          <w:p w14:paraId="1837C34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0.672977</w:t>
            </w:r>
          </w:p>
        </w:tc>
      </w:tr>
      <w:tr w:rsidR="00AF1E12" w14:paraId="165C38EC" w14:textId="77777777" w:rsidTr="00760C66">
        <w:trPr>
          <w:trHeight w:val="300"/>
        </w:trPr>
        <w:tc>
          <w:tcPr>
            <w:tcW w:w="1000" w:type="dxa"/>
            <w:noWrap/>
            <w:vAlign w:val="center"/>
            <w:hideMark/>
          </w:tcPr>
          <w:p w14:paraId="2AB5C75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89</w:t>
            </w:r>
          </w:p>
        </w:tc>
        <w:tc>
          <w:tcPr>
            <w:tcW w:w="1980" w:type="dxa"/>
            <w:noWrap/>
            <w:vAlign w:val="bottom"/>
            <w:hideMark/>
          </w:tcPr>
          <w:p w14:paraId="1AAD1AE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0.082615</w:t>
            </w:r>
          </w:p>
        </w:tc>
        <w:tc>
          <w:tcPr>
            <w:tcW w:w="1480" w:type="dxa"/>
            <w:noWrap/>
            <w:vAlign w:val="bottom"/>
            <w:hideMark/>
          </w:tcPr>
          <w:p w14:paraId="7DED5ED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0.743538</w:t>
            </w:r>
          </w:p>
        </w:tc>
      </w:tr>
      <w:tr w:rsidR="00AF1E12" w14:paraId="799108CE" w14:textId="77777777" w:rsidTr="00760C66">
        <w:trPr>
          <w:trHeight w:val="300"/>
        </w:trPr>
        <w:tc>
          <w:tcPr>
            <w:tcW w:w="1000" w:type="dxa"/>
            <w:noWrap/>
            <w:vAlign w:val="center"/>
            <w:hideMark/>
          </w:tcPr>
          <w:p w14:paraId="6B006EE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90</w:t>
            </w:r>
          </w:p>
        </w:tc>
        <w:tc>
          <w:tcPr>
            <w:tcW w:w="1980" w:type="dxa"/>
            <w:noWrap/>
            <w:vAlign w:val="bottom"/>
            <w:hideMark/>
          </w:tcPr>
          <w:p w14:paraId="0AAB847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0.090402</w:t>
            </w:r>
          </w:p>
        </w:tc>
        <w:tc>
          <w:tcPr>
            <w:tcW w:w="1480" w:type="dxa"/>
            <w:noWrap/>
            <w:vAlign w:val="bottom"/>
            <w:hideMark/>
          </w:tcPr>
          <w:p w14:paraId="7105761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0.813621</w:t>
            </w:r>
          </w:p>
        </w:tc>
      </w:tr>
      <w:tr w:rsidR="00AF1E12" w14:paraId="50C35F40" w14:textId="77777777" w:rsidTr="00760C66">
        <w:trPr>
          <w:trHeight w:val="300"/>
        </w:trPr>
        <w:tc>
          <w:tcPr>
            <w:tcW w:w="1000" w:type="dxa"/>
            <w:noWrap/>
            <w:vAlign w:val="center"/>
            <w:hideMark/>
          </w:tcPr>
          <w:p w14:paraId="4C0BB1C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91</w:t>
            </w:r>
          </w:p>
        </w:tc>
        <w:tc>
          <w:tcPr>
            <w:tcW w:w="1980" w:type="dxa"/>
            <w:noWrap/>
            <w:vAlign w:val="bottom"/>
            <w:hideMark/>
          </w:tcPr>
          <w:p w14:paraId="77AF411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0.117530</w:t>
            </w:r>
          </w:p>
        </w:tc>
        <w:tc>
          <w:tcPr>
            <w:tcW w:w="1480" w:type="dxa"/>
            <w:noWrap/>
            <w:vAlign w:val="bottom"/>
            <w:hideMark/>
          </w:tcPr>
          <w:p w14:paraId="19619CA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0.763945</w:t>
            </w:r>
          </w:p>
        </w:tc>
      </w:tr>
      <w:tr w:rsidR="00AF1E12" w14:paraId="1B490FD5" w14:textId="77777777" w:rsidTr="00760C66">
        <w:trPr>
          <w:trHeight w:val="300"/>
        </w:trPr>
        <w:tc>
          <w:tcPr>
            <w:tcW w:w="1000" w:type="dxa"/>
            <w:noWrap/>
            <w:vAlign w:val="center"/>
            <w:hideMark/>
          </w:tcPr>
          <w:p w14:paraId="7229F70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92</w:t>
            </w:r>
          </w:p>
        </w:tc>
        <w:tc>
          <w:tcPr>
            <w:tcW w:w="1980" w:type="dxa"/>
            <w:noWrap/>
            <w:vAlign w:val="bottom"/>
            <w:hideMark/>
          </w:tcPr>
          <w:p w14:paraId="4EF602F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0.128011</w:t>
            </w:r>
          </w:p>
        </w:tc>
        <w:tc>
          <w:tcPr>
            <w:tcW w:w="1480" w:type="dxa"/>
            <w:noWrap/>
            <w:vAlign w:val="bottom"/>
            <w:hideMark/>
          </w:tcPr>
          <w:p w14:paraId="4EDD4FB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0.832074</w:t>
            </w:r>
          </w:p>
        </w:tc>
      </w:tr>
      <w:tr w:rsidR="00AF1E12" w14:paraId="1BFDE734" w14:textId="77777777" w:rsidTr="00760C66">
        <w:trPr>
          <w:trHeight w:val="300"/>
        </w:trPr>
        <w:tc>
          <w:tcPr>
            <w:tcW w:w="1000" w:type="dxa"/>
            <w:noWrap/>
            <w:vAlign w:val="center"/>
            <w:hideMark/>
          </w:tcPr>
          <w:p w14:paraId="5CF10FC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93</w:t>
            </w:r>
          </w:p>
        </w:tc>
        <w:tc>
          <w:tcPr>
            <w:tcW w:w="1980" w:type="dxa"/>
            <w:noWrap/>
            <w:vAlign w:val="bottom"/>
            <w:hideMark/>
          </w:tcPr>
          <w:p w14:paraId="26F653D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0.138841</w:t>
            </w:r>
          </w:p>
        </w:tc>
        <w:tc>
          <w:tcPr>
            <w:tcW w:w="1480" w:type="dxa"/>
            <w:noWrap/>
            <w:vAlign w:val="bottom"/>
            <w:hideMark/>
          </w:tcPr>
          <w:p w14:paraId="52FBABE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0.902464</w:t>
            </w:r>
          </w:p>
        </w:tc>
      </w:tr>
      <w:tr w:rsidR="00AF1E12" w14:paraId="29080F44" w14:textId="77777777" w:rsidTr="00760C66">
        <w:trPr>
          <w:trHeight w:val="300"/>
        </w:trPr>
        <w:tc>
          <w:tcPr>
            <w:tcW w:w="1000" w:type="dxa"/>
            <w:noWrap/>
            <w:vAlign w:val="center"/>
            <w:hideMark/>
          </w:tcPr>
          <w:p w14:paraId="769B7128"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94</w:t>
            </w:r>
          </w:p>
        </w:tc>
        <w:tc>
          <w:tcPr>
            <w:tcW w:w="1980" w:type="dxa"/>
            <w:noWrap/>
            <w:vAlign w:val="bottom"/>
            <w:hideMark/>
          </w:tcPr>
          <w:p w14:paraId="4450FF5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0.150460</w:t>
            </w:r>
          </w:p>
        </w:tc>
        <w:tc>
          <w:tcPr>
            <w:tcW w:w="1480" w:type="dxa"/>
            <w:noWrap/>
            <w:vAlign w:val="bottom"/>
            <w:hideMark/>
          </w:tcPr>
          <w:p w14:paraId="7261B27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0.977988</w:t>
            </w:r>
          </w:p>
        </w:tc>
      </w:tr>
      <w:tr w:rsidR="00AF1E12" w14:paraId="5CF73A56" w14:textId="77777777" w:rsidTr="00760C66">
        <w:trPr>
          <w:trHeight w:val="300"/>
        </w:trPr>
        <w:tc>
          <w:tcPr>
            <w:tcW w:w="1000" w:type="dxa"/>
            <w:noWrap/>
            <w:vAlign w:val="center"/>
            <w:hideMark/>
          </w:tcPr>
          <w:p w14:paraId="353E78BF"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95</w:t>
            </w:r>
          </w:p>
        </w:tc>
        <w:tc>
          <w:tcPr>
            <w:tcW w:w="1980" w:type="dxa"/>
            <w:noWrap/>
            <w:vAlign w:val="bottom"/>
            <w:hideMark/>
          </w:tcPr>
          <w:p w14:paraId="38AB177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0.162410</w:t>
            </w:r>
          </w:p>
        </w:tc>
        <w:tc>
          <w:tcPr>
            <w:tcW w:w="1480" w:type="dxa"/>
            <w:noWrap/>
            <w:vAlign w:val="bottom"/>
            <w:hideMark/>
          </w:tcPr>
          <w:p w14:paraId="16AF450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1.055665</w:t>
            </w:r>
          </w:p>
        </w:tc>
      </w:tr>
      <w:tr w:rsidR="00AF1E12" w14:paraId="456323BB" w14:textId="77777777" w:rsidTr="00760C66">
        <w:trPr>
          <w:trHeight w:val="300"/>
        </w:trPr>
        <w:tc>
          <w:tcPr>
            <w:tcW w:w="1000" w:type="dxa"/>
            <w:noWrap/>
            <w:vAlign w:val="center"/>
            <w:hideMark/>
          </w:tcPr>
          <w:p w14:paraId="1385E29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96</w:t>
            </w:r>
          </w:p>
        </w:tc>
        <w:tc>
          <w:tcPr>
            <w:tcW w:w="1980" w:type="dxa"/>
            <w:noWrap/>
            <w:vAlign w:val="bottom"/>
            <w:hideMark/>
          </w:tcPr>
          <w:p w14:paraId="125188A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0.175066</w:t>
            </w:r>
          </w:p>
        </w:tc>
        <w:tc>
          <w:tcPr>
            <w:tcW w:w="1480" w:type="dxa"/>
            <w:noWrap/>
            <w:vAlign w:val="bottom"/>
            <w:hideMark/>
          </w:tcPr>
          <w:p w14:paraId="5CF530E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1.137931</w:t>
            </w:r>
          </w:p>
        </w:tc>
      </w:tr>
      <w:tr w:rsidR="00AF1E12" w14:paraId="623D4522" w14:textId="77777777" w:rsidTr="00760C66">
        <w:trPr>
          <w:trHeight w:val="300"/>
        </w:trPr>
        <w:tc>
          <w:tcPr>
            <w:tcW w:w="1000" w:type="dxa"/>
            <w:noWrap/>
            <w:vAlign w:val="center"/>
            <w:hideMark/>
          </w:tcPr>
          <w:p w14:paraId="075E8DC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97</w:t>
            </w:r>
          </w:p>
        </w:tc>
        <w:tc>
          <w:tcPr>
            <w:tcW w:w="1980" w:type="dxa"/>
            <w:noWrap/>
            <w:vAlign w:val="bottom"/>
            <w:hideMark/>
          </w:tcPr>
          <w:p w14:paraId="51720B1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0.188465</w:t>
            </w:r>
          </w:p>
        </w:tc>
        <w:tc>
          <w:tcPr>
            <w:tcW w:w="1480" w:type="dxa"/>
            <w:noWrap/>
            <w:vAlign w:val="bottom"/>
            <w:hideMark/>
          </w:tcPr>
          <w:p w14:paraId="1F21797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1.225020</w:t>
            </w:r>
          </w:p>
        </w:tc>
      </w:tr>
      <w:tr w:rsidR="00AF1E12" w14:paraId="0EE096F4" w14:textId="77777777" w:rsidTr="00760C66">
        <w:trPr>
          <w:trHeight w:val="300"/>
        </w:trPr>
        <w:tc>
          <w:tcPr>
            <w:tcW w:w="1000" w:type="dxa"/>
            <w:noWrap/>
            <w:vAlign w:val="center"/>
            <w:hideMark/>
          </w:tcPr>
          <w:p w14:paraId="63921C1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98</w:t>
            </w:r>
          </w:p>
        </w:tc>
        <w:tc>
          <w:tcPr>
            <w:tcW w:w="1980" w:type="dxa"/>
            <w:noWrap/>
            <w:vAlign w:val="bottom"/>
            <w:hideMark/>
          </w:tcPr>
          <w:p w14:paraId="774B958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0.202111</w:t>
            </w:r>
          </w:p>
        </w:tc>
        <w:tc>
          <w:tcPr>
            <w:tcW w:w="1480" w:type="dxa"/>
            <w:noWrap/>
            <w:vAlign w:val="bottom"/>
            <w:hideMark/>
          </w:tcPr>
          <w:p w14:paraId="29B48F0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1.313719</w:t>
            </w:r>
          </w:p>
        </w:tc>
      </w:tr>
      <w:tr w:rsidR="00AF1E12" w14:paraId="645BA943" w14:textId="77777777" w:rsidTr="00760C66">
        <w:trPr>
          <w:trHeight w:val="300"/>
        </w:trPr>
        <w:tc>
          <w:tcPr>
            <w:tcW w:w="1000" w:type="dxa"/>
            <w:noWrap/>
            <w:vAlign w:val="center"/>
            <w:hideMark/>
          </w:tcPr>
          <w:p w14:paraId="590BCF1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99</w:t>
            </w:r>
          </w:p>
        </w:tc>
        <w:tc>
          <w:tcPr>
            <w:tcW w:w="1980" w:type="dxa"/>
            <w:noWrap/>
            <w:vAlign w:val="bottom"/>
            <w:hideMark/>
          </w:tcPr>
          <w:p w14:paraId="3514143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0.216371</w:t>
            </w:r>
          </w:p>
        </w:tc>
        <w:tc>
          <w:tcPr>
            <w:tcW w:w="1480" w:type="dxa"/>
            <w:noWrap/>
            <w:vAlign w:val="bottom"/>
            <w:hideMark/>
          </w:tcPr>
          <w:p w14:paraId="5E57AB8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1.406414</w:t>
            </w:r>
          </w:p>
        </w:tc>
      </w:tr>
      <w:tr w:rsidR="00AF1E12" w14:paraId="5F6637B6" w14:textId="77777777" w:rsidTr="00760C66">
        <w:trPr>
          <w:trHeight w:val="300"/>
        </w:trPr>
        <w:tc>
          <w:tcPr>
            <w:tcW w:w="1000" w:type="dxa"/>
            <w:noWrap/>
            <w:vAlign w:val="center"/>
            <w:hideMark/>
          </w:tcPr>
          <w:p w14:paraId="2B79660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100</w:t>
            </w:r>
          </w:p>
        </w:tc>
        <w:tc>
          <w:tcPr>
            <w:tcW w:w="1980" w:type="dxa"/>
            <w:noWrap/>
            <w:vAlign w:val="bottom"/>
            <w:hideMark/>
          </w:tcPr>
          <w:p w14:paraId="6B4BE99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0.230728</w:t>
            </w:r>
          </w:p>
        </w:tc>
        <w:tc>
          <w:tcPr>
            <w:tcW w:w="1480" w:type="dxa"/>
            <w:noWrap/>
            <w:vAlign w:val="bottom"/>
            <w:hideMark/>
          </w:tcPr>
          <w:p w14:paraId="5A4D37E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1.499731</w:t>
            </w:r>
          </w:p>
        </w:tc>
      </w:tr>
      <w:tr w:rsidR="00AF1E12" w14:paraId="3D4FFE2F" w14:textId="77777777" w:rsidTr="00760C66">
        <w:trPr>
          <w:trHeight w:val="300"/>
        </w:trPr>
        <w:tc>
          <w:tcPr>
            <w:tcW w:w="1000" w:type="dxa"/>
            <w:noWrap/>
            <w:vAlign w:val="center"/>
            <w:hideMark/>
          </w:tcPr>
          <w:p w14:paraId="6F74340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101</w:t>
            </w:r>
          </w:p>
        </w:tc>
        <w:tc>
          <w:tcPr>
            <w:tcW w:w="1980" w:type="dxa"/>
            <w:noWrap/>
            <w:vAlign w:val="bottom"/>
            <w:hideMark/>
          </w:tcPr>
          <w:p w14:paraId="57FDEF5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0.244850</w:t>
            </w:r>
          </w:p>
        </w:tc>
        <w:tc>
          <w:tcPr>
            <w:tcW w:w="1480" w:type="dxa"/>
            <w:noWrap/>
            <w:vAlign w:val="bottom"/>
            <w:hideMark/>
          </w:tcPr>
          <w:p w14:paraId="43D429A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1.591524</w:t>
            </w:r>
          </w:p>
        </w:tc>
      </w:tr>
      <w:tr w:rsidR="00AF1E12" w14:paraId="0C318AA7" w14:textId="77777777" w:rsidTr="00760C66">
        <w:trPr>
          <w:trHeight w:val="300"/>
        </w:trPr>
        <w:tc>
          <w:tcPr>
            <w:tcW w:w="1000" w:type="dxa"/>
            <w:noWrap/>
            <w:vAlign w:val="center"/>
            <w:hideMark/>
          </w:tcPr>
          <w:p w14:paraId="40D7223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102</w:t>
            </w:r>
          </w:p>
        </w:tc>
        <w:tc>
          <w:tcPr>
            <w:tcW w:w="1980" w:type="dxa"/>
            <w:noWrap/>
            <w:vAlign w:val="bottom"/>
            <w:hideMark/>
          </w:tcPr>
          <w:p w14:paraId="1848B3A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0.259309</w:t>
            </w:r>
          </w:p>
        </w:tc>
        <w:tc>
          <w:tcPr>
            <w:tcW w:w="1480" w:type="dxa"/>
            <w:noWrap/>
            <w:vAlign w:val="bottom"/>
            <w:hideMark/>
          </w:tcPr>
          <w:p w14:paraId="3822054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1.685510</w:t>
            </w:r>
          </w:p>
        </w:tc>
      </w:tr>
      <w:tr w:rsidR="00AF1E12" w14:paraId="7DBA8D85" w14:textId="77777777" w:rsidTr="00760C66">
        <w:trPr>
          <w:trHeight w:val="300"/>
        </w:trPr>
        <w:tc>
          <w:tcPr>
            <w:tcW w:w="1000" w:type="dxa"/>
            <w:noWrap/>
            <w:vAlign w:val="center"/>
            <w:hideMark/>
          </w:tcPr>
          <w:p w14:paraId="63A0E6EE"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103</w:t>
            </w:r>
          </w:p>
        </w:tc>
        <w:tc>
          <w:tcPr>
            <w:tcW w:w="1980" w:type="dxa"/>
            <w:noWrap/>
            <w:vAlign w:val="bottom"/>
            <w:hideMark/>
          </w:tcPr>
          <w:p w14:paraId="2EC8367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0.274022</w:t>
            </w:r>
          </w:p>
        </w:tc>
        <w:tc>
          <w:tcPr>
            <w:tcW w:w="1480" w:type="dxa"/>
            <w:noWrap/>
            <w:vAlign w:val="bottom"/>
            <w:hideMark/>
          </w:tcPr>
          <w:p w14:paraId="51DF472E"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1.781140</w:t>
            </w:r>
          </w:p>
        </w:tc>
      </w:tr>
      <w:tr w:rsidR="00AF1E12" w14:paraId="50AC3634" w14:textId="77777777" w:rsidTr="00760C66">
        <w:trPr>
          <w:trHeight w:val="300"/>
        </w:trPr>
        <w:tc>
          <w:tcPr>
            <w:tcW w:w="1000" w:type="dxa"/>
            <w:noWrap/>
            <w:vAlign w:val="center"/>
            <w:hideMark/>
          </w:tcPr>
          <w:p w14:paraId="78D4110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104</w:t>
            </w:r>
          </w:p>
        </w:tc>
        <w:tc>
          <w:tcPr>
            <w:tcW w:w="1980" w:type="dxa"/>
            <w:noWrap/>
            <w:vAlign w:val="bottom"/>
            <w:hideMark/>
          </w:tcPr>
          <w:p w14:paraId="7A9E91D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0.288892</w:t>
            </w:r>
          </w:p>
        </w:tc>
        <w:tc>
          <w:tcPr>
            <w:tcW w:w="1480" w:type="dxa"/>
            <w:noWrap/>
            <w:vAlign w:val="bottom"/>
            <w:hideMark/>
          </w:tcPr>
          <w:p w14:paraId="304E8E0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1.877800</w:t>
            </w:r>
          </w:p>
        </w:tc>
      </w:tr>
      <w:tr w:rsidR="00AF1E12" w14:paraId="1EC98BB0" w14:textId="77777777" w:rsidTr="00760C66">
        <w:trPr>
          <w:trHeight w:val="300"/>
        </w:trPr>
        <w:tc>
          <w:tcPr>
            <w:tcW w:w="1000" w:type="dxa"/>
            <w:noWrap/>
            <w:vAlign w:val="center"/>
            <w:hideMark/>
          </w:tcPr>
          <w:p w14:paraId="79A84C8B"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105</w:t>
            </w:r>
          </w:p>
        </w:tc>
        <w:tc>
          <w:tcPr>
            <w:tcW w:w="1980" w:type="dxa"/>
            <w:noWrap/>
            <w:vAlign w:val="bottom"/>
            <w:hideMark/>
          </w:tcPr>
          <w:p w14:paraId="488D60AA"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0.303827</w:t>
            </w:r>
          </w:p>
        </w:tc>
        <w:tc>
          <w:tcPr>
            <w:tcW w:w="1480" w:type="dxa"/>
            <w:noWrap/>
            <w:vAlign w:val="bottom"/>
            <w:hideMark/>
          </w:tcPr>
          <w:p w14:paraId="72C2307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1.974876</w:t>
            </w:r>
          </w:p>
        </w:tc>
      </w:tr>
      <w:tr w:rsidR="00AF1E12" w14:paraId="43411BA7" w14:textId="77777777" w:rsidTr="00760C66">
        <w:trPr>
          <w:trHeight w:val="300"/>
        </w:trPr>
        <w:tc>
          <w:tcPr>
            <w:tcW w:w="1000" w:type="dxa"/>
            <w:noWrap/>
            <w:vAlign w:val="center"/>
            <w:hideMark/>
          </w:tcPr>
          <w:p w14:paraId="3500A599"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106</w:t>
            </w:r>
          </w:p>
        </w:tc>
        <w:tc>
          <w:tcPr>
            <w:tcW w:w="1980" w:type="dxa"/>
            <w:noWrap/>
            <w:vAlign w:val="bottom"/>
            <w:hideMark/>
          </w:tcPr>
          <w:p w14:paraId="74DD9D1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0.318841</w:t>
            </w:r>
          </w:p>
        </w:tc>
        <w:tc>
          <w:tcPr>
            <w:tcW w:w="1480" w:type="dxa"/>
            <w:noWrap/>
            <w:vAlign w:val="bottom"/>
            <w:hideMark/>
          </w:tcPr>
          <w:p w14:paraId="74DFA81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2.072466</w:t>
            </w:r>
          </w:p>
        </w:tc>
      </w:tr>
      <w:tr w:rsidR="00AF1E12" w14:paraId="28C4F9FD" w14:textId="77777777" w:rsidTr="00760C66">
        <w:trPr>
          <w:trHeight w:val="300"/>
        </w:trPr>
        <w:tc>
          <w:tcPr>
            <w:tcW w:w="1000" w:type="dxa"/>
            <w:noWrap/>
            <w:vAlign w:val="center"/>
            <w:hideMark/>
          </w:tcPr>
          <w:p w14:paraId="33CEBBA5"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107</w:t>
            </w:r>
          </w:p>
        </w:tc>
        <w:tc>
          <w:tcPr>
            <w:tcW w:w="1980" w:type="dxa"/>
            <w:noWrap/>
            <w:vAlign w:val="bottom"/>
            <w:hideMark/>
          </w:tcPr>
          <w:p w14:paraId="1D018AF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0.333962</w:t>
            </w:r>
          </w:p>
        </w:tc>
        <w:tc>
          <w:tcPr>
            <w:tcW w:w="1480" w:type="dxa"/>
            <w:noWrap/>
            <w:vAlign w:val="bottom"/>
            <w:hideMark/>
          </w:tcPr>
          <w:p w14:paraId="5F3C563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2.170754</w:t>
            </w:r>
          </w:p>
        </w:tc>
      </w:tr>
      <w:tr w:rsidR="00AF1E12" w14:paraId="74F91E9C" w14:textId="77777777" w:rsidTr="00760C66">
        <w:trPr>
          <w:trHeight w:val="300"/>
        </w:trPr>
        <w:tc>
          <w:tcPr>
            <w:tcW w:w="1000" w:type="dxa"/>
            <w:noWrap/>
            <w:vAlign w:val="center"/>
            <w:hideMark/>
          </w:tcPr>
          <w:p w14:paraId="27B72F9C"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108</w:t>
            </w:r>
          </w:p>
        </w:tc>
        <w:tc>
          <w:tcPr>
            <w:tcW w:w="1980" w:type="dxa"/>
            <w:noWrap/>
            <w:vAlign w:val="bottom"/>
            <w:hideMark/>
          </w:tcPr>
          <w:p w14:paraId="39AA3F3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0.687915</w:t>
            </w:r>
          </w:p>
        </w:tc>
        <w:tc>
          <w:tcPr>
            <w:tcW w:w="1480" w:type="dxa"/>
            <w:noWrap/>
            <w:vAlign w:val="bottom"/>
            <w:hideMark/>
          </w:tcPr>
          <w:p w14:paraId="534764F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6F49166D" w14:textId="77777777" w:rsidTr="00760C66">
        <w:trPr>
          <w:trHeight w:val="300"/>
        </w:trPr>
        <w:tc>
          <w:tcPr>
            <w:tcW w:w="1000" w:type="dxa"/>
            <w:noWrap/>
            <w:vAlign w:val="center"/>
            <w:hideMark/>
          </w:tcPr>
          <w:p w14:paraId="1418406F"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109</w:t>
            </w:r>
          </w:p>
        </w:tc>
        <w:tc>
          <w:tcPr>
            <w:tcW w:w="1980" w:type="dxa"/>
            <w:noWrap/>
            <w:vAlign w:val="bottom"/>
            <w:hideMark/>
          </w:tcPr>
          <w:p w14:paraId="016C9C3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0.717620</w:t>
            </w:r>
          </w:p>
        </w:tc>
        <w:tc>
          <w:tcPr>
            <w:tcW w:w="1480" w:type="dxa"/>
            <w:noWrap/>
            <w:vAlign w:val="bottom"/>
            <w:hideMark/>
          </w:tcPr>
          <w:p w14:paraId="3EB2E00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78801F76" w14:textId="77777777" w:rsidTr="00760C66">
        <w:trPr>
          <w:trHeight w:val="300"/>
        </w:trPr>
        <w:tc>
          <w:tcPr>
            <w:tcW w:w="1000" w:type="dxa"/>
            <w:noWrap/>
            <w:vAlign w:val="center"/>
            <w:hideMark/>
          </w:tcPr>
          <w:p w14:paraId="61EE4D8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110</w:t>
            </w:r>
          </w:p>
        </w:tc>
        <w:tc>
          <w:tcPr>
            <w:tcW w:w="1980" w:type="dxa"/>
            <w:noWrap/>
            <w:vAlign w:val="bottom"/>
            <w:hideMark/>
          </w:tcPr>
          <w:p w14:paraId="0E203C16"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0.752108</w:t>
            </w:r>
          </w:p>
        </w:tc>
        <w:tc>
          <w:tcPr>
            <w:tcW w:w="1480" w:type="dxa"/>
            <w:noWrap/>
            <w:vAlign w:val="bottom"/>
            <w:hideMark/>
          </w:tcPr>
          <w:p w14:paraId="05ADD2E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03C952D7" w14:textId="77777777" w:rsidTr="00760C66">
        <w:trPr>
          <w:trHeight w:val="300"/>
        </w:trPr>
        <w:tc>
          <w:tcPr>
            <w:tcW w:w="1000" w:type="dxa"/>
            <w:noWrap/>
            <w:vAlign w:val="center"/>
            <w:hideMark/>
          </w:tcPr>
          <w:p w14:paraId="6643D94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111</w:t>
            </w:r>
          </w:p>
        </w:tc>
        <w:tc>
          <w:tcPr>
            <w:tcW w:w="1980" w:type="dxa"/>
            <w:noWrap/>
            <w:vAlign w:val="bottom"/>
            <w:hideMark/>
          </w:tcPr>
          <w:p w14:paraId="53F2F904"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0.786407</w:t>
            </w:r>
          </w:p>
        </w:tc>
        <w:tc>
          <w:tcPr>
            <w:tcW w:w="1480" w:type="dxa"/>
            <w:noWrap/>
            <w:vAlign w:val="bottom"/>
            <w:hideMark/>
          </w:tcPr>
          <w:p w14:paraId="2B47FD33"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12F2017D" w14:textId="77777777" w:rsidTr="00760C66">
        <w:trPr>
          <w:trHeight w:val="300"/>
        </w:trPr>
        <w:tc>
          <w:tcPr>
            <w:tcW w:w="1000" w:type="dxa"/>
            <w:noWrap/>
            <w:vAlign w:val="center"/>
            <w:hideMark/>
          </w:tcPr>
          <w:p w14:paraId="5D7BB641"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112</w:t>
            </w:r>
          </w:p>
        </w:tc>
        <w:tc>
          <w:tcPr>
            <w:tcW w:w="1980" w:type="dxa"/>
            <w:noWrap/>
            <w:vAlign w:val="bottom"/>
            <w:hideMark/>
          </w:tcPr>
          <w:p w14:paraId="6E0BC5A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0.820477</w:t>
            </w:r>
          </w:p>
        </w:tc>
        <w:tc>
          <w:tcPr>
            <w:tcW w:w="1480" w:type="dxa"/>
            <w:noWrap/>
            <w:vAlign w:val="bottom"/>
            <w:hideMark/>
          </w:tcPr>
          <w:p w14:paraId="54A9D8E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0A6DD0AE" w14:textId="77777777" w:rsidTr="00760C66">
        <w:trPr>
          <w:trHeight w:val="300"/>
        </w:trPr>
        <w:tc>
          <w:tcPr>
            <w:tcW w:w="1000" w:type="dxa"/>
            <w:noWrap/>
            <w:vAlign w:val="center"/>
            <w:hideMark/>
          </w:tcPr>
          <w:p w14:paraId="692FD26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lastRenderedPageBreak/>
              <w:t>113</w:t>
            </w:r>
          </w:p>
        </w:tc>
        <w:tc>
          <w:tcPr>
            <w:tcW w:w="1980" w:type="dxa"/>
            <w:noWrap/>
            <w:vAlign w:val="bottom"/>
            <w:hideMark/>
          </w:tcPr>
          <w:p w14:paraId="6AA7A9E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0.854275</w:t>
            </w:r>
          </w:p>
        </w:tc>
        <w:tc>
          <w:tcPr>
            <w:tcW w:w="1480" w:type="dxa"/>
            <w:noWrap/>
            <w:vAlign w:val="bottom"/>
            <w:hideMark/>
          </w:tcPr>
          <w:p w14:paraId="3D2D359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099AB857" w14:textId="77777777" w:rsidTr="00760C66">
        <w:trPr>
          <w:trHeight w:val="300"/>
        </w:trPr>
        <w:tc>
          <w:tcPr>
            <w:tcW w:w="1000" w:type="dxa"/>
            <w:noWrap/>
            <w:vAlign w:val="center"/>
            <w:hideMark/>
          </w:tcPr>
          <w:p w14:paraId="31EB4920"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114</w:t>
            </w:r>
          </w:p>
        </w:tc>
        <w:tc>
          <w:tcPr>
            <w:tcW w:w="1980" w:type="dxa"/>
            <w:noWrap/>
            <w:vAlign w:val="bottom"/>
            <w:hideMark/>
          </w:tcPr>
          <w:p w14:paraId="2A612705"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0.887760</w:t>
            </w:r>
          </w:p>
        </w:tc>
        <w:tc>
          <w:tcPr>
            <w:tcW w:w="1480" w:type="dxa"/>
            <w:noWrap/>
            <w:vAlign w:val="bottom"/>
            <w:hideMark/>
          </w:tcPr>
          <w:p w14:paraId="6C22AED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0B35A6F8" w14:textId="77777777" w:rsidTr="00760C66">
        <w:trPr>
          <w:trHeight w:val="300"/>
        </w:trPr>
        <w:tc>
          <w:tcPr>
            <w:tcW w:w="1000" w:type="dxa"/>
            <w:noWrap/>
            <w:vAlign w:val="center"/>
            <w:hideMark/>
          </w:tcPr>
          <w:p w14:paraId="0F9E9EAD"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115</w:t>
            </w:r>
          </w:p>
        </w:tc>
        <w:tc>
          <w:tcPr>
            <w:tcW w:w="1980" w:type="dxa"/>
            <w:noWrap/>
            <w:vAlign w:val="bottom"/>
            <w:hideMark/>
          </w:tcPr>
          <w:p w14:paraId="533A07BF"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0.921073</w:t>
            </w:r>
          </w:p>
        </w:tc>
        <w:tc>
          <w:tcPr>
            <w:tcW w:w="1480" w:type="dxa"/>
            <w:noWrap/>
            <w:vAlign w:val="bottom"/>
            <w:hideMark/>
          </w:tcPr>
          <w:p w14:paraId="74480D5D"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014A594A" w14:textId="77777777" w:rsidTr="00760C66">
        <w:trPr>
          <w:trHeight w:val="300"/>
        </w:trPr>
        <w:tc>
          <w:tcPr>
            <w:tcW w:w="1000" w:type="dxa"/>
            <w:noWrap/>
            <w:vAlign w:val="center"/>
            <w:hideMark/>
          </w:tcPr>
          <w:p w14:paraId="24532713"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116</w:t>
            </w:r>
          </w:p>
        </w:tc>
        <w:tc>
          <w:tcPr>
            <w:tcW w:w="1980" w:type="dxa"/>
            <w:noWrap/>
            <w:vAlign w:val="bottom"/>
            <w:hideMark/>
          </w:tcPr>
          <w:p w14:paraId="250ED979"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0.954387</w:t>
            </w:r>
          </w:p>
        </w:tc>
        <w:tc>
          <w:tcPr>
            <w:tcW w:w="1480" w:type="dxa"/>
            <w:noWrap/>
            <w:vAlign w:val="bottom"/>
            <w:hideMark/>
          </w:tcPr>
          <w:p w14:paraId="45B9BB11"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1441832F" w14:textId="77777777" w:rsidTr="00760C66">
        <w:trPr>
          <w:trHeight w:val="300"/>
        </w:trPr>
        <w:tc>
          <w:tcPr>
            <w:tcW w:w="1000" w:type="dxa"/>
            <w:noWrap/>
            <w:vAlign w:val="center"/>
            <w:hideMark/>
          </w:tcPr>
          <w:p w14:paraId="1C5024C2"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117</w:t>
            </w:r>
          </w:p>
        </w:tc>
        <w:tc>
          <w:tcPr>
            <w:tcW w:w="1980" w:type="dxa"/>
            <w:noWrap/>
            <w:vAlign w:val="bottom"/>
            <w:hideMark/>
          </w:tcPr>
          <w:p w14:paraId="499ED4C8"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0.987700</w:t>
            </w:r>
          </w:p>
        </w:tc>
        <w:tc>
          <w:tcPr>
            <w:tcW w:w="1480" w:type="dxa"/>
            <w:noWrap/>
            <w:vAlign w:val="bottom"/>
            <w:hideMark/>
          </w:tcPr>
          <w:p w14:paraId="6D55EBBC"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593A503D" w14:textId="77777777" w:rsidTr="00760C66">
        <w:trPr>
          <w:trHeight w:val="300"/>
        </w:trPr>
        <w:tc>
          <w:tcPr>
            <w:tcW w:w="1000" w:type="dxa"/>
            <w:noWrap/>
            <w:vAlign w:val="center"/>
            <w:hideMark/>
          </w:tcPr>
          <w:p w14:paraId="30526D87"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118</w:t>
            </w:r>
          </w:p>
        </w:tc>
        <w:tc>
          <w:tcPr>
            <w:tcW w:w="1980" w:type="dxa"/>
            <w:noWrap/>
            <w:vAlign w:val="bottom"/>
            <w:hideMark/>
          </w:tcPr>
          <w:p w14:paraId="6540AA82"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1.021014</w:t>
            </w:r>
          </w:p>
        </w:tc>
        <w:tc>
          <w:tcPr>
            <w:tcW w:w="1480" w:type="dxa"/>
            <w:noWrap/>
            <w:vAlign w:val="bottom"/>
            <w:hideMark/>
          </w:tcPr>
          <w:p w14:paraId="7CDA2E97"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r w:rsidR="00AF1E12" w14:paraId="682FDC5E" w14:textId="77777777" w:rsidTr="00760C66">
        <w:trPr>
          <w:trHeight w:val="300"/>
        </w:trPr>
        <w:tc>
          <w:tcPr>
            <w:tcW w:w="1000" w:type="dxa"/>
            <w:noWrap/>
            <w:vAlign w:val="center"/>
            <w:hideMark/>
          </w:tcPr>
          <w:p w14:paraId="2D2517E4" w14:textId="77777777" w:rsidR="00AF1E12" w:rsidRDefault="00AF1E12" w:rsidP="00760C66">
            <w:pPr>
              <w:jc w:val="center"/>
              <w:rPr>
                <w:rFonts w:ascii="Calibri Light" w:hAnsi="Calibri Light" w:cs="Calibri Light"/>
                <w:sz w:val="20"/>
                <w:szCs w:val="20"/>
              </w:rPr>
            </w:pPr>
            <w:r>
              <w:rPr>
                <w:rFonts w:ascii="Calibri Light" w:hAnsi="Calibri Light" w:cs="Calibri Light"/>
                <w:sz w:val="20"/>
                <w:szCs w:val="20"/>
              </w:rPr>
              <w:t>119</w:t>
            </w:r>
          </w:p>
        </w:tc>
        <w:tc>
          <w:tcPr>
            <w:tcW w:w="1980" w:type="dxa"/>
            <w:noWrap/>
            <w:vAlign w:val="bottom"/>
            <w:hideMark/>
          </w:tcPr>
          <w:p w14:paraId="0312569B"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1.149310</w:t>
            </w:r>
          </w:p>
        </w:tc>
        <w:tc>
          <w:tcPr>
            <w:tcW w:w="1480" w:type="dxa"/>
            <w:noWrap/>
            <w:vAlign w:val="bottom"/>
            <w:hideMark/>
          </w:tcPr>
          <w:p w14:paraId="71912470" w14:textId="77777777" w:rsidR="00AF1E12" w:rsidRDefault="00AF1E12" w:rsidP="00760C66">
            <w:pPr>
              <w:jc w:val="center"/>
              <w:rPr>
                <w:rFonts w:ascii="Calibri Light" w:hAnsi="Calibri Light" w:cs="Calibri Light"/>
                <w:color w:val="000000"/>
                <w:sz w:val="22"/>
                <w:szCs w:val="22"/>
              </w:rPr>
            </w:pPr>
            <w:r>
              <w:rPr>
                <w:rFonts w:ascii="Calibri Light" w:hAnsi="Calibri Light" w:cs="Calibri Light"/>
                <w:color w:val="000000"/>
                <w:sz w:val="22"/>
                <w:szCs w:val="22"/>
              </w:rPr>
              <w:t>0.000000</w:t>
            </w:r>
          </w:p>
        </w:tc>
      </w:tr>
    </w:tbl>
    <w:p w14:paraId="0F25E07D" w14:textId="77777777" w:rsidR="00AF1E12" w:rsidRDefault="00AF1E12" w:rsidP="00AF1E12">
      <w:pPr>
        <w:rPr>
          <w:iCs/>
        </w:rPr>
      </w:pPr>
    </w:p>
    <w:p w14:paraId="3B21C2D3" w14:textId="77777777" w:rsidR="00AF1E12" w:rsidRDefault="00AF1E12" w:rsidP="00AF1E12">
      <w:pPr>
        <w:rPr>
          <w:iCs/>
        </w:rPr>
      </w:pPr>
    </w:p>
    <w:p w14:paraId="193BE0F6" w14:textId="77777777" w:rsidR="00AF1E12" w:rsidRDefault="00AF1E12" w:rsidP="00AF1E12">
      <w:pPr>
        <w:rPr>
          <w:iCs/>
        </w:rPr>
      </w:pPr>
    </w:p>
    <w:p w14:paraId="2931FBB6" w14:textId="77777777" w:rsidR="00AF1E12" w:rsidRDefault="00AF1E12" w:rsidP="00AF1E12">
      <w:pPr>
        <w:rPr>
          <w:iCs/>
        </w:rPr>
      </w:pPr>
    </w:p>
    <w:p w14:paraId="7D922D63" w14:textId="77777777" w:rsidR="00AF1E12" w:rsidRDefault="00AF1E12" w:rsidP="00AF1E12">
      <w:pPr>
        <w:rPr>
          <w:iCs/>
        </w:rPr>
      </w:pPr>
    </w:p>
    <w:p w14:paraId="6BE4189D" w14:textId="77777777" w:rsidR="00AF1E12" w:rsidRDefault="00AF1E12" w:rsidP="00AF1E12">
      <w:pPr>
        <w:rPr>
          <w:iCs/>
        </w:rPr>
      </w:pPr>
    </w:p>
    <w:p w14:paraId="28911D5F" w14:textId="77777777" w:rsidR="00AF1E12" w:rsidRDefault="00AF1E12" w:rsidP="00AF1E12">
      <w:pPr>
        <w:rPr>
          <w:iCs/>
        </w:rPr>
      </w:pPr>
    </w:p>
    <w:p w14:paraId="6220935C" w14:textId="77777777" w:rsidR="00AF1E12" w:rsidRDefault="00AF1E12" w:rsidP="00AF1E12">
      <w:pPr>
        <w:rPr>
          <w:iCs/>
        </w:rPr>
      </w:pPr>
    </w:p>
    <w:p w14:paraId="16C22610" w14:textId="77777777" w:rsidR="00AF1E12" w:rsidRDefault="00AF1E12" w:rsidP="00AF1E12">
      <w:pPr>
        <w:rPr>
          <w:iCs/>
        </w:rPr>
      </w:pPr>
    </w:p>
    <w:p w14:paraId="313AEE08" w14:textId="77777777" w:rsidR="00AF1E12" w:rsidRDefault="00AF1E12" w:rsidP="00AF1E12">
      <w:pPr>
        <w:rPr>
          <w:iCs/>
        </w:rPr>
      </w:pPr>
    </w:p>
    <w:p w14:paraId="3CCA87EA" w14:textId="77777777" w:rsidR="00AF1E12" w:rsidRDefault="00AF1E12" w:rsidP="00AF1E12">
      <w:pPr>
        <w:rPr>
          <w:iCs/>
        </w:rPr>
      </w:pPr>
    </w:p>
    <w:p w14:paraId="40CD0223" w14:textId="77777777" w:rsidR="00AF1E12" w:rsidRDefault="00AF1E12" w:rsidP="00AF1E12">
      <w:pPr>
        <w:rPr>
          <w:iCs/>
        </w:rPr>
      </w:pPr>
    </w:p>
    <w:p w14:paraId="13D7C24C" w14:textId="77777777" w:rsidR="00AF1E12" w:rsidRDefault="00AF1E12" w:rsidP="00AF1E12">
      <w:pPr>
        <w:rPr>
          <w:iCs/>
        </w:rPr>
      </w:pPr>
    </w:p>
    <w:p w14:paraId="57459F52" w14:textId="77777777" w:rsidR="00AF1E12" w:rsidRDefault="00AF1E12" w:rsidP="00AF1E12">
      <w:pPr>
        <w:rPr>
          <w:iCs/>
        </w:rPr>
      </w:pPr>
    </w:p>
    <w:p w14:paraId="24FDF218" w14:textId="77777777" w:rsidR="00AF1E12" w:rsidRDefault="00AF1E12" w:rsidP="00AF1E12">
      <w:pPr>
        <w:rPr>
          <w:iCs/>
        </w:rPr>
      </w:pPr>
    </w:p>
    <w:p w14:paraId="3D3D4C60" w14:textId="77777777" w:rsidR="00AF1E12" w:rsidRDefault="00AF1E12" w:rsidP="00AF1E12">
      <w:pPr>
        <w:rPr>
          <w:iCs/>
        </w:rPr>
      </w:pPr>
    </w:p>
    <w:p w14:paraId="73A7C78D" w14:textId="77777777" w:rsidR="00AF1E12" w:rsidRDefault="00AF1E12" w:rsidP="00AF1E12">
      <w:pPr>
        <w:rPr>
          <w:iCs/>
        </w:rPr>
      </w:pPr>
    </w:p>
    <w:p w14:paraId="069F73C6" w14:textId="77777777" w:rsidR="00AF1E12" w:rsidRDefault="00AF1E12" w:rsidP="00AF1E12">
      <w:pPr>
        <w:rPr>
          <w:iCs/>
        </w:rPr>
      </w:pPr>
    </w:p>
    <w:p w14:paraId="2E2916AC" w14:textId="77777777" w:rsidR="00AF1E12" w:rsidRDefault="00AF1E12" w:rsidP="00AF1E12">
      <w:pPr>
        <w:rPr>
          <w:iCs/>
        </w:rPr>
      </w:pPr>
    </w:p>
    <w:p w14:paraId="7957909C" w14:textId="77777777" w:rsidR="00AF1E12" w:rsidRDefault="00AF1E12" w:rsidP="00AF1E12">
      <w:pPr>
        <w:rPr>
          <w:iCs/>
        </w:rPr>
      </w:pPr>
    </w:p>
    <w:p w14:paraId="2F539F7E" w14:textId="77777777" w:rsidR="00AF1E12" w:rsidRDefault="00AF1E12" w:rsidP="00AF1E12">
      <w:pPr>
        <w:rPr>
          <w:iCs/>
        </w:rPr>
      </w:pPr>
    </w:p>
    <w:p w14:paraId="361A7120" w14:textId="77777777" w:rsidR="00AF1E12" w:rsidRDefault="00AF1E12" w:rsidP="00AF1E12">
      <w:pPr>
        <w:rPr>
          <w:iCs/>
        </w:rPr>
      </w:pPr>
    </w:p>
    <w:p w14:paraId="2F72B5FD" w14:textId="77777777" w:rsidR="00AF1E12" w:rsidRDefault="00AF1E12" w:rsidP="00AF1E12">
      <w:pPr>
        <w:rPr>
          <w:iCs/>
        </w:rPr>
      </w:pPr>
    </w:p>
    <w:p w14:paraId="5EBC6AD3" w14:textId="77777777" w:rsidR="00AF1E12" w:rsidRDefault="00AF1E12" w:rsidP="00AF1E12">
      <w:pPr>
        <w:rPr>
          <w:iCs/>
        </w:rPr>
      </w:pPr>
    </w:p>
    <w:p w14:paraId="7D5AF82A" w14:textId="77777777" w:rsidR="00AF1E12" w:rsidRDefault="00AF1E12" w:rsidP="00AF1E12">
      <w:pPr>
        <w:rPr>
          <w:iCs/>
        </w:rPr>
      </w:pPr>
    </w:p>
    <w:p w14:paraId="25EF6975" w14:textId="77777777" w:rsidR="00AF1E12" w:rsidRDefault="00AF1E12" w:rsidP="00AF1E12">
      <w:pPr>
        <w:rPr>
          <w:iCs/>
        </w:rPr>
      </w:pPr>
    </w:p>
    <w:p w14:paraId="6CAD6D44" w14:textId="77777777" w:rsidR="00AF1E12" w:rsidRDefault="00AF1E12" w:rsidP="00AF1E12">
      <w:pPr>
        <w:rPr>
          <w:iCs/>
        </w:rPr>
      </w:pPr>
    </w:p>
    <w:p w14:paraId="5445B9A5" w14:textId="77777777" w:rsidR="00AF1E12" w:rsidRDefault="00AF1E12" w:rsidP="00AF1E12">
      <w:pPr>
        <w:rPr>
          <w:iCs/>
        </w:rPr>
      </w:pPr>
    </w:p>
    <w:p w14:paraId="11EFD72B" w14:textId="77777777" w:rsidR="00AF1E12" w:rsidRDefault="00AF1E12" w:rsidP="00AF1E12">
      <w:pPr>
        <w:rPr>
          <w:iCs/>
        </w:rPr>
      </w:pPr>
    </w:p>
    <w:p w14:paraId="391E5980" w14:textId="77777777" w:rsidR="00AF1E12" w:rsidRDefault="00AF1E12" w:rsidP="00AF1E12">
      <w:pPr>
        <w:rPr>
          <w:iCs/>
        </w:rPr>
      </w:pPr>
    </w:p>
    <w:p w14:paraId="5C5C44E9" w14:textId="77777777" w:rsidR="00AF1E12" w:rsidRDefault="00AF1E12" w:rsidP="00AF1E12">
      <w:pPr>
        <w:rPr>
          <w:iCs/>
        </w:rPr>
      </w:pPr>
    </w:p>
    <w:p w14:paraId="5ACC8E70" w14:textId="77777777" w:rsidR="00AF1E12" w:rsidRDefault="00AF1E12" w:rsidP="00AF1E12">
      <w:pPr>
        <w:rPr>
          <w:iCs/>
        </w:rPr>
      </w:pPr>
    </w:p>
    <w:p w14:paraId="748138D3" w14:textId="77777777" w:rsidR="00AF1E12" w:rsidRDefault="00AF1E12" w:rsidP="00AF1E12">
      <w:pPr>
        <w:rPr>
          <w:iCs/>
        </w:rPr>
      </w:pPr>
    </w:p>
    <w:p w14:paraId="1C6DE433" w14:textId="77777777" w:rsidR="00AF1E12" w:rsidRDefault="00AF1E12" w:rsidP="00AF1E12">
      <w:pPr>
        <w:rPr>
          <w:iCs/>
        </w:rPr>
      </w:pPr>
    </w:p>
    <w:p w14:paraId="3ED84195" w14:textId="77777777" w:rsidR="00AF1E12" w:rsidRDefault="00AF1E12" w:rsidP="00AF1E12">
      <w:pPr>
        <w:rPr>
          <w:iCs/>
        </w:rPr>
      </w:pPr>
    </w:p>
    <w:p w14:paraId="0958CECB" w14:textId="77777777" w:rsidR="00AF1E12" w:rsidRDefault="00AF1E12" w:rsidP="00AF1E12">
      <w:pPr>
        <w:rPr>
          <w:iCs/>
        </w:rPr>
      </w:pPr>
    </w:p>
    <w:p w14:paraId="2F01F72C" w14:textId="77777777" w:rsidR="00AF1E12" w:rsidRDefault="00AF1E12" w:rsidP="00AF1E12">
      <w:pPr>
        <w:rPr>
          <w:iCs/>
        </w:rPr>
      </w:pPr>
    </w:p>
    <w:p w14:paraId="79741A03" w14:textId="77777777" w:rsidR="00AF1E12" w:rsidRDefault="00AF1E12" w:rsidP="00AF1E12">
      <w:pPr>
        <w:rPr>
          <w:iCs/>
        </w:rPr>
      </w:pPr>
    </w:p>
    <w:p w14:paraId="7616ECC8" w14:textId="77777777" w:rsidR="00AF1E12" w:rsidRPr="00E07CF3" w:rsidRDefault="00AF1E12" w:rsidP="00AF1E12">
      <w:pPr>
        <w:rPr>
          <w:i/>
        </w:rPr>
      </w:pPr>
      <w:r w:rsidRPr="00E07CF3">
        <w:rPr>
          <w:i/>
        </w:rPr>
        <w:lastRenderedPageBreak/>
        <w:t>Appendix C</w:t>
      </w:r>
      <w:r>
        <w:rPr>
          <w:i/>
        </w:rPr>
        <w:t>2</w:t>
      </w:r>
      <w:r w:rsidRPr="00E07CF3">
        <w:rPr>
          <w:i/>
        </w:rPr>
        <w:t xml:space="preserve">: </w:t>
      </w:r>
      <w:r>
        <w:rPr>
          <w:i/>
        </w:rPr>
        <w:t>Lapse Rates</w:t>
      </w:r>
    </w:p>
    <w:p w14:paraId="6886B30F" w14:textId="77777777" w:rsidR="00AF1E12" w:rsidRDefault="00AF1E12" w:rsidP="00AF1E12">
      <w:pPr>
        <w:rPr>
          <w:iCs/>
        </w:rPr>
      </w:pPr>
      <w:r>
        <w:rPr>
          <w:iCs/>
        </w:rPr>
        <w:t>The lapse rate assumption we used was the empirical lapse rate from our in-force T20 policies (note that there is the assumption of no lapse for WL policies). The following figure shows the number of lapses every year for policies issued in every year.</w:t>
      </w:r>
    </w:p>
    <w:p w14:paraId="129030C7" w14:textId="77777777" w:rsidR="00AF1E12" w:rsidRDefault="00AF1E12" w:rsidP="00AF1E12">
      <w:pPr>
        <w:rPr>
          <w:iCs/>
        </w:rPr>
      </w:pPr>
      <w:r w:rsidRPr="00497AF7">
        <w:rPr>
          <w:iCs/>
          <w:noProof/>
        </w:rPr>
        <w:drawing>
          <wp:anchor distT="0" distB="0" distL="114300" distR="114300" simplePos="0" relativeHeight="251660288" behindDoc="0" locked="0" layoutInCell="1" allowOverlap="1" wp14:anchorId="3187CEA8" wp14:editId="420FC69E">
            <wp:simplePos x="0" y="0"/>
            <wp:positionH relativeFrom="page">
              <wp:posOffset>914400</wp:posOffset>
            </wp:positionH>
            <wp:positionV relativeFrom="page">
              <wp:posOffset>1790065</wp:posOffset>
            </wp:positionV>
            <wp:extent cx="5943600" cy="1825625"/>
            <wp:effectExtent l="0" t="0" r="0" b="3175"/>
            <wp:wrapTight wrapText="bothSides">
              <wp:wrapPolygon edited="0">
                <wp:start x="0" y="0"/>
                <wp:lineTo x="0" y="21412"/>
                <wp:lineTo x="21531" y="21412"/>
                <wp:lineTo x="21531" y="0"/>
                <wp:lineTo x="0" y="0"/>
              </wp:wrapPolygon>
            </wp:wrapTight>
            <wp:docPr id="13982892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9291" name="Picture 1" descr="A screenshot of a computer screen&#10;&#10;Description automatically generated"/>
                    <pic:cNvPicPr/>
                  </pic:nvPicPr>
                  <pic:blipFill>
                    <a:blip r:embed="rId4"/>
                    <a:stretch>
                      <a:fillRect/>
                    </a:stretch>
                  </pic:blipFill>
                  <pic:spPr>
                    <a:xfrm>
                      <a:off x="0" y="0"/>
                      <a:ext cx="5943600" cy="1825625"/>
                    </a:xfrm>
                    <a:prstGeom prst="rect">
                      <a:avLst/>
                    </a:prstGeom>
                  </pic:spPr>
                </pic:pic>
              </a:graphicData>
            </a:graphic>
          </wp:anchor>
        </w:drawing>
      </w:r>
      <w:r>
        <w:rPr>
          <w:iCs/>
        </w:rPr>
        <w:t xml:space="preserve">Using this data, we obtain the following lapse rates assumption for T20 policies: </w:t>
      </w:r>
    </w:p>
    <w:p w14:paraId="40ABEC1A" w14:textId="77777777" w:rsidR="00AF1E12" w:rsidRDefault="00AF1E12" w:rsidP="00AF1E12">
      <w:pPr>
        <w:rPr>
          <w:iCs/>
        </w:rPr>
      </w:pPr>
    </w:p>
    <w:tbl>
      <w:tblPr>
        <w:tblW w:w="2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620"/>
        <w:gridCol w:w="1560"/>
      </w:tblGrid>
      <w:tr w:rsidR="00AF1E12" w14:paraId="1575864B" w14:textId="77777777" w:rsidTr="00760C66">
        <w:trPr>
          <w:trHeight w:val="300"/>
        </w:trPr>
        <w:tc>
          <w:tcPr>
            <w:tcW w:w="620" w:type="dxa"/>
            <w:noWrap/>
            <w:vAlign w:val="bottom"/>
            <w:hideMark/>
          </w:tcPr>
          <w:p w14:paraId="1E8D88EC" w14:textId="77777777" w:rsidR="00AF1E12" w:rsidRDefault="00AF1E12" w:rsidP="00760C66">
            <w:pPr>
              <w:rPr>
                <w:rFonts w:ascii="Calibri" w:hAnsi="Calibri" w:cs="Calibri"/>
                <w:color w:val="000000"/>
                <w:sz w:val="22"/>
                <w:szCs w:val="22"/>
                <w:lang w:eastAsia="en-AU"/>
              </w:rPr>
            </w:pPr>
            <w:r>
              <w:rPr>
                <w:rFonts w:ascii="Calibri" w:hAnsi="Calibri" w:cs="Calibri"/>
                <w:color w:val="000000"/>
                <w:sz w:val="22"/>
                <w:szCs w:val="22"/>
              </w:rPr>
              <w:t>Year</w:t>
            </w:r>
          </w:p>
        </w:tc>
        <w:tc>
          <w:tcPr>
            <w:tcW w:w="1560" w:type="dxa"/>
            <w:noWrap/>
            <w:vAlign w:val="bottom"/>
            <w:hideMark/>
          </w:tcPr>
          <w:p w14:paraId="36CA99A8" w14:textId="77777777" w:rsidR="00AF1E12" w:rsidRDefault="00AF1E12" w:rsidP="00760C66">
            <w:pPr>
              <w:rPr>
                <w:rFonts w:ascii="Calibri" w:hAnsi="Calibri" w:cs="Calibri"/>
                <w:color w:val="000000"/>
                <w:sz w:val="22"/>
                <w:szCs w:val="22"/>
              </w:rPr>
            </w:pPr>
            <w:r>
              <w:rPr>
                <w:rFonts w:ascii="Calibri" w:hAnsi="Calibri" w:cs="Calibri"/>
                <w:color w:val="000000"/>
                <w:sz w:val="22"/>
                <w:szCs w:val="22"/>
              </w:rPr>
              <w:t>Lapse Rate</w:t>
            </w:r>
          </w:p>
        </w:tc>
      </w:tr>
      <w:tr w:rsidR="00AF1E12" w14:paraId="5A32448F" w14:textId="77777777" w:rsidTr="00760C66">
        <w:trPr>
          <w:trHeight w:val="300"/>
        </w:trPr>
        <w:tc>
          <w:tcPr>
            <w:tcW w:w="620" w:type="dxa"/>
            <w:noWrap/>
            <w:vAlign w:val="bottom"/>
            <w:hideMark/>
          </w:tcPr>
          <w:p w14:paraId="58ADB0EE"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w:t>
            </w:r>
          </w:p>
        </w:tc>
        <w:tc>
          <w:tcPr>
            <w:tcW w:w="1560" w:type="dxa"/>
            <w:noWrap/>
            <w:vAlign w:val="bottom"/>
            <w:hideMark/>
          </w:tcPr>
          <w:p w14:paraId="1A697175"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0A77448B" w14:textId="77777777" w:rsidTr="00760C66">
        <w:trPr>
          <w:trHeight w:val="300"/>
        </w:trPr>
        <w:tc>
          <w:tcPr>
            <w:tcW w:w="620" w:type="dxa"/>
            <w:noWrap/>
            <w:vAlign w:val="bottom"/>
            <w:hideMark/>
          </w:tcPr>
          <w:p w14:paraId="557CFE7C"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2</w:t>
            </w:r>
          </w:p>
        </w:tc>
        <w:tc>
          <w:tcPr>
            <w:tcW w:w="1560" w:type="dxa"/>
            <w:noWrap/>
            <w:vAlign w:val="bottom"/>
            <w:hideMark/>
          </w:tcPr>
          <w:p w14:paraId="373BC166"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66A6CFA4" w14:textId="77777777" w:rsidTr="00760C66">
        <w:trPr>
          <w:trHeight w:val="300"/>
        </w:trPr>
        <w:tc>
          <w:tcPr>
            <w:tcW w:w="620" w:type="dxa"/>
            <w:noWrap/>
            <w:vAlign w:val="bottom"/>
            <w:hideMark/>
          </w:tcPr>
          <w:p w14:paraId="1C8D3DD9"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3</w:t>
            </w:r>
          </w:p>
        </w:tc>
        <w:tc>
          <w:tcPr>
            <w:tcW w:w="1560" w:type="dxa"/>
            <w:noWrap/>
            <w:vAlign w:val="bottom"/>
            <w:hideMark/>
          </w:tcPr>
          <w:p w14:paraId="718A6DE5"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6EEEB2F7" w14:textId="77777777" w:rsidTr="00760C66">
        <w:trPr>
          <w:trHeight w:val="300"/>
        </w:trPr>
        <w:tc>
          <w:tcPr>
            <w:tcW w:w="620" w:type="dxa"/>
            <w:noWrap/>
            <w:vAlign w:val="bottom"/>
            <w:hideMark/>
          </w:tcPr>
          <w:p w14:paraId="2878C4AF"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4</w:t>
            </w:r>
          </w:p>
        </w:tc>
        <w:tc>
          <w:tcPr>
            <w:tcW w:w="1560" w:type="dxa"/>
            <w:noWrap/>
            <w:vAlign w:val="bottom"/>
            <w:hideMark/>
          </w:tcPr>
          <w:p w14:paraId="3C1E3BF3"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7FE78AC7" w14:textId="77777777" w:rsidTr="00760C66">
        <w:trPr>
          <w:trHeight w:val="300"/>
        </w:trPr>
        <w:tc>
          <w:tcPr>
            <w:tcW w:w="620" w:type="dxa"/>
            <w:noWrap/>
            <w:vAlign w:val="bottom"/>
            <w:hideMark/>
          </w:tcPr>
          <w:p w14:paraId="565497D4"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5</w:t>
            </w:r>
          </w:p>
        </w:tc>
        <w:tc>
          <w:tcPr>
            <w:tcW w:w="1560" w:type="dxa"/>
            <w:noWrap/>
            <w:vAlign w:val="bottom"/>
            <w:hideMark/>
          </w:tcPr>
          <w:p w14:paraId="065181A7"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731A45CF" w14:textId="77777777" w:rsidTr="00760C66">
        <w:trPr>
          <w:trHeight w:val="300"/>
        </w:trPr>
        <w:tc>
          <w:tcPr>
            <w:tcW w:w="620" w:type="dxa"/>
            <w:noWrap/>
            <w:vAlign w:val="bottom"/>
            <w:hideMark/>
          </w:tcPr>
          <w:p w14:paraId="70C3ED73"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6</w:t>
            </w:r>
          </w:p>
        </w:tc>
        <w:tc>
          <w:tcPr>
            <w:tcW w:w="1560" w:type="dxa"/>
            <w:noWrap/>
            <w:vAlign w:val="bottom"/>
            <w:hideMark/>
          </w:tcPr>
          <w:p w14:paraId="27794A0B"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0C0528F3" w14:textId="77777777" w:rsidTr="00760C66">
        <w:trPr>
          <w:trHeight w:val="300"/>
        </w:trPr>
        <w:tc>
          <w:tcPr>
            <w:tcW w:w="620" w:type="dxa"/>
            <w:noWrap/>
            <w:vAlign w:val="bottom"/>
            <w:hideMark/>
          </w:tcPr>
          <w:p w14:paraId="51F510C8"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7</w:t>
            </w:r>
          </w:p>
        </w:tc>
        <w:tc>
          <w:tcPr>
            <w:tcW w:w="1560" w:type="dxa"/>
            <w:noWrap/>
            <w:vAlign w:val="bottom"/>
            <w:hideMark/>
          </w:tcPr>
          <w:p w14:paraId="4191A8CA" w14:textId="77777777" w:rsidR="00AF1E12" w:rsidRDefault="00AF1E12" w:rsidP="00760C66">
            <w:pPr>
              <w:jc w:val="right"/>
              <w:rPr>
                <w:rFonts w:ascii="Arial" w:hAnsi="Arial" w:cs="Arial"/>
                <w:sz w:val="20"/>
                <w:szCs w:val="20"/>
              </w:rPr>
            </w:pPr>
            <w:r>
              <w:rPr>
                <w:rFonts w:ascii="Arial" w:hAnsi="Arial" w:cs="Arial"/>
                <w:sz w:val="20"/>
                <w:szCs w:val="20"/>
              </w:rPr>
              <w:t>0.64%</w:t>
            </w:r>
          </w:p>
        </w:tc>
      </w:tr>
      <w:tr w:rsidR="00AF1E12" w14:paraId="64C1BC60" w14:textId="77777777" w:rsidTr="00760C66">
        <w:trPr>
          <w:trHeight w:val="300"/>
        </w:trPr>
        <w:tc>
          <w:tcPr>
            <w:tcW w:w="620" w:type="dxa"/>
            <w:noWrap/>
            <w:vAlign w:val="bottom"/>
            <w:hideMark/>
          </w:tcPr>
          <w:p w14:paraId="3D00A468"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8</w:t>
            </w:r>
          </w:p>
        </w:tc>
        <w:tc>
          <w:tcPr>
            <w:tcW w:w="1560" w:type="dxa"/>
            <w:noWrap/>
            <w:vAlign w:val="bottom"/>
            <w:hideMark/>
          </w:tcPr>
          <w:p w14:paraId="5CAFF11D"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63AC7070" w14:textId="77777777" w:rsidTr="00760C66">
        <w:trPr>
          <w:trHeight w:val="300"/>
        </w:trPr>
        <w:tc>
          <w:tcPr>
            <w:tcW w:w="620" w:type="dxa"/>
            <w:noWrap/>
            <w:vAlign w:val="bottom"/>
            <w:hideMark/>
          </w:tcPr>
          <w:p w14:paraId="77649CB8"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9</w:t>
            </w:r>
          </w:p>
        </w:tc>
        <w:tc>
          <w:tcPr>
            <w:tcW w:w="1560" w:type="dxa"/>
            <w:noWrap/>
            <w:vAlign w:val="bottom"/>
            <w:hideMark/>
          </w:tcPr>
          <w:p w14:paraId="69DD239F"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232B02A6" w14:textId="77777777" w:rsidTr="00760C66">
        <w:trPr>
          <w:trHeight w:val="300"/>
        </w:trPr>
        <w:tc>
          <w:tcPr>
            <w:tcW w:w="620" w:type="dxa"/>
            <w:noWrap/>
            <w:vAlign w:val="bottom"/>
            <w:hideMark/>
          </w:tcPr>
          <w:p w14:paraId="6962652E"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10</w:t>
            </w:r>
          </w:p>
        </w:tc>
        <w:tc>
          <w:tcPr>
            <w:tcW w:w="1560" w:type="dxa"/>
            <w:noWrap/>
            <w:vAlign w:val="bottom"/>
            <w:hideMark/>
          </w:tcPr>
          <w:p w14:paraId="7ED09682" w14:textId="77777777" w:rsidR="00AF1E12" w:rsidRDefault="00AF1E12" w:rsidP="00760C66">
            <w:pPr>
              <w:jc w:val="right"/>
              <w:rPr>
                <w:rFonts w:ascii="Arial" w:hAnsi="Arial" w:cs="Arial"/>
                <w:sz w:val="20"/>
                <w:szCs w:val="20"/>
              </w:rPr>
            </w:pPr>
            <w:r>
              <w:rPr>
                <w:rFonts w:ascii="Arial" w:hAnsi="Arial" w:cs="Arial"/>
                <w:sz w:val="20"/>
                <w:szCs w:val="20"/>
              </w:rPr>
              <w:t>0.64%</w:t>
            </w:r>
          </w:p>
        </w:tc>
      </w:tr>
      <w:tr w:rsidR="00AF1E12" w14:paraId="48C36778" w14:textId="77777777" w:rsidTr="00760C66">
        <w:trPr>
          <w:trHeight w:val="300"/>
        </w:trPr>
        <w:tc>
          <w:tcPr>
            <w:tcW w:w="620" w:type="dxa"/>
            <w:noWrap/>
            <w:vAlign w:val="bottom"/>
            <w:hideMark/>
          </w:tcPr>
          <w:p w14:paraId="441152E0"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11</w:t>
            </w:r>
          </w:p>
        </w:tc>
        <w:tc>
          <w:tcPr>
            <w:tcW w:w="1560" w:type="dxa"/>
            <w:noWrap/>
            <w:vAlign w:val="bottom"/>
            <w:hideMark/>
          </w:tcPr>
          <w:p w14:paraId="67A53A88"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77999CCC" w14:textId="77777777" w:rsidTr="00760C66">
        <w:trPr>
          <w:trHeight w:val="300"/>
        </w:trPr>
        <w:tc>
          <w:tcPr>
            <w:tcW w:w="620" w:type="dxa"/>
            <w:noWrap/>
            <w:vAlign w:val="bottom"/>
            <w:hideMark/>
          </w:tcPr>
          <w:p w14:paraId="0B654E4C"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12</w:t>
            </w:r>
          </w:p>
        </w:tc>
        <w:tc>
          <w:tcPr>
            <w:tcW w:w="1560" w:type="dxa"/>
            <w:noWrap/>
            <w:vAlign w:val="bottom"/>
            <w:hideMark/>
          </w:tcPr>
          <w:p w14:paraId="48797C12"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11C55955" w14:textId="77777777" w:rsidTr="00760C66">
        <w:trPr>
          <w:trHeight w:val="300"/>
        </w:trPr>
        <w:tc>
          <w:tcPr>
            <w:tcW w:w="620" w:type="dxa"/>
            <w:noWrap/>
            <w:vAlign w:val="bottom"/>
            <w:hideMark/>
          </w:tcPr>
          <w:p w14:paraId="5B212B47"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13</w:t>
            </w:r>
          </w:p>
        </w:tc>
        <w:tc>
          <w:tcPr>
            <w:tcW w:w="1560" w:type="dxa"/>
            <w:noWrap/>
            <w:vAlign w:val="bottom"/>
            <w:hideMark/>
          </w:tcPr>
          <w:p w14:paraId="228635A9"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006FDA34" w14:textId="77777777" w:rsidTr="00760C66">
        <w:trPr>
          <w:trHeight w:val="300"/>
        </w:trPr>
        <w:tc>
          <w:tcPr>
            <w:tcW w:w="620" w:type="dxa"/>
            <w:noWrap/>
            <w:vAlign w:val="bottom"/>
            <w:hideMark/>
          </w:tcPr>
          <w:p w14:paraId="5B00C98D"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14</w:t>
            </w:r>
          </w:p>
        </w:tc>
        <w:tc>
          <w:tcPr>
            <w:tcW w:w="1560" w:type="dxa"/>
            <w:noWrap/>
            <w:vAlign w:val="bottom"/>
            <w:hideMark/>
          </w:tcPr>
          <w:p w14:paraId="4840FE7D"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433A2C7A" w14:textId="77777777" w:rsidTr="00760C66">
        <w:trPr>
          <w:trHeight w:val="300"/>
        </w:trPr>
        <w:tc>
          <w:tcPr>
            <w:tcW w:w="620" w:type="dxa"/>
            <w:noWrap/>
            <w:vAlign w:val="bottom"/>
            <w:hideMark/>
          </w:tcPr>
          <w:p w14:paraId="5E12B9BB"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15</w:t>
            </w:r>
          </w:p>
        </w:tc>
        <w:tc>
          <w:tcPr>
            <w:tcW w:w="1560" w:type="dxa"/>
            <w:noWrap/>
            <w:vAlign w:val="bottom"/>
            <w:hideMark/>
          </w:tcPr>
          <w:p w14:paraId="0F6C27A9" w14:textId="77777777" w:rsidR="00AF1E12" w:rsidRDefault="00AF1E12" w:rsidP="00760C66">
            <w:pPr>
              <w:jc w:val="right"/>
              <w:rPr>
                <w:rFonts w:ascii="Arial" w:hAnsi="Arial" w:cs="Arial"/>
                <w:sz w:val="20"/>
                <w:szCs w:val="20"/>
              </w:rPr>
            </w:pPr>
            <w:r>
              <w:rPr>
                <w:rFonts w:ascii="Arial" w:hAnsi="Arial" w:cs="Arial"/>
                <w:sz w:val="20"/>
                <w:szCs w:val="20"/>
              </w:rPr>
              <w:t>0.62%</w:t>
            </w:r>
          </w:p>
        </w:tc>
      </w:tr>
      <w:tr w:rsidR="00AF1E12" w14:paraId="3E9CDE5B" w14:textId="77777777" w:rsidTr="00760C66">
        <w:trPr>
          <w:trHeight w:val="300"/>
        </w:trPr>
        <w:tc>
          <w:tcPr>
            <w:tcW w:w="620" w:type="dxa"/>
            <w:noWrap/>
            <w:vAlign w:val="bottom"/>
            <w:hideMark/>
          </w:tcPr>
          <w:p w14:paraId="29C912FF"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16</w:t>
            </w:r>
          </w:p>
        </w:tc>
        <w:tc>
          <w:tcPr>
            <w:tcW w:w="1560" w:type="dxa"/>
            <w:noWrap/>
            <w:vAlign w:val="bottom"/>
            <w:hideMark/>
          </w:tcPr>
          <w:p w14:paraId="21EA8FD7" w14:textId="77777777" w:rsidR="00AF1E12" w:rsidRDefault="00AF1E12" w:rsidP="00760C66">
            <w:pPr>
              <w:jc w:val="right"/>
              <w:rPr>
                <w:rFonts w:ascii="Arial" w:hAnsi="Arial" w:cs="Arial"/>
                <w:sz w:val="20"/>
                <w:szCs w:val="20"/>
              </w:rPr>
            </w:pPr>
            <w:r>
              <w:rPr>
                <w:rFonts w:ascii="Arial" w:hAnsi="Arial" w:cs="Arial"/>
                <w:sz w:val="20"/>
                <w:szCs w:val="20"/>
              </w:rPr>
              <w:t>0.61%</w:t>
            </w:r>
          </w:p>
        </w:tc>
      </w:tr>
      <w:tr w:rsidR="00AF1E12" w14:paraId="040C0BE8" w14:textId="77777777" w:rsidTr="00760C66">
        <w:trPr>
          <w:trHeight w:val="300"/>
        </w:trPr>
        <w:tc>
          <w:tcPr>
            <w:tcW w:w="620" w:type="dxa"/>
            <w:noWrap/>
            <w:vAlign w:val="bottom"/>
            <w:hideMark/>
          </w:tcPr>
          <w:p w14:paraId="230B2C31"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17</w:t>
            </w:r>
          </w:p>
        </w:tc>
        <w:tc>
          <w:tcPr>
            <w:tcW w:w="1560" w:type="dxa"/>
            <w:noWrap/>
            <w:vAlign w:val="bottom"/>
            <w:hideMark/>
          </w:tcPr>
          <w:p w14:paraId="7EAB1330" w14:textId="77777777" w:rsidR="00AF1E12" w:rsidRDefault="00AF1E12" w:rsidP="00760C66">
            <w:pPr>
              <w:jc w:val="right"/>
              <w:rPr>
                <w:rFonts w:ascii="Arial" w:hAnsi="Arial" w:cs="Arial"/>
                <w:sz w:val="20"/>
                <w:szCs w:val="20"/>
              </w:rPr>
            </w:pPr>
            <w:r>
              <w:rPr>
                <w:rFonts w:ascii="Arial" w:hAnsi="Arial" w:cs="Arial"/>
                <w:sz w:val="20"/>
                <w:szCs w:val="20"/>
              </w:rPr>
              <w:t>0.60%</w:t>
            </w:r>
          </w:p>
        </w:tc>
      </w:tr>
      <w:tr w:rsidR="00AF1E12" w14:paraId="1A6EFE3A" w14:textId="77777777" w:rsidTr="00760C66">
        <w:trPr>
          <w:trHeight w:val="300"/>
        </w:trPr>
        <w:tc>
          <w:tcPr>
            <w:tcW w:w="620" w:type="dxa"/>
            <w:noWrap/>
            <w:vAlign w:val="bottom"/>
            <w:hideMark/>
          </w:tcPr>
          <w:p w14:paraId="5D31734F"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18</w:t>
            </w:r>
          </w:p>
        </w:tc>
        <w:tc>
          <w:tcPr>
            <w:tcW w:w="1560" w:type="dxa"/>
            <w:noWrap/>
            <w:vAlign w:val="bottom"/>
            <w:hideMark/>
          </w:tcPr>
          <w:p w14:paraId="4D218819" w14:textId="77777777" w:rsidR="00AF1E12" w:rsidRDefault="00AF1E12" w:rsidP="00760C66">
            <w:pPr>
              <w:jc w:val="right"/>
              <w:rPr>
                <w:rFonts w:ascii="Arial" w:hAnsi="Arial" w:cs="Arial"/>
                <w:sz w:val="20"/>
                <w:szCs w:val="20"/>
              </w:rPr>
            </w:pPr>
            <w:r>
              <w:rPr>
                <w:rFonts w:ascii="Arial" w:hAnsi="Arial" w:cs="Arial"/>
                <w:sz w:val="20"/>
                <w:szCs w:val="20"/>
              </w:rPr>
              <w:t>0.59%</w:t>
            </w:r>
          </w:p>
        </w:tc>
      </w:tr>
      <w:tr w:rsidR="00AF1E12" w14:paraId="6ED958E8" w14:textId="77777777" w:rsidTr="00760C66">
        <w:trPr>
          <w:trHeight w:val="300"/>
        </w:trPr>
        <w:tc>
          <w:tcPr>
            <w:tcW w:w="620" w:type="dxa"/>
            <w:noWrap/>
            <w:vAlign w:val="bottom"/>
            <w:hideMark/>
          </w:tcPr>
          <w:p w14:paraId="2F1BB410"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19</w:t>
            </w:r>
          </w:p>
        </w:tc>
        <w:tc>
          <w:tcPr>
            <w:tcW w:w="1560" w:type="dxa"/>
            <w:noWrap/>
            <w:vAlign w:val="bottom"/>
            <w:hideMark/>
          </w:tcPr>
          <w:p w14:paraId="54D79E1B" w14:textId="77777777" w:rsidR="00AF1E12" w:rsidRDefault="00AF1E12" w:rsidP="00760C66">
            <w:pPr>
              <w:jc w:val="right"/>
              <w:rPr>
                <w:rFonts w:ascii="Arial" w:hAnsi="Arial" w:cs="Arial"/>
                <w:sz w:val="20"/>
                <w:szCs w:val="20"/>
              </w:rPr>
            </w:pPr>
            <w:r>
              <w:rPr>
                <w:rFonts w:ascii="Arial" w:hAnsi="Arial" w:cs="Arial"/>
                <w:sz w:val="20"/>
                <w:szCs w:val="20"/>
              </w:rPr>
              <w:t>0.59%</w:t>
            </w:r>
          </w:p>
        </w:tc>
      </w:tr>
      <w:tr w:rsidR="00AF1E12" w14:paraId="2D1DB99B" w14:textId="77777777" w:rsidTr="00760C66">
        <w:trPr>
          <w:trHeight w:val="300"/>
        </w:trPr>
        <w:tc>
          <w:tcPr>
            <w:tcW w:w="620" w:type="dxa"/>
            <w:noWrap/>
            <w:vAlign w:val="bottom"/>
            <w:hideMark/>
          </w:tcPr>
          <w:p w14:paraId="2334BA17" w14:textId="77777777" w:rsidR="00AF1E12" w:rsidRDefault="00AF1E12" w:rsidP="00760C66">
            <w:pPr>
              <w:jc w:val="right"/>
              <w:rPr>
                <w:rFonts w:ascii="Calibri" w:hAnsi="Calibri" w:cs="Calibri"/>
                <w:color w:val="000000"/>
                <w:sz w:val="22"/>
                <w:szCs w:val="22"/>
              </w:rPr>
            </w:pPr>
            <w:r>
              <w:rPr>
                <w:rFonts w:ascii="Calibri" w:hAnsi="Calibri" w:cs="Calibri"/>
                <w:color w:val="000000"/>
                <w:sz w:val="22"/>
                <w:szCs w:val="22"/>
              </w:rPr>
              <w:t>20</w:t>
            </w:r>
          </w:p>
        </w:tc>
        <w:tc>
          <w:tcPr>
            <w:tcW w:w="1560" w:type="dxa"/>
            <w:noWrap/>
            <w:vAlign w:val="bottom"/>
            <w:hideMark/>
          </w:tcPr>
          <w:p w14:paraId="38D3B6EF" w14:textId="77777777" w:rsidR="00AF1E12" w:rsidRDefault="00AF1E12" w:rsidP="00760C66">
            <w:pPr>
              <w:jc w:val="right"/>
              <w:rPr>
                <w:rFonts w:ascii="Arial" w:hAnsi="Arial" w:cs="Arial"/>
                <w:sz w:val="20"/>
                <w:szCs w:val="20"/>
              </w:rPr>
            </w:pPr>
            <w:r>
              <w:rPr>
                <w:rFonts w:ascii="Arial" w:hAnsi="Arial" w:cs="Arial"/>
                <w:sz w:val="20"/>
                <w:szCs w:val="20"/>
              </w:rPr>
              <w:t>58.66%</w:t>
            </w:r>
          </w:p>
        </w:tc>
      </w:tr>
    </w:tbl>
    <w:p w14:paraId="68662D6C" w14:textId="77777777" w:rsidR="00AF1E12" w:rsidRDefault="00AF1E12" w:rsidP="00AF1E12">
      <w:pPr>
        <w:rPr>
          <w:iCs/>
        </w:rPr>
      </w:pPr>
    </w:p>
    <w:p w14:paraId="32E97854" w14:textId="77777777" w:rsidR="00AF1E12" w:rsidRPr="00AA1E56" w:rsidRDefault="00AF1E12" w:rsidP="00AF1E12">
      <w:pPr>
        <w:rPr>
          <w:iCs/>
        </w:rPr>
      </w:pPr>
    </w:p>
    <w:p w14:paraId="41B9FE2A" w14:textId="77777777" w:rsidR="00AF1E12" w:rsidRDefault="00AF1E12" w:rsidP="00AF1E12">
      <w:pPr>
        <w:rPr>
          <w:i/>
        </w:rPr>
      </w:pPr>
    </w:p>
    <w:p w14:paraId="17586E52" w14:textId="77777777" w:rsidR="00AF1E12" w:rsidRPr="00E07CF3" w:rsidRDefault="00AF1E12" w:rsidP="00AF1E12">
      <w:pPr>
        <w:rPr>
          <w:i/>
        </w:rPr>
      </w:pPr>
      <w:r w:rsidRPr="00E07CF3">
        <w:rPr>
          <w:i/>
        </w:rPr>
        <w:lastRenderedPageBreak/>
        <w:t>Appendix C</w:t>
      </w:r>
      <w:r>
        <w:rPr>
          <w:i/>
        </w:rPr>
        <w:t>3</w:t>
      </w:r>
      <w:r w:rsidRPr="00E07CF3">
        <w:rPr>
          <w:i/>
        </w:rPr>
        <w:t>: Interest Rate Projection</w:t>
      </w:r>
    </w:p>
    <w:p w14:paraId="368D0A32" w14:textId="77777777" w:rsidR="00AF1E12" w:rsidRPr="003670B8" w:rsidRDefault="00AF1E12" w:rsidP="00AF1E12">
      <w:r w:rsidRPr="003670B8">
        <w:t xml:space="preserve">We have determined an estimate for the future interest rate using an ARIMA time series model. This was done by first considering the given 1-year risk free annual spot rates for 1962-2023, adjusting for outliers using the </w:t>
      </w:r>
      <w:proofErr w:type="spellStart"/>
      <w:r w:rsidRPr="003670B8">
        <w:t>tso</w:t>
      </w:r>
      <w:proofErr w:type="spellEnd"/>
      <w:r w:rsidRPr="003670B8">
        <w:t xml:space="preserve"> function in R (outliers were 1983, 1987 and 2023). The </w:t>
      </w:r>
      <w:proofErr w:type="spellStart"/>
      <w:proofErr w:type="gramStart"/>
      <w:r w:rsidRPr="003670B8">
        <w:t>auto.arima</w:t>
      </w:r>
      <w:proofErr w:type="spellEnd"/>
      <w:proofErr w:type="gramEnd"/>
      <w:r w:rsidRPr="003670B8">
        <w:t xml:space="preserve"> function in R was then used to fit an ARIMA time series model and project the 1-year risk free annual spot rates for the next 60 years. The </w:t>
      </w:r>
      <w:proofErr w:type="gramStart"/>
      <w:r w:rsidRPr="003670B8">
        <w:t>ARIMA(</w:t>
      </w:r>
      <w:proofErr w:type="gramEnd"/>
      <w:r w:rsidRPr="003670B8">
        <w:t>0,1,1) model was selected, and the projected 1-year risk free annual spot rate for the each of next 60 years was projected to be 2.9</w:t>
      </w:r>
      <w:r>
        <w:t>7</w:t>
      </w:r>
      <w:r w:rsidRPr="003670B8">
        <w:t>%. See below for a snippet of the code used.</w:t>
      </w:r>
    </w:p>
    <w:p w14:paraId="5BCCE1CD" w14:textId="77777777" w:rsidR="00AF1E12" w:rsidRPr="003670B8" w:rsidRDefault="00AF1E12" w:rsidP="00AF1E12">
      <w:r w:rsidRPr="003670B8">
        <w:rPr>
          <w:noProof/>
        </w:rPr>
        <w:drawing>
          <wp:anchor distT="0" distB="0" distL="114300" distR="114300" simplePos="0" relativeHeight="251659264" behindDoc="0" locked="0" layoutInCell="1" allowOverlap="1" wp14:anchorId="72436F17" wp14:editId="2009C170">
            <wp:simplePos x="0" y="0"/>
            <wp:positionH relativeFrom="margin">
              <wp:posOffset>-47625</wp:posOffset>
            </wp:positionH>
            <wp:positionV relativeFrom="page">
              <wp:posOffset>2386330</wp:posOffset>
            </wp:positionV>
            <wp:extent cx="4162425" cy="2900680"/>
            <wp:effectExtent l="0" t="0" r="0" b="0"/>
            <wp:wrapTight wrapText="bothSides">
              <wp:wrapPolygon edited="0">
                <wp:start x="0" y="0"/>
                <wp:lineTo x="0" y="21420"/>
                <wp:lineTo x="21452" y="21420"/>
                <wp:lineTo x="21452" y="0"/>
                <wp:lineTo x="0" y="0"/>
              </wp:wrapPolygon>
            </wp:wrapTight>
            <wp:docPr id="371366510"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6510" name="Picture 1" descr="A computer screen with white and green text&#10;&#10;Description automatically generated"/>
                    <pic:cNvPicPr/>
                  </pic:nvPicPr>
                  <pic:blipFill>
                    <a:blip r:embed="rId5"/>
                    <a:stretch>
                      <a:fillRect/>
                    </a:stretch>
                  </pic:blipFill>
                  <pic:spPr>
                    <a:xfrm>
                      <a:off x="0" y="0"/>
                      <a:ext cx="4162425" cy="2900680"/>
                    </a:xfrm>
                    <a:prstGeom prst="rect">
                      <a:avLst/>
                    </a:prstGeom>
                  </pic:spPr>
                </pic:pic>
              </a:graphicData>
            </a:graphic>
            <wp14:sizeRelH relativeFrom="margin">
              <wp14:pctWidth>0</wp14:pctWidth>
            </wp14:sizeRelH>
            <wp14:sizeRelV relativeFrom="margin">
              <wp14:pctHeight>0</wp14:pctHeight>
            </wp14:sizeRelV>
          </wp:anchor>
        </w:drawing>
      </w:r>
    </w:p>
    <w:p w14:paraId="5DFF53CE" w14:textId="77777777" w:rsidR="00AF1E12" w:rsidRPr="003670B8" w:rsidRDefault="00AF1E12" w:rsidP="00AF1E12">
      <w:pPr>
        <w:rPr>
          <w:b/>
        </w:rPr>
      </w:pPr>
    </w:p>
    <w:p w14:paraId="273EF9FA" w14:textId="77777777" w:rsidR="00AF1E12" w:rsidRPr="003670B8" w:rsidRDefault="00AF1E12" w:rsidP="00AF1E12">
      <w:pPr>
        <w:rPr>
          <w:bCs/>
        </w:rPr>
      </w:pPr>
    </w:p>
    <w:p w14:paraId="3608B421" w14:textId="77777777" w:rsidR="00AF1E12" w:rsidRPr="003670B8" w:rsidRDefault="00AF1E12" w:rsidP="00AF1E12">
      <w:pPr>
        <w:rPr>
          <w:b/>
        </w:rPr>
      </w:pPr>
    </w:p>
    <w:p w14:paraId="06F31455" w14:textId="77777777" w:rsidR="00AF1E12" w:rsidRPr="003670B8" w:rsidRDefault="00AF1E12" w:rsidP="00AF1E12">
      <w:pPr>
        <w:rPr>
          <w:b/>
        </w:rPr>
      </w:pPr>
    </w:p>
    <w:p w14:paraId="365FB927" w14:textId="77777777" w:rsidR="00AF1E12" w:rsidRDefault="00AF1E12" w:rsidP="00AF1E12">
      <w:pPr>
        <w:rPr>
          <w:b/>
        </w:rPr>
      </w:pPr>
    </w:p>
    <w:p w14:paraId="114ED075" w14:textId="77777777" w:rsidR="00AF1E12" w:rsidRDefault="00AF1E12" w:rsidP="00AF1E12">
      <w:pPr>
        <w:rPr>
          <w:b/>
        </w:rPr>
      </w:pPr>
    </w:p>
    <w:p w14:paraId="179FD054" w14:textId="77777777" w:rsidR="00AF1E12" w:rsidRDefault="00AF1E12" w:rsidP="00AF1E12">
      <w:pPr>
        <w:rPr>
          <w:b/>
        </w:rPr>
      </w:pPr>
    </w:p>
    <w:p w14:paraId="6907E65A" w14:textId="77777777" w:rsidR="00AF1E12" w:rsidRDefault="00AF1E12" w:rsidP="00AF1E12">
      <w:pPr>
        <w:rPr>
          <w:b/>
        </w:rPr>
      </w:pPr>
    </w:p>
    <w:p w14:paraId="6F1D019B" w14:textId="77777777" w:rsidR="00AF1E12" w:rsidRDefault="00AF1E12" w:rsidP="00AF1E12">
      <w:pPr>
        <w:rPr>
          <w:b/>
        </w:rPr>
      </w:pPr>
    </w:p>
    <w:p w14:paraId="46D37B43" w14:textId="77777777" w:rsidR="00AF1E12" w:rsidRDefault="00AF1E12" w:rsidP="00AF1E12">
      <w:pPr>
        <w:rPr>
          <w:b/>
        </w:rPr>
      </w:pPr>
    </w:p>
    <w:p w14:paraId="3A2C9F2B" w14:textId="77777777" w:rsidR="00AF1E12" w:rsidRDefault="00AF1E12" w:rsidP="00AF1E12">
      <w:pPr>
        <w:rPr>
          <w:b/>
        </w:rPr>
      </w:pPr>
    </w:p>
    <w:p w14:paraId="5CE308B0" w14:textId="77777777" w:rsidR="00AF1E12" w:rsidRDefault="00AF1E12" w:rsidP="00AF1E12">
      <w:pPr>
        <w:rPr>
          <w:b/>
        </w:rPr>
      </w:pPr>
    </w:p>
    <w:p w14:paraId="0CD14080" w14:textId="77777777" w:rsidR="00AF1E12" w:rsidRDefault="00AF1E12" w:rsidP="00AF1E12">
      <w:pPr>
        <w:rPr>
          <w:b/>
        </w:rPr>
      </w:pPr>
    </w:p>
    <w:p w14:paraId="52A42BF1" w14:textId="77777777" w:rsidR="00AF1E12" w:rsidRDefault="00AF1E12" w:rsidP="00AF1E12">
      <w:pPr>
        <w:rPr>
          <w:b/>
        </w:rPr>
      </w:pPr>
    </w:p>
    <w:p w14:paraId="7F36944A" w14:textId="77777777" w:rsidR="00AF1E12" w:rsidRDefault="00AF1E12" w:rsidP="00AF1E12">
      <w:pPr>
        <w:rPr>
          <w:b/>
        </w:rPr>
      </w:pPr>
    </w:p>
    <w:p w14:paraId="6BE3CF9E" w14:textId="77777777" w:rsidR="00AF1E12" w:rsidRDefault="00AF1E12" w:rsidP="00AF1E12">
      <w:pPr>
        <w:rPr>
          <w:i/>
        </w:rPr>
      </w:pPr>
    </w:p>
    <w:p w14:paraId="1DA0E09A" w14:textId="77777777" w:rsidR="00AF1E12" w:rsidRDefault="00AF1E12" w:rsidP="00AF1E12">
      <w:pPr>
        <w:rPr>
          <w:i/>
        </w:rPr>
      </w:pPr>
    </w:p>
    <w:p w14:paraId="3FD545B1" w14:textId="77777777" w:rsidR="00AF1E12" w:rsidRDefault="00AF1E12" w:rsidP="00AF1E12">
      <w:pPr>
        <w:rPr>
          <w:i/>
        </w:rPr>
      </w:pPr>
    </w:p>
    <w:p w14:paraId="73DF77A8" w14:textId="77777777" w:rsidR="00AF1E12" w:rsidRDefault="00AF1E12" w:rsidP="00AF1E12">
      <w:pPr>
        <w:rPr>
          <w:i/>
        </w:rPr>
      </w:pPr>
    </w:p>
    <w:p w14:paraId="5EFE587F" w14:textId="77777777" w:rsidR="00AF1E12" w:rsidRDefault="00AF1E12" w:rsidP="00AF1E12">
      <w:pPr>
        <w:rPr>
          <w:i/>
        </w:rPr>
      </w:pPr>
    </w:p>
    <w:p w14:paraId="5E95F2B3" w14:textId="77777777" w:rsidR="00AF1E12" w:rsidRDefault="00AF1E12" w:rsidP="00AF1E12">
      <w:pPr>
        <w:rPr>
          <w:i/>
        </w:rPr>
      </w:pPr>
    </w:p>
    <w:p w14:paraId="398CB2D1" w14:textId="77777777" w:rsidR="00AF1E12" w:rsidRDefault="00AF1E12" w:rsidP="00AF1E12">
      <w:pPr>
        <w:rPr>
          <w:i/>
        </w:rPr>
      </w:pPr>
    </w:p>
    <w:p w14:paraId="65B4C414" w14:textId="77777777" w:rsidR="00AF1E12" w:rsidRDefault="00AF1E12" w:rsidP="00AF1E12">
      <w:pPr>
        <w:rPr>
          <w:i/>
        </w:rPr>
      </w:pPr>
    </w:p>
    <w:p w14:paraId="62D33065" w14:textId="77777777" w:rsidR="00AF1E12" w:rsidRDefault="00AF1E12" w:rsidP="00AF1E12">
      <w:pPr>
        <w:rPr>
          <w:i/>
        </w:rPr>
      </w:pPr>
    </w:p>
    <w:p w14:paraId="5AF47991" w14:textId="77777777" w:rsidR="00AF1E12" w:rsidRDefault="00AF1E12" w:rsidP="00AF1E12">
      <w:pPr>
        <w:rPr>
          <w:i/>
        </w:rPr>
      </w:pPr>
    </w:p>
    <w:p w14:paraId="6FE89893" w14:textId="77777777" w:rsidR="00AF1E12" w:rsidRDefault="00AF1E12" w:rsidP="00AF1E12">
      <w:pPr>
        <w:rPr>
          <w:i/>
        </w:rPr>
      </w:pPr>
    </w:p>
    <w:p w14:paraId="493224A1" w14:textId="77777777" w:rsidR="00AF1E12" w:rsidRDefault="00AF1E12" w:rsidP="00AF1E12">
      <w:pPr>
        <w:rPr>
          <w:i/>
        </w:rPr>
      </w:pPr>
    </w:p>
    <w:p w14:paraId="23B41D9D" w14:textId="77777777" w:rsidR="00AF1E12" w:rsidRDefault="00AF1E12" w:rsidP="00AF1E12">
      <w:pPr>
        <w:rPr>
          <w:i/>
        </w:rPr>
      </w:pPr>
    </w:p>
    <w:p w14:paraId="4FE0E3CE" w14:textId="77777777" w:rsidR="00AF1E12" w:rsidRDefault="00AF1E12" w:rsidP="00AF1E12">
      <w:pPr>
        <w:rPr>
          <w:i/>
        </w:rPr>
      </w:pPr>
    </w:p>
    <w:p w14:paraId="01903287" w14:textId="77777777" w:rsidR="00AF1E12" w:rsidRDefault="00AF1E12" w:rsidP="00AF1E12">
      <w:pPr>
        <w:rPr>
          <w:i/>
        </w:rPr>
      </w:pPr>
    </w:p>
    <w:p w14:paraId="13EF0C9C" w14:textId="77777777" w:rsidR="00AF1E12" w:rsidRDefault="00AF1E12" w:rsidP="00AF1E12">
      <w:pPr>
        <w:rPr>
          <w:i/>
        </w:rPr>
      </w:pPr>
    </w:p>
    <w:p w14:paraId="54C36C8D" w14:textId="77777777" w:rsidR="00AF1E12" w:rsidRDefault="00AF1E12" w:rsidP="00AF1E12">
      <w:pPr>
        <w:rPr>
          <w:i/>
        </w:rPr>
      </w:pPr>
    </w:p>
    <w:p w14:paraId="6828452F" w14:textId="77777777" w:rsidR="00AF1E12" w:rsidRDefault="00AF1E12" w:rsidP="00AF1E12">
      <w:pPr>
        <w:rPr>
          <w:i/>
        </w:rPr>
      </w:pPr>
    </w:p>
    <w:p w14:paraId="6BF30A11" w14:textId="77777777" w:rsidR="00AF1E12" w:rsidRDefault="00AF1E12" w:rsidP="00AF1E12">
      <w:pPr>
        <w:rPr>
          <w:i/>
        </w:rPr>
      </w:pPr>
    </w:p>
    <w:p w14:paraId="65D620E4" w14:textId="77777777" w:rsidR="00AF1E12" w:rsidRDefault="00AF1E12" w:rsidP="00AF1E12">
      <w:pPr>
        <w:rPr>
          <w:i/>
        </w:rPr>
      </w:pPr>
    </w:p>
    <w:p w14:paraId="62B8A843" w14:textId="77777777" w:rsidR="00AF1E12" w:rsidRDefault="00AF1E12" w:rsidP="00AF1E12">
      <w:pPr>
        <w:rPr>
          <w:i/>
        </w:rPr>
      </w:pPr>
    </w:p>
    <w:p w14:paraId="611BFF95" w14:textId="77777777" w:rsidR="00AF1E12" w:rsidRDefault="00AF1E12" w:rsidP="00AF1E12">
      <w:pPr>
        <w:rPr>
          <w:i/>
        </w:rPr>
      </w:pPr>
    </w:p>
    <w:p w14:paraId="0A28F0E4" w14:textId="77777777" w:rsidR="00AF1E12" w:rsidRDefault="00AF1E12" w:rsidP="00AF1E12">
      <w:pPr>
        <w:rPr>
          <w:iCs/>
        </w:rPr>
      </w:pPr>
      <w:r w:rsidRPr="00E07CF3">
        <w:rPr>
          <w:i/>
        </w:rPr>
        <w:lastRenderedPageBreak/>
        <w:t>Appendix C</w:t>
      </w:r>
      <w:r>
        <w:rPr>
          <w:i/>
        </w:rPr>
        <w:t>4</w:t>
      </w:r>
      <w:r w:rsidRPr="00E07CF3">
        <w:rPr>
          <w:i/>
        </w:rPr>
        <w:t xml:space="preserve">: </w:t>
      </w:r>
      <w:r>
        <w:rPr>
          <w:i/>
        </w:rPr>
        <w:t>Population Projection</w:t>
      </w:r>
    </w:p>
    <w:p w14:paraId="5FAE14AC" w14:textId="77777777" w:rsidR="00AF1E12" w:rsidRDefault="00AF1E12" w:rsidP="00AF1E12">
      <w:pPr>
        <w:rPr>
          <w:iCs/>
        </w:rPr>
      </w:pPr>
      <w:r>
        <w:rPr>
          <w:iCs/>
        </w:rPr>
        <w:t xml:space="preserve">To have confidence in our hypothesis that </w:t>
      </w:r>
      <w:proofErr w:type="spellStart"/>
      <w:r>
        <w:rPr>
          <w:iCs/>
        </w:rPr>
        <w:t>Lumaria</w:t>
      </w:r>
      <w:proofErr w:type="spellEnd"/>
      <w:r>
        <w:rPr>
          <w:iCs/>
        </w:rPr>
        <w:t xml:space="preserve"> would experience the phenomenon of an aging population over the duration of </w:t>
      </w:r>
      <w:proofErr w:type="spellStart"/>
      <w:proofErr w:type="gramStart"/>
      <w:r>
        <w:rPr>
          <w:iCs/>
        </w:rPr>
        <w:t>it’s</w:t>
      </w:r>
      <w:proofErr w:type="spellEnd"/>
      <w:proofErr w:type="gramEnd"/>
      <w:r>
        <w:rPr>
          <w:iCs/>
        </w:rPr>
        <w:t xml:space="preserve"> programs, we developed a crude procedure to project the population in 20 </w:t>
      </w:r>
      <w:proofErr w:type="spellStart"/>
      <w:r>
        <w:rPr>
          <w:iCs/>
        </w:rPr>
        <w:t>years time</w:t>
      </w:r>
      <w:proofErr w:type="spellEnd"/>
      <w:r>
        <w:rPr>
          <w:iCs/>
        </w:rPr>
        <w:t xml:space="preserve">, as well as, the population distribution across all ages. </w:t>
      </w:r>
    </w:p>
    <w:p w14:paraId="345BED04" w14:textId="77777777" w:rsidR="00AF1E12" w:rsidRDefault="00AF1E12" w:rsidP="00AF1E12">
      <w:pPr>
        <w:rPr>
          <w:iCs/>
        </w:rPr>
      </w:pPr>
    </w:p>
    <w:p w14:paraId="45A086D3" w14:textId="77777777" w:rsidR="00AF1E12" w:rsidRDefault="00AF1E12" w:rsidP="00AF1E12">
      <w:pPr>
        <w:rPr>
          <w:iCs/>
        </w:rPr>
      </w:pPr>
      <w:r>
        <w:rPr>
          <w:iCs/>
        </w:rPr>
        <w:t xml:space="preserve">This was done by considering the </w:t>
      </w:r>
      <w:proofErr w:type="spellStart"/>
      <w:r>
        <w:rPr>
          <w:iCs/>
        </w:rPr>
        <w:t>Lumarian</w:t>
      </w:r>
      <w:proofErr w:type="spellEnd"/>
      <w:r>
        <w:rPr>
          <w:iCs/>
        </w:rPr>
        <w:t xml:space="preserve"> mortality table and the distribution of ages given in the Encyclopedia. The distribution at each specific age within an age group was then determined by considering a hypothetical cohort at the start </w:t>
      </w:r>
      <w:proofErr w:type="gramStart"/>
      <w:r>
        <w:rPr>
          <w:iCs/>
        </w:rPr>
        <w:t>age, and</w:t>
      </w:r>
      <w:proofErr w:type="gramEnd"/>
      <w:r>
        <w:rPr>
          <w:iCs/>
        </w:rPr>
        <w:t xml:space="preserve"> using the mortality rates to obtain relative population proportions at each age within the group. This gave us an estimate for the current population distribution at every age, and ultimately the population at every age, using the total </w:t>
      </w:r>
      <w:proofErr w:type="spellStart"/>
      <w:r>
        <w:rPr>
          <w:iCs/>
        </w:rPr>
        <w:t>Lumarian</w:t>
      </w:r>
      <w:proofErr w:type="spellEnd"/>
      <w:r>
        <w:rPr>
          <w:iCs/>
        </w:rPr>
        <w:t xml:space="preserve"> population. Considering a </w:t>
      </w:r>
      <w:proofErr w:type="gramStart"/>
      <w:r>
        <w:rPr>
          <w:iCs/>
        </w:rPr>
        <w:t>20 year</w:t>
      </w:r>
      <w:proofErr w:type="gramEnd"/>
      <w:r>
        <w:rPr>
          <w:iCs/>
        </w:rPr>
        <w:t xml:space="preserve"> time horizon, we were able to use the </w:t>
      </w:r>
      <w:proofErr w:type="spellStart"/>
      <w:r>
        <w:rPr>
          <w:iCs/>
        </w:rPr>
        <w:t>Lumarian</w:t>
      </w:r>
      <w:proofErr w:type="spellEnd"/>
      <w:r>
        <w:rPr>
          <w:iCs/>
        </w:rPr>
        <w:t xml:space="preserve"> mortality table to project the future population at every age 20 and older, adopting the assumption that </w:t>
      </w:r>
      <w:proofErr w:type="spellStart"/>
      <w:r>
        <w:rPr>
          <w:iCs/>
        </w:rPr>
        <w:t>Lumaria</w:t>
      </w:r>
      <w:proofErr w:type="spellEnd"/>
      <w:r>
        <w:rPr>
          <w:iCs/>
        </w:rPr>
        <w:t xml:space="preserve"> has no net migration. To obtain an approximation for the population below 20, we used the same relative proportions of population at ages below 20 to population of age 20. From this, we obtained a projection for the population and population distribution, as seen below. </w:t>
      </w:r>
    </w:p>
    <w:p w14:paraId="3A61145C" w14:textId="77777777" w:rsidR="00AF1E12" w:rsidRDefault="00AF1E12" w:rsidP="00AF1E12">
      <w:pPr>
        <w:rPr>
          <w:iC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222"/>
        <w:gridCol w:w="1985"/>
        <w:gridCol w:w="1174"/>
        <w:gridCol w:w="2418"/>
        <w:gridCol w:w="2268"/>
      </w:tblGrid>
      <w:tr w:rsidR="00AF1E12" w14:paraId="399DEE77" w14:textId="77777777" w:rsidTr="00760C66">
        <w:trPr>
          <w:trHeight w:val="285"/>
        </w:trPr>
        <w:tc>
          <w:tcPr>
            <w:tcW w:w="1271" w:type="dxa"/>
            <w:shd w:val="clear" w:color="auto" w:fill="156082" w:themeFill="accent1"/>
          </w:tcPr>
          <w:p w14:paraId="3956E0BE" w14:textId="77777777" w:rsidR="00AF1E12" w:rsidRDefault="00AF1E12" w:rsidP="00760C66">
            <w:pPr>
              <w:rPr>
                <w:rFonts w:ascii="Calibri Light" w:hAnsi="Calibri Light" w:cs="Calibri Light"/>
                <w:color w:val="FFFFFF" w:themeColor="background1"/>
                <w:sz w:val="22"/>
                <w:szCs w:val="22"/>
              </w:rPr>
            </w:pPr>
          </w:p>
          <w:p w14:paraId="54F8B243" w14:textId="77777777" w:rsidR="00AF1E12" w:rsidRPr="004A59D2" w:rsidRDefault="00AF1E12" w:rsidP="00760C66">
            <w:pPr>
              <w:rPr>
                <w:rFonts w:ascii="Calibri Light" w:hAnsi="Calibri Light" w:cs="Calibri Light"/>
                <w:color w:val="FFFFFF" w:themeColor="background1"/>
                <w:sz w:val="22"/>
                <w:szCs w:val="22"/>
              </w:rPr>
            </w:pPr>
            <w:r w:rsidRPr="004A59D2">
              <w:rPr>
                <w:rFonts w:ascii="Calibri Light" w:hAnsi="Calibri Light" w:cs="Calibri Light"/>
                <w:color w:val="FFFFFF" w:themeColor="background1"/>
                <w:sz w:val="22"/>
                <w:szCs w:val="22"/>
              </w:rPr>
              <w:t>Age Group</w:t>
            </w:r>
          </w:p>
        </w:tc>
        <w:tc>
          <w:tcPr>
            <w:tcW w:w="1985" w:type="dxa"/>
            <w:shd w:val="clear" w:color="auto" w:fill="156082" w:themeFill="accent1"/>
            <w:noWrap/>
            <w:vAlign w:val="bottom"/>
            <w:hideMark/>
          </w:tcPr>
          <w:p w14:paraId="63DB9AFD" w14:textId="77777777" w:rsidR="00AF1E12" w:rsidRPr="004A59D2" w:rsidRDefault="00AF1E12" w:rsidP="00760C66">
            <w:pPr>
              <w:rPr>
                <w:rFonts w:ascii="Calibri Light" w:hAnsi="Calibri Light" w:cs="Calibri Light"/>
                <w:color w:val="FFFFFF" w:themeColor="background1"/>
                <w:sz w:val="22"/>
                <w:szCs w:val="22"/>
              </w:rPr>
            </w:pPr>
            <w:r w:rsidRPr="004A59D2">
              <w:rPr>
                <w:rFonts w:ascii="Calibri Light" w:hAnsi="Calibri Light" w:cs="Calibri Light"/>
                <w:color w:val="FFFFFF" w:themeColor="background1"/>
                <w:sz w:val="22"/>
                <w:szCs w:val="22"/>
              </w:rPr>
              <w:t xml:space="preserve">Current Population </w:t>
            </w:r>
          </w:p>
        </w:tc>
        <w:tc>
          <w:tcPr>
            <w:tcW w:w="1007" w:type="dxa"/>
            <w:shd w:val="clear" w:color="auto" w:fill="156082" w:themeFill="accent1"/>
            <w:noWrap/>
            <w:vAlign w:val="bottom"/>
            <w:hideMark/>
          </w:tcPr>
          <w:p w14:paraId="7AD5D644" w14:textId="77777777" w:rsidR="00AF1E12" w:rsidRPr="004A59D2" w:rsidRDefault="00AF1E12" w:rsidP="00760C66">
            <w:pPr>
              <w:rPr>
                <w:rFonts w:ascii="Calibri Light" w:hAnsi="Calibri Light" w:cs="Calibri Light"/>
                <w:color w:val="FFFFFF" w:themeColor="background1"/>
                <w:sz w:val="22"/>
                <w:szCs w:val="22"/>
              </w:rPr>
            </w:pPr>
            <w:r w:rsidRPr="004A59D2">
              <w:rPr>
                <w:rFonts w:ascii="Calibri Light" w:hAnsi="Calibri Light" w:cs="Calibri Light"/>
                <w:color w:val="FFFFFF" w:themeColor="background1"/>
                <w:sz w:val="22"/>
                <w:szCs w:val="22"/>
              </w:rPr>
              <w:t>Proportion</w:t>
            </w:r>
          </w:p>
        </w:tc>
        <w:tc>
          <w:tcPr>
            <w:tcW w:w="2536" w:type="dxa"/>
            <w:shd w:val="clear" w:color="auto" w:fill="156082" w:themeFill="accent1"/>
          </w:tcPr>
          <w:p w14:paraId="7889E04B" w14:textId="77777777" w:rsidR="00AF1E12" w:rsidRDefault="00AF1E12" w:rsidP="00760C66">
            <w:pPr>
              <w:rPr>
                <w:rFonts w:ascii="Calibri Light" w:hAnsi="Calibri Light" w:cs="Calibri Light"/>
                <w:color w:val="FFFFFF" w:themeColor="background1"/>
                <w:sz w:val="22"/>
                <w:szCs w:val="22"/>
              </w:rPr>
            </w:pPr>
          </w:p>
          <w:p w14:paraId="5C6E852C" w14:textId="77777777" w:rsidR="00AF1E12" w:rsidRPr="004A59D2" w:rsidRDefault="00AF1E12" w:rsidP="00760C66">
            <w:pPr>
              <w:rPr>
                <w:rFonts w:ascii="Calibri Light" w:hAnsi="Calibri Light" w:cs="Calibri Light"/>
                <w:color w:val="FFFFFF" w:themeColor="background1"/>
                <w:sz w:val="22"/>
                <w:szCs w:val="22"/>
              </w:rPr>
            </w:pPr>
            <w:r w:rsidRPr="004A59D2">
              <w:rPr>
                <w:rFonts w:ascii="Calibri Light" w:hAnsi="Calibri Light" w:cs="Calibri Light"/>
                <w:color w:val="FFFFFF" w:themeColor="background1"/>
                <w:sz w:val="22"/>
                <w:szCs w:val="22"/>
              </w:rPr>
              <w:t>Population in 20 Years</w:t>
            </w:r>
          </w:p>
        </w:tc>
        <w:tc>
          <w:tcPr>
            <w:tcW w:w="2268" w:type="dxa"/>
            <w:shd w:val="clear" w:color="auto" w:fill="156082" w:themeFill="accent1"/>
            <w:noWrap/>
            <w:vAlign w:val="bottom"/>
            <w:hideMark/>
          </w:tcPr>
          <w:p w14:paraId="16F7C06E" w14:textId="77777777" w:rsidR="00AF1E12" w:rsidRPr="004A59D2" w:rsidRDefault="00AF1E12" w:rsidP="00760C66">
            <w:pPr>
              <w:rPr>
                <w:rFonts w:ascii="Calibri Light" w:hAnsi="Calibri Light" w:cs="Calibri Light"/>
                <w:color w:val="FFFFFF" w:themeColor="background1"/>
                <w:sz w:val="22"/>
                <w:szCs w:val="22"/>
              </w:rPr>
            </w:pPr>
            <w:r w:rsidRPr="004A59D2">
              <w:rPr>
                <w:rFonts w:ascii="Calibri Light" w:hAnsi="Calibri Light" w:cs="Calibri Light"/>
                <w:color w:val="FFFFFF" w:themeColor="background1"/>
                <w:sz w:val="22"/>
                <w:szCs w:val="22"/>
              </w:rPr>
              <w:t>Proportion in 20 Years</w:t>
            </w:r>
          </w:p>
        </w:tc>
      </w:tr>
      <w:tr w:rsidR="00AF1E12" w14:paraId="03ECA82E" w14:textId="77777777" w:rsidTr="00760C66">
        <w:trPr>
          <w:trHeight w:val="285"/>
        </w:trPr>
        <w:tc>
          <w:tcPr>
            <w:tcW w:w="1271" w:type="dxa"/>
          </w:tcPr>
          <w:p w14:paraId="7AD20F0A"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0-14</w:t>
            </w:r>
          </w:p>
        </w:tc>
        <w:tc>
          <w:tcPr>
            <w:tcW w:w="1985" w:type="dxa"/>
            <w:noWrap/>
            <w:vAlign w:val="bottom"/>
            <w:hideMark/>
          </w:tcPr>
          <w:p w14:paraId="6797DB3B"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18,415,532</w:t>
            </w:r>
          </w:p>
        </w:tc>
        <w:tc>
          <w:tcPr>
            <w:tcW w:w="1007" w:type="dxa"/>
            <w:noWrap/>
            <w:vAlign w:val="bottom"/>
            <w:hideMark/>
          </w:tcPr>
          <w:p w14:paraId="47C25627"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20%</w:t>
            </w:r>
          </w:p>
        </w:tc>
        <w:tc>
          <w:tcPr>
            <w:tcW w:w="2536" w:type="dxa"/>
          </w:tcPr>
          <w:p w14:paraId="056FE958"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13,596,513</w:t>
            </w:r>
          </w:p>
        </w:tc>
        <w:tc>
          <w:tcPr>
            <w:tcW w:w="2268" w:type="dxa"/>
            <w:noWrap/>
            <w:vAlign w:val="bottom"/>
            <w:hideMark/>
          </w:tcPr>
          <w:p w14:paraId="315779E9"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7%</w:t>
            </w:r>
          </w:p>
        </w:tc>
      </w:tr>
      <w:tr w:rsidR="00AF1E12" w14:paraId="709EEB90" w14:textId="77777777" w:rsidTr="00760C66">
        <w:trPr>
          <w:trHeight w:val="285"/>
        </w:trPr>
        <w:tc>
          <w:tcPr>
            <w:tcW w:w="1271" w:type="dxa"/>
          </w:tcPr>
          <w:p w14:paraId="28FC9998"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15-24</w:t>
            </w:r>
          </w:p>
        </w:tc>
        <w:tc>
          <w:tcPr>
            <w:tcW w:w="1985" w:type="dxa"/>
            <w:noWrap/>
            <w:vAlign w:val="bottom"/>
            <w:hideMark/>
          </w:tcPr>
          <w:p w14:paraId="7D9D2E7D"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16,573,979</w:t>
            </w:r>
          </w:p>
        </w:tc>
        <w:tc>
          <w:tcPr>
            <w:tcW w:w="1007" w:type="dxa"/>
            <w:noWrap/>
            <w:vAlign w:val="bottom"/>
            <w:hideMark/>
          </w:tcPr>
          <w:p w14:paraId="120D5C30"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18%</w:t>
            </w:r>
          </w:p>
        </w:tc>
        <w:tc>
          <w:tcPr>
            <w:tcW w:w="2536" w:type="dxa"/>
          </w:tcPr>
          <w:p w14:paraId="25964AC5"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12,236,861</w:t>
            </w:r>
          </w:p>
        </w:tc>
        <w:tc>
          <w:tcPr>
            <w:tcW w:w="2268" w:type="dxa"/>
            <w:noWrap/>
            <w:vAlign w:val="bottom"/>
            <w:hideMark/>
          </w:tcPr>
          <w:p w14:paraId="11BF3D4A"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6%</w:t>
            </w:r>
          </w:p>
        </w:tc>
      </w:tr>
      <w:tr w:rsidR="00AF1E12" w14:paraId="1CB32AE8" w14:textId="77777777" w:rsidTr="00760C66">
        <w:trPr>
          <w:trHeight w:val="285"/>
        </w:trPr>
        <w:tc>
          <w:tcPr>
            <w:tcW w:w="1271" w:type="dxa"/>
          </w:tcPr>
          <w:p w14:paraId="1BBFEF8C"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25-54</w:t>
            </w:r>
          </w:p>
        </w:tc>
        <w:tc>
          <w:tcPr>
            <w:tcW w:w="1985" w:type="dxa"/>
            <w:noWrap/>
            <w:vAlign w:val="bottom"/>
            <w:hideMark/>
          </w:tcPr>
          <w:p w14:paraId="2D5587A1"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42,355,723</w:t>
            </w:r>
          </w:p>
        </w:tc>
        <w:tc>
          <w:tcPr>
            <w:tcW w:w="1007" w:type="dxa"/>
            <w:noWrap/>
            <w:vAlign w:val="bottom"/>
            <w:hideMark/>
          </w:tcPr>
          <w:p w14:paraId="4541070D"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46%</w:t>
            </w:r>
          </w:p>
        </w:tc>
        <w:tc>
          <w:tcPr>
            <w:tcW w:w="2536" w:type="dxa"/>
          </w:tcPr>
          <w:p w14:paraId="6AB85636"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42,399,278</w:t>
            </w:r>
          </w:p>
        </w:tc>
        <w:tc>
          <w:tcPr>
            <w:tcW w:w="2268" w:type="dxa"/>
            <w:noWrap/>
            <w:vAlign w:val="bottom"/>
            <w:hideMark/>
          </w:tcPr>
          <w:p w14:paraId="3CD04350"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21%</w:t>
            </w:r>
          </w:p>
        </w:tc>
      </w:tr>
      <w:tr w:rsidR="00AF1E12" w14:paraId="40632DC7" w14:textId="77777777" w:rsidTr="00760C66">
        <w:trPr>
          <w:trHeight w:val="285"/>
        </w:trPr>
        <w:tc>
          <w:tcPr>
            <w:tcW w:w="1271" w:type="dxa"/>
          </w:tcPr>
          <w:p w14:paraId="2081CDC4"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55-64</w:t>
            </w:r>
          </w:p>
        </w:tc>
        <w:tc>
          <w:tcPr>
            <w:tcW w:w="1985" w:type="dxa"/>
            <w:noWrap/>
            <w:vAlign w:val="bottom"/>
            <w:hideMark/>
          </w:tcPr>
          <w:p w14:paraId="2EBF969F"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11,049,319</w:t>
            </w:r>
          </w:p>
        </w:tc>
        <w:tc>
          <w:tcPr>
            <w:tcW w:w="1007" w:type="dxa"/>
            <w:noWrap/>
            <w:vAlign w:val="bottom"/>
            <w:hideMark/>
          </w:tcPr>
          <w:p w14:paraId="07021101"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12%</w:t>
            </w:r>
          </w:p>
        </w:tc>
        <w:tc>
          <w:tcPr>
            <w:tcW w:w="2536" w:type="dxa"/>
          </w:tcPr>
          <w:p w14:paraId="75531286"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13,215,720</w:t>
            </w:r>
          </w:p>
        </w:tc>
        <w:tc>
          <w:tcPr>
            <w:tcW w:w="2268" w:type="dxa"/>
            <w:noWrap/>
            <w:vAlign w:val="bottom"/>
            <w:hideMark/>
          </w:tcPr>
          <w:p w14:paraId="0EFAA39B"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7%</w:t>
            </w:r>
          </w:p>
        </w:tc>
      </w:tr>
      <w:tr w:rsidR="00AF1E12" w14:paraId="7D8C0268" w14:textId="77777777" w:rsidTr="00760C66">
        <w:trPr>
          <w:trHeight w:val="285"/>
        </w:trPr>
        <w:tc>
          <w:tcPr>
            <w:tcW w:w="1271" w:type="dxa"/>
          </w:tcPr>
          <w:p w14:paraId="37DFF52C"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65-120</w:t>
            </w:r>
          </w:p>
        </w:tc>
        <w:tc>
          <w:tcPr>
            <w:tcW w:w="1985" w:type="dxa"/>
            <w:noWrap/>
            <w:vAlign w:val="bottom"/>
            <w:hideMark/>
          </w:tcPr>
          <w:p w14:paraId="25CD7692"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3,683,106</w:t>
            </w:r>
          </w:p>
        </w:tc>
        <w:tc>
          <w:tcPr>
            <w:tcW w:w="1007" w:type="dxa"/>
            <w:noWrap/>
            <w:vAlign w:val="bottom"/>
            <w:hideMark/>
          </w:tcPr>
          <w:p w14:paraId="564A93DB"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4%</w:t>
            </w:r>
          </w:p>
        </w:tc>
        <w:tc>
          <w:tcPr>
            <w:tcW w:w="2536" w:type="dxa"/>
          </w:tcPr>
          <w:p w14:paraId="06172A14"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18,972,887</w:t>
            </w:r>
          </w:p>
        </w:tc>
        <w:tc>
          <w:tcPr>
            <w:tcW w:w="2268" w:type="dxa"/>
            <w:noWrap/>
            <w:vAlign w:val="bottom"/>
            <w:hideMark/>
          </w:tcPr>
          <w:p w14:paraId="41B5FBDC"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9%</w:t>
            </w:r>
          </w:p>
        </w:tc>
      </w:tr>
      <w:tr w:rsidR="00AF1E12" w14:paraId="0F815EE5" w14:textId="77777777" w:rsidTr="00760C66">
        <w:trPr>
          <w:trHeight w:val="285"/>
        </w:trPr>
        <w:tc>
          <w:tcPr>
            <w:tcW w:w="1271" w:type="dxa"/>
          </w:tcPr>
          <w:p w14:paraId="7F4547AA"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Total</w:t>
            </w:r>
          </w:p>
        </w:tc>
        <w:tc>
          <w:tcPr>
            <w:tcW w:w="1985" w:type="dxa"/>
            <w:noWrap/>
            <w:vAlign w:val="bottom"/>
            <w:hideMark/>
          </w:tcPr>
          <w:p w14:paraId="1FDB3694"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92,077,659</w:t>
            </w:r>
          </w:p>
        </w:tc>
        <w:tc>
          <w:tcPr>
            <w:tcW w:w="1007" w:type="dxa"/>
            <w:noWrap/>
            <w:vAlign w:val="bottom"/>
            <w:hideMark/>
          </w:tcPr>
          <w:p w14:paraId="37C97BF2"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100%</w:t>
            </w:r>
          </w:p>
        </w:tc>
        <w:tc>
          <w:tcPr>
            <w:tcW w:w="2536" w:type="dxa"/>
          </w:tcPr>
          <w:p w14:paraId="47A4C4E3"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100,421,368</w:t>
            </w:r>
          </w:p>
        </w:tc>
        <w:tc>
          <w:tcPr>
            <w:tcW w:w="2268" w:type="dxa"/>
            <w:noWrap/>
            <w:vAlign w:val="bottom"/>
            <w:hideMark/>
          </w:tcPr>
          <w:p w14:paraId="1722075E" w14:textId="77777777" w:rsidR="00AF1E12" w:rsidRDefault="00AF1E12" w:rsidP="00760C66">
            <w:pPr>
              <w:jc w:val="right"/>
              <w:rPr>
                <w:rFonts w:ascii="Calibri Light" w:hAnsi="Calibri Light" w:cs="Calibri Light"/>
                <w:color w:val="000000"/>
                <w:sz w:val="22"/>
                <w:szCs w:val="22"/>
              </w:rPr>
            </w:pPr>
            <w:r>
              <w:rPr>
                <w:rFonts w:ascii="Calibri Light" w:hAnsi="Calibri Light" w:cs="Calibri Light"/>
                <w:color w:val="000000"/>
                <w:sz w:val="22"/>
                <w:szCs w:val="22"/>
              </w:rPr>
              <w:t>100%</w:t>
            </w:r>
          </w:p>
        </w:tc>
      </w:tr>
    </w:tbl>
    <w:p w14:paraId="71221E14" w14:textId="77777777" w:rsidR="00AF1E12" w:rsidRPr="005D4096" w:rsidRDefault="00AF1E12" w:rsidP="00AF1E12">
      <w:pPr>
        <w:rPr>
          <w:iCs/>
        </w:rPr>
      </w:pPr>
    </w:p>
    <w:p w14:paraId="44E8C985" w14:textId="77777777" w:rsidR="00AF1E12" w:rsidRPr="004A59D2" w:rsidRDefault="00AF1E12" w:rsidP="00AF1E12">
      <w:pPr>
        <w:rPr>
          <w:bCs/>
        </w:rPr>
      </w:pPr>
      <w:r>
        <w:rPr>
          <w:bCs/>
        </w:rPr>
        <w:t xml:space="preserve">While this projection method has made several major assumptions, it clearly confirms the future trend of an aging population in </w:t>
      </w:r>
      <w:proofErr w:type="spellStart"/>
      <w:r>
        <w:rPr>
          <w:bCs/>
        </w:rPr>
        <w:t>Lumaria</w:t>
      </w:r>
      <w:proofErr w:type="spellEnd"/>
      <w:r>
        <w:rPr>
          <w:bCs/>
        </w:rPr>
        <w:t xml:space="preserve">, a consideration that impacted our life insurance offerings and program design. </w:t>
      </w:r>
    </w:p>
    <w:p w14:paraId="476CF020" w14:textId="77777777" w:rsidR="003C4D8B" w:rsidRDefault="003C4D8B"/>
    <w:sectPr w:rsidR="003C4D8B" w:rsidSect="00AF1E12">
      <w:footerReference w:type="even" r:id="rId6"/>
      <w:footerReference w:type="defaul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8872115"/>
      <w:docPartObj>
        <w:docPartGallery w:val="Page Numbers (Bottom of Page)"/>
        <w:docPartUnique/>
      </w:docPartObj>
    </w:sdtPr>
    <w:sdtEndPr>
      <w:rPr>
        <w:rStyle w:val="PageNumber"/>
      </w:rPr>
    </w:sdtEndPr>
    <w:sdtContent>
      <w:p w14:paraId="314EB7BC" w14:textId="77777777" w:rsidR="00AF1E12" w:rsidRPr="003670B8" w:rsidRDefault="00AF1E12">
        <w:pPr>
          <w:pStyle w:val="Footer"/>
          <w:framePr w:wrap="none" w:vAnchor="text" w:hAnchor="margin" w:xAlign="right" w:y="1"/>
          <w:rPr>
            <w:rStyle w:val="PageNumber"/>
          </w:rPr>
        </w:pPr>
        <w:r w:rsidRPr="003670B8">
          <w:rPr>
            <w:rStyle w:val="PageNumber"/>
          </w:rPr>
          <w:fldChar w:fldCharType="begin"/>
        </w:r>
        <w:r w:rsidRPr="003670B8">
          <w:rPr>
            <w:rStyle w:val="PageNumber"/>
          </w:rPr>
          <w:instrText xml:space="preserve"> PAGE </w:instrText>
        </w:r>
        <w:r w:rsidRPr="003670B8">
          <w:rPr>
            <w:rStyle w:val="PageNumber"/>
          </w:rPr>
          <w:fldChar w:fldCharType="end"/>
        </w:r>
      </w:p>
    </w:sdtContent>
  </w:sdt>
  <w:p w14:paraId="33EB7D2A" w14:textId="77777777" w:rsidR="00AF1E12" w:rsidRDefault="00AF1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6070587"/>
      <w:docPartObj>
        <w:docPartGallery w:val="Page Numbers (Bottom of Page)"/>
        <w:docPartUnique/>
      </w:docPartObj>
    </w:sdtPr>
    <w:sdtEndPr>
      <w:rPr>
        <w:rStyle w:val="PageNumber"/>
      </w:rPr>
    </w:sdtEndPr>
    <w:sdtContent>
      <w:p w14:paraId="2B9CDC27" w14:textId="77777777" w:rsidR="00AF1E12" w:rsidRPr="003670B8" w:rsidRDefault="00AF1E12">
        <w:pPr>
          <w:pStyle w:val="Footer"/>
          <w:framePr w:wrap="none" w:vAnchor="text" w:hAnchor="margin" w:xAlign="right" w:y="1"/>
          <w:rPr>
            <w:rStyle w:val="PageNumber"/>
          </w:rPr>
        </w:pPr>
        <w:r w:rsidRPr="003670B8">
          <w:rPr>
            <w:rStyle w:val="PageNumber"/>
          </w:rPr>
          <w:fldChar w:fldCharType="begin"/>
        </w:r>
        <w:r w:rsidRPr="003670B8">
          <w:rPr>
            <w:rStyle w:val="PageNumber"/>
          </w:rPr>
          <w:instrText xml:space="preserve"> PAGE </w:instrText>
        </w:r>
        <w:r w:rsidRPr="003670B8">
          <w:rPr>
            <w:rStyle w:val="PageNumber"/>
          </w:rPr>
          <w:fldChar w:fldCharType="separate"/>
        </w:r>
        <w:r w:rsidRPr="003670B8">
          <w:rPr>
            <w:rStyle w:val="PageNumber"/>
          </w:rPr>
          <w:t>2</w:t>
        </w:r>
        <w:r w:rsidRPr="003670B8">
          <w:rPr>
            <w:rStyle w:val="PageNumber"/>
          </w:rPr>
          <w:fldChar w:fldCharType="end"/>
        </w:r>
      </w:p>
    </w:sdtContent>
  </w:sdt>
  <w:p w14:paraId="3BB67E8A" w14:textId="77777777" w:rsidR="00AF1E12" w:rsidRDefault="00AF1E12">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12"/>
    <w:rsid w:val="003C4D8B"/>
    <w:rsid w:val="005B6DFC"/>
    <w:rsid w:val="00A33DB8"/>
    <w:rsid w:val="00AF1E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1864"/>
  <w15:chartTrackingRefBased/>
  <w15:docId w15:val="{A0BF61A2-1B62-41F8-87B1-D3D0EFEB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12"/>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F1E1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F1E1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AF1E1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F1E12"/>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F1E12"/>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F1E1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F1E1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F1E1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F1E12"/>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12"/>
    <w:rPr>
      <w:rFonts w:eastAsiaTheme="majorEastAsia" w:cstheme="majorBidi"/>
      <w:color w:val="272727" w:themeColor="text1" w:themeTint="D8"/>
    </w:rPr>
  </w:style>
  <w:style w:type="paragraph" w:styleId="Title">
    <w:name w:val="Title"/>
    <w:basedOn w:val="Normal"/>
    <w:next w:val="Normal"/>
    <w:link w:val="TitleChar"/>
    <w:uiPriority w:val="10"/>
    <w:qFormat/>
    <w:rsid w:val="00AF1E1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F1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1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F1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12"/>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F1E12"/>
    <w:rPr>
      <w:i/>
      <w:iCs/>
      <w:color w:val="404040" w:themeColor="text1" w:themeTint="BF"/>
    </w:rPr>
  </w:style>
  <w:style w:type="paragraph" w:styleId="ListParagraph">
    <w:name w:val="List Paragraph"/>
    <w:basedOn w:val="Normal"/>
    <w:uiPriority w:val="34"/>
    <w:qFormat/>
    <w:rsid w:val="00AF1E1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F1E12"/>
    <w:rPr>
      <w:i/>
      <w:iCs/>
      <w:color w:val="0F4761" w:themeColor="accent1" w:themeShade="BF"/>
    </w:rPr>
  </w:style>
  <w:style w:type="paragraph" w:styleId="IntenseQuote">
    <w:name w:val="Intense Quote"/>
    <w:basedOn w:val="Normal"/>
    <w:next w:val="Normal"/>
    <w:link w:val="IntenseQuoteChar"/>
    <w:uiPriority w:val="30"/>
    <w:qFormat/>
    <w:rsid w:val="00AF1E1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F1E12"/>
    <w:rPr>
      <w:i/>
      <w:iCs/>
      <w:color w:val="0F4761" w:themeColor="accent1" w:themeShade="BF"/>
    </w:rPr>
  </w:style>
  <w:style w:type="character" w:styleId="IntenseReference">
    <w:name w:val="Intense Reference"/>
    <w:basedOn w:val="DefaultParagraphFont"/>
    <w:uiPriority w:val="32"/>
    <w:qFormat/>
    <w:rsid w:val="00AF1E12"/>
    <w:rPr>
      <w:b/>
      <w:bCs/>
      <w:smallCaps/>
      <w:color w:val="0F4761" w:themeColor="accent1" w:themeShade="BF"/>
      <w:spacing w:val="5"/>
    </w:rPr>
  </w:style>
  <w:style w:type="table" w:styleId="TableGrid">
    <w:name w:val="Table Grid"/>
    <w:basedOn w:val="TableNormal"/>
    <w:uiPriority w:val="59"/>
    <w:rsid w:val="00AF1E12"/>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AF1E12"/>
    <w:pPr>
      <w:tabs>
        <w:tab w:val="center" w:pos="4513"/>
        <w:tab w:val="right" w:pos="9026"/>
      </w:tabs>
    </w:pPr>
  </w:style>
  <w:style w:type="character" w:customStyle="1" w:styleId="FooterChar">
    <w:name w:val="Footer Char"/>
    <w:basedOn w:val="DefaultParagraphFont"/>
    <w:link w:val="Footer"/>
    <w:uiPriority w:val="99"/>
    <w:rsid w:val="00AF1E12"/>
    <w:rPr>
      <w:rFonts w:ascii="Times New Roman" w:eastAsia="Times New Roman" w:hAnsi="Times New Roman" w:cs="Times New Roman"/>
      <w:kern w:val="0"/>
      <w:sz w:val="24"/>
      <w:szCs w:val="24"/>
      <w:lang w:eastAsia="en-GB"/>
      <w14:ligatures w14:val="none"/>
    </w:rPr>
  </w:style>
  <w:style w:type="character" w:styleId="PageNumber">
    <w:name w:val="page number"/>
    <w:basedOn w:val="DefaultParagraphFont"/>
    <w:uiPriority w:val="99"/>
    <w:semiHidden/>
    <w:unhideWhenUsed/>
    <w:rsid w:val="00AF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savkin</dc:creator>
  <cp:keywords/>
  <dc:description/>
  <cp:lastModifiedBy>mikhail savkin</cp:lastModifiedBy>
  <cp:revision>1</cp:revision>
  <dcterms:created xsi:type="dcterms:W3CDTF">2024-04-07T12:07:00Z</dcterms:created>
  <dcterms:modified xsi:type="dcterms:W3CDTF">2024-04-07T12:07:00Z</dcterms:modified>
</cp:coreProperties>
</file>