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675"/>
        <w:gridCol w:w="5340"/>
      </w:tblGrid>
      <w:tr w:rsidR="006EA58E" w:rsidTr="006EA58E" w14:paraId="554684C7">
        <w:trPr>
          <w:trHeight w:val="300"/>
        </w:trPr>
        <w:tc>
          <w:tcPr>
            <w:tcW w:w="3675" w:type="dxa"/>
            <w:tcBorders>
              <w:top w:val="single" w:sz="6"/>
              <w:left w:val="single" w:sz="6"/>
            </w:tcBorders>
            <w:shd w:val="clear" w:color="auto" w:fill="156082"/>
            <w:tcMar>
              <w:left w:w="90" w:type="dxa"/>
              <w:right w:w="90" w:type="dxa"/>
            </w:tcMar>
            <w:vAlign w:val="top"/>
          </w:tcPr>
          <w:p w:rsidR="006EA58E" w:rsidP="006EA58E" w:rsidRDefault="006EA58E" w14:paraId="397A8F61" w14:textId="7E8720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</w:rPr>
            </w:pPr>
            <w:r w:rsidRPr="006EA58E" w:rsidR="006EA58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-AU"/>
              </w:rPr>
              <w:t>Data Limitation</w:t>
            </w:r>
          </w:p>
        </w:tc>
        <w:tc>
          <w:tcPr>
            <w:tcW w:w="5340" w:type="dxa"/>
            <w:tcBorders>
              <w:top w:val="single" w:sz="6"/>
              <w:right w:val="single" w:sz="6"/>
            </w:tcBorders>
            <w:shd w:val="clear" w:color="auto" w:fill="156082"/>
            <w:tcMar>
              <w:left w:w="90" w:type="dxa"/>
              <w:right w:w="90" w:type="dxa"/>
            </w:tcMar>
            <w:vAlign w:val="top"/>
          </w:tcPr>
          <w:p w:rsidR="006EA58E" w:rsidP="006EA58E" w:rsidRDefault="006EA58E" w14:paraId="5EEF2D50" w14:textId="05C9C5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</w:rPr>
            </w:pPr>
            <w:r w:rsidRPr="006EA58E" w:rsidR="006EA58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-AU"/>
              </w:rPr>
              <w:t>Impact on Analysis</w:t>
            </w:r>
          </w:p>
        </w:tc>
      </w:tr>
      <w:tr w:rsidR="006EA58E" w:rsidTr="006EA58E" w14:paraId="238E35BA">
        <w:trPr>
          <w:trHeight w:val="300"/>
        </w:trPr>
        <w:tc>
          <w:tcPr>
            <w:tcW w:w="9015" w:type="dxa"/>
            <w:gridSpan w:val="2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06EA58E" w:rsidP="006EA58E" w:rsidRDefault="006EA58E" w14:paraId="4F14C18E" w14:textId="791B9C6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53D63"/>
                <w:sz w:val="24"/>
                <w:szCs w:val="24"/>
              </w:rPr>
            </w:pPr>
            <w:r w:rsidRPr="006EA58E" w:rsidR="006EA5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53D63"/>
                <w:sz w:val="24"/>
                <w:szCs w:val="24"/>
                <w:lang w:val="en-AU"/>
              </w:rPr>
              <w:t>Intervention Program</w:t>
            </w:r>
          </w:p>
        </w:tc>
      </w:tr>
      <w:tr w:rsidR="006EA58E" w:rsidTr="006EA58E" w14:paraId="5B165A5C">
        <w:trPr>
          <w:trHeight w:val="300"/>
        </w:trPr>
        <w:tc>
          <w:tcPr>
            <w:tcW w:w="3675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06EA58E" w:rsidP="006EA58E" w:rsidRDefault="006EA58E" w14:paraId="6FF1E5B7" w14:textId="10BF2E5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6EA58E" w:rsidR="006EA5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AU"/>
              </w:rPr>
              <w:t>Approximate per capita cost is not standardised to annual cost. It ranges from per incentive, per screening, per participant, and other.</w:t>
            </w:r>
          </w:p>
        </w:tc>
        <w:tc>
          <w:tcPr>
            <w:tcW w:w="534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06EA58E" w:rsidP="006EA58E" w:rsidRDefault="006EA58E" w14:paraId="1094AFEB" w14:textId="37EAA48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6EA58E" w:rsidR="006EA5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AU"/>
              </w:rPr>
              <w:t>Have to make assumptions on frequency of incentives, screening, etc. This may lead to under/over evaluation of costs by significant amounts.</w:t>
            </w:r>
          </w:p>
        </w:tc>
      </w:tr>
      <w:tr w:rsidR="006EA58E" w:rsidTr="006EA58E" w14:paraId="4EA2686C">
        <w:trPr>
          <w:trHeight w:val="300"/>
        </w:trPr>
        <w:tc>
          <w:tcPr>
            <w:tcW w:w="9015" w:type="dxa"/>
            <w:gridSpan w:val="2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06EA58E" w:rsidP="006EA58E" w:rsidRDefault="006EA58E" w14:paraId="08F0131D" w14:textId="0102D05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53D63"/>
                <w:sz w:val="24"/>
                <w:szCs w:val="24"/>
              </w:rPr>
            </w:pPr>
            <w:r w:rsidRPr="006EA58E" w:rsidR="006EA5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53D63"/>
                <w:sz w:val="24"/>
                <w:szCs w:val="24"/>
                <w:lang w:val="en-AU"/>
              </w:rPr>
              <w:t>In-force Dataset and Encyclopedia</w:t>
            </w:r>
          </w:p>
        </w:tc>
      </w:tr>
      <w:tr w:rsidR="006EA58E" w:rsidTr="006EA58E" w14:paraId="6D92C1F0">
        <w:trPr>
          <w:trHeight w:val="300"/>
        </w:trPr>
        <w:tc>
          <w:tcPr>
            <w:tcW w:w="3675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06EA58E" w:rsidP="006EA58E" w:rsidRDefault="006EA58E" w14:paraId="7E39D8DD" w14:textId="69ECD70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6EA58E" w:rsidR="006EA5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AU"/>
              </w:rPr>
              <w:t>Extreme drop in the policy count for age 56+ as it accounts for only 9.98%, whereas its 20.69% in the encyclopedia for age bracket 25-65.</w:t>
            </w:r>
          </w:p>
        </w:tc>
        <w:tc>
          <w:tcPr>
            <w:tcW w:w="534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06EA58E" w:rsidP="006EA58E" w:rsidRDefault="006EA58E" w14:paraId="2AF2D1B4" w14:textId="426C334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6EA58E" w:rsidR="006EA5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AU"/>
              </w:rPr>
              <w:t>The older population is understated, however the population statistics of the country shows an aging population in the next 20 years, thus, with limited knowledge, many assumptions will be challenged.</w:t>
            </w:r>
          </w:p>
        </w:tc>
      </w:tr>
      <w:tr w:rsidR="006EA58E" w:rsidTr="006EA58E" w14:paraId="3EFD653C">
        <w:trPr>
          <w:trHeight w:val="300"/>
        </w:trPr>
        <w:tc>
          <w:tcPr>
            <w:tcW w:w="367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06EA58E" w:rsidP="006EA58E" w:rsidRDefault="006EA58E" w14:paraId="2DD97DA4" w14:textId="08A55A5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6EA58E" w:rsidR="006EA5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AU"/>
              </w:rPr>
              <w:t>100% of all 56+ smoker has a claim (i.e. death), whereas only 4% of non-smokers have a claim</w:t>
            </w:r>
          </w:p>
        </w:tc>
        <w:tc>
          <w:tcPr>
            <w:tcW w:w="534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06EA58E" w:rsidP="006EA58E" w:rsidRDefault="006EA58E" w14:paraId="69CD3C85" w14:textId="6CF4171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6EA58E" w:rsidR="006EA5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AU"/>
              </w:rPr>
              <w:t>This significant difference will make it challenging to incorporate such information in the mortality tables for smokers vs non-smokers.</w:t>
            </w:r>
          </w:p>
        </w:tc>
      </w:tr>
      <w:tr w:rsidR="006EA58E" w:rsidTr="006EA58E" w14:paraId="59A1D915">
        <w:trPr>
          <w:trHeight w:val="300"/>
        </w:trPr>
        <w:tc>
          <w:tcPr>
            <w:tcW w:w="367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06EA58E" w:rsidP="006EA58E" w:rsidRDefault="006EA58E" w14:paraId="4ADA6386" w14:textId="5087142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6EA58E" w:rsidR="006EA5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AU"/>
              </w:rPr>
              <w:t>Missing data on premium amount for each policy, salary of policy holders, expense rates and commission rates</w:t>
            </w:r>
          </w:p>
        </w:tc>
        <w:tc>
          <w:tcPr>
            <w:tcW w:w="534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06EA58E" w:rsidP="006EA58E" w:rsidRDefault="006EA58E" w14:paraId="41AD5BD0" w14:textId="0F5B3A0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6EA58E" w:rsidR="006EA5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AU"/>
              </w:rPr>
              <w:t>Assumptions are made for these variables. Again, all these variables are directly related to profitability and will result in a degree of error.</w:t>
            </w:r>
          </w:p>
        </w:tc>
      </w:tr>
      <w:tr w:rsidR="006EA58E" w:rsidTr="006EA58E" w14:paraId="5950387C">
        <w:trPr>
          <w:trHeight w:val="300"/>
        </w:trPr>
        <w:tc>
          <w:tcPr>
            <w:tcW w:w="9015" w:type="dxa"/>
            <w:gridSpan w:val="2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06EA58E" w:rsidP="006EA58E" w:rsidRDefault="006EA58E" w14:paraId="3941A077" w14:textId="6C7517F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53D63"/>
                <w:sz w:val="24"/>
                <w:szCs w:val="24"/>
              </w:rPr>
            </w:pPr>
            <w:r w:rsidRPr="006EA58E" w:rsidR="006EA5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53D63"/>
                <w:sz w:val="24"/>
                <w:szCs w:val="24"/>
                <w:lang w:val="en-AU"/>
              </w:rPr>
              <w:t>External Research Data</w:t>
            </w:r>
          </w:p>
        </w:tc>
      </w:tr>
      <w:tr w:rsidR="006EA58E" w:rsidTr="006EA58E" w14:paraId="2688E44D">
        <w:trPr>
          <w:trHeight w:val="300"/>
        </w:trPr>
        <w:tc>
          <w:tcPr>
            <w:tcW w:w="3675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06EA58E" w:rsidP="006EA58E" w:rsidRDefault="006EA58E" w14:paraId="47897156" w14:textId="5F0AD32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6EA58E" w:rsidR="006EA5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AU"/>
              </w:rPr>
              <w:t>Percent of smokers wanting to stop smoking for different age brackets</w:t>
            </w:r>
          </w:p>
        </w:tc>
        <w:tc>
          <w:tcPr>
            <w:tcW w:w="534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06EA58E" w:rsidP="006EA58E" w:rsidRDefault="006EA58E" w14:paraId="12E9533F" w14:textId="72399B6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6EA58E" w:rsidR="006EA5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AU"/>
              </w:rPr>
              <w:t>Adjustment factors are used to fit to the given demographics of Lumaria and the smoking cessation plan (Truth Initiative, 2018)</w:t>
            </w:r>
            <w:r w:rsidRPr="006EA58E" w:rsidR="006EA58E">
              <w:rPr>
                <w:rStyle w:val="normaltextrun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vertAlign w:val="superscript"/>
                <w:lang w:val="en-AU"/>
              </w:rPr>
              <w:t>12</w:t>
            </w:r>
            <w:r w:rsidRPr="006EA58E" w:rsidR="006EA5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AU"/>
              </w:rPr>
              <w:t>.</w:t>
            </w:r>
          </w:p>
        </w:tc>
      </w:tr>
      <w:tr w:rsidR="006EA58E" w:rsidTr="006EA58E" w14:paraId="266C18B4">
        <w:trPr>
          <w:trHeight w:val="300"/>
        </w:trPr>
        <w:tc>
          <w:tcPr>
            <w:tcW w:w="367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06EA58E" w:rsidP="006EA58E" w:rsidRDefault="006EA58E" w14:paraId="64A89FF1" w14:textId="256B44B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6EA58E" w:rsidR="006EA5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AU"/>
              </w:rPr>
              <w:t>Screening interventions are covered by healthcare.</w:t>
            </w:r>
          </w:p>
        </w:tc>
        <w:tc>
          <w:tcPr>
            <w:tcW w:w="534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06EA58E" w:rsidP="006EA58E" w:rsidRDefault="006EA58E" w14:paraId="220CD0EB" w14:textId="3FE8964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6EA58E" w:rsidR="006EA5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AU"/>
              </w:rPr>
              <w:t>Lower bound of costs chosen from the given range in the intervention. Scenario testing done for other costs.</w:t>
            </w:r>
          </w:p>
        </w:tc>
      </w:tr>
      <w:tr w:rsidR="006EA58E" w:rsidTr="006EA58E" w14:paraId="50FB20A0">
        <w:trPr>
          <w:trHeight w:val="300"/>
        </w:trPr>
        <w:tc>
          <w:tcPr>
            <w:tcW w:w="9015" w:type="dxa"/>
            <w:gridSpan w:val="2"/>
            <w:tcBorders>
              <w:left w:val="single" w:sz="6"/>
              <w:bottom w:val="single" w:color="000000" w:themeColor="text1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06EA58E" w:rsidP="006EA58E" w:rsidRDefault="006EA58E" w14:paraId="08EB3199" w14:textId="665BF03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53D63"/>
                <w:sz w:val="24"/>
                <w:szCs w:val="24"/>
              </w:rPr>
            </w:pPr>
            <w:r w:rsidRPr="006EA58E" w:rsidR="006EA5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153D63"/>
                <w:sz w:val="24"/>
                <w:szCs w:val="24"/>
                <w:lang w:val="en-AU"/>
              </w:rPr>
              <w:t>Economic Data</w:t>
            </w:r>
          </w:p>
        </w:tc>
      </w:tr>
      <w:tr w:rsidR="006EA58E" w:rsidTr="006EA58E" w14:paraId="66CC5320">
        <w:trPr>
          <w:trHeight w:val="300"/>
        </w:trPr>
        <w:tc>
          <w:tcPr>
            <w:tcW w:w="3675" w:type="dxa"/>
            <w:tcBorders>
              <w:top w:val="single" w:color="000000" w:themeColor="text1" w:sz="6"/>
              <w:left w:val="single" w:sz="6"/>
              <w:bottom w:val="single" w:color="000000" w:themeColor="text1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06EA58E" w:rsidP="006EA58E" w:rsidRDefault="006EA58E" w14:paraId="41DB6148" w14:textId="23EC2C5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6EA58E" w:rsidR="006EA5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AU"/>
              </w:rPr>
              <w:t>Inflation rate was higher than the interest rate, ie Negative real rate</w:t>
            </w:r>
          </w:p>
        </w:tc>
        <w:tc>
          <w:tcPr>
            <w:tcW w:w="5340" w:type="dxa"/>
            <w:tcBorders>
              <w:top w:val="single" w:color="000000" w:themeColor="text1" w:sz="6"/>
              <w:bottom w:val="single" w:color="000000" w:themeColor="text1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06EA58E" w:rsidP="006EA58E" w:rsidRDefault="006EA58E" w14:paraId="4EA873DE" w14:textId="1999BAA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06EA58E" w:rsidR="006EA5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AU"/>
              </w:rPr>
              <w:t>We removed specific outliers for inflation to get more stable results and a positive real interest rate.</w:t>
            </w:r>
          </w:p>
        </w:tc>
      </w:tr>
    </w:tbl>
    <w:p xmlns:wp14="http://schemas.microsoft.com/office/word/2010/wordml" w:rsidP="006EA58E" wp14:paraId="5E5787A5" wp14:textId="37125D6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666A43"/>
    <w:rsid w:val="006EA58E"/>
    <w:rsid w:val="3466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66A43"/>
  <w15:chartTrackingRefBased/>
  <w15:docId w15:val="{BB602D11-61C1-4788-82C9-8959343EBB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true">
    <w:uiPriority w:val="1"/>
    <w:name w:val="normaltextrun"/>
    <w:basedOn w:val="DefaultParagraphFont"/>
    <w:rsid w:val="006EA58E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Arth Aka Nij Patel</dc:creator>
  <keywords/>
  <dc:description/>
  <lastModifiedBy>Arth Aka Nij Patel</lastModifiedBy>
  <revision>2</revision>
  <dcterms:created xsi:type="dcterms:W3CDTF">2024-03-29T00:46:10.3258192Z</dcterms:created>
  <dcterms:modified xsi:type="dcterms:W3CDTF">2024-03-29T00:46:36.8185584Z</dcterms:modified>
</coreProperties>
</file>