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E699" w14:textId="77777777" w:rsidR="00EB6EB0" w:rsidRPr="009041E9" w:rsidRDefault="00EB6EB0" w:rsidP="00EB6EB0">
      <w:pPr>
        <w:pStyle w:val="Heading1"/>
        <w:rPr>
          <w:b/>
          <w:sz w:val="22"/>
          <w:szCs w:val="22"/>
        </w:rPr>
      </w:pPr>
      <w:bookmarkStart w:id="0" w:name="_Toc162011299"/>
      <w:r w:rsidRPr="003670B8">
        <w:rPr>
          <w:color w:val="91BFE2"/>
        </w:rPr>
        <w:t>Pricing and Costs</w:t>
      </w:r>
      <w:bookmarkEnd w:id="0"/>
    </w:p>
    <w:p w14:paraId="333D6F0C" w14:textId="77777777" w:rsidR="00EB6EB0" w:rsidRPr="003670B8" w:rsidRDefault="00EB6EB0" w:rsidP="00EB6EB0">
      <w:pPr>
        <w:pStyle w:val="Heading3"/>
        <w:rPr>
          <w:color w:val="000000" w:themeColor="text1"/>
        </w:rPr>
      </w:pPr>
      <w:bookmarkStart w:id="1" w:name="_Toc162011300"/>
      <w:r>
        <w:rPr>
          <w:color w:val="000000" w:themeColor="text1"/>
          <w:sz w:val="24"/>
          <w:szCs w:val="24"/>
          <w:u w:val="single"/>
        </w:rPr>
        <w:t>Mortality Savings from Proposed Programs</w:t>
      </w:r>
      <w:bookmarkEnd w:id="1"/>
    </w:p>
    <w:p w14:paraId="56D9F5C0" w14:textId="77777777" w:rsidR="00EB6EB0" w:rsidRPr="00BA1840" w:rsidRDefault="00EB6EB0" w:rsidP="00EB6EB0">
      <w:pPr>
        <w:rPr>
          <w:shd w:val="clear" w:color="auto" w:fill="FFFFFF"/>
        </w:rPr>
      </w:pPr>
      <w:r w:rsidRPr="3FEABF94">
        <w:t xml:space="preserve">Across the three proposed </w:t>
      </w:r>
      <w:r>
        <w:t>offerings</w:t>
      </w:r>
      <w:r w:rsidRPr="3FEABF94">
        <w:t>, LCG has determined that there would have been immense savings from reduced mortality costs had the program been implemented for the past 20 years</w:t>
      </w:r>
      <w:r w:rsidRPr="003670B8">
        <w:t xml:space="preserve">, as seen in Figure 4.  </w:t>
      </w:r>
      <w:r>
        <w:t>Appendix B1 outlines the process for determining mortality savings.</w:t>
      </w:r>
      <w:r>
        <w:rPr>
          <w:noProof/>
        </w:rPr>
        <w:drawing>
          <wp:inline distT="0" distB="0" distL="0" distR="0" wp14:anchorId="588A3F7C" wp14:editId="4AB254E2">
            <wp:extent cx="5867398" cy="822325"/>
            <wp:effectExtent l="0" t="0" r="0" b="0"/>
            <wp:docPr id="1885154659" name="Picture 1" descr="A blue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867398" cy="822325"/>
                    </a:xfrm>
                    <a:prstGeom prst="rect">
                      <a:avLst/>
                    </a:prstGeom>
                  </pic:spPr>
                </pic:pic>
              </a:graphicData>
            </a:graphic>
          </wp:inline>
        </w:drawing>
      </w:r>
    </w:p>
    <w:p w14:paraId="02B5B127" w14:textId="77777777" w:rsidR="00EB6EB0" w:rsidRPr="004B10F4" w:rsidRDefault="00EB6EB0" w:rsidP="00EB6EB0">
      <w:pPr>
        <w:spacing w:line="276" w:lineRule="auto"/>
        <w:jc w:val="center"/>
        <w:rPr>
          <w:i/>
          <w:sz w:val="20"/>
          <w:szCs w:val="20"/>
        </w:rPr>
      </w:pPr>
      <w:r w:rsidRPr="004B10F4">
        <w:rPr>
          <w:i/>
          <w:sz w:val="20"/>
          <w:szCs w:val="20"/>
        </w:rPr>
        <w:t xml:space="preserve">Figure </w:t>
      </w:r>
      <w:r w:rsidRPr="003670B8">
        <w:rPr>
          <w:i/>
          <w:sz w:val="20"/>
          <w:szCs w:val="20"/>
        </w:rPr>
        <w:t>4: SuperLife’s</w:t>
      </w:r>
      <w:r w:rsidRPr="004B10F4">
        <w:rPr>
          <w:i/>
          <w:sz w:val="20"/>
          <w:szCs w:val="20"/>
        </w:rPr>
        <w:t xml:space="preserve"> Mortality Savings </w:t>
      </w:r>
      <w:r>
        <w:rPr>
          <w:i/>
          <w:sz w:val="20"/>
          <w:szCs w:val="20"/>
        </w:rPr>
        <w:t>I</w:t>
      </w:r>
      <w:r w:rsidRPr="004B10F4">
        <w:rPr>
          <w:i/>
          <w:sz w:val="20"/>
          <w:szCs w:val="20"/>
        </w:rPr>
        <w:t>f</w:t>
      </w:r>
      <w:r>
        <w:rPr>
          <w:i/>
          <w:sz w:val="20"/>
          <w:szCs w:val="20"/>
        </w:rPr>
        <w:t xml:space="preserve"> </w:t>
      </w:r>
      <w:proofErr w:type="gramStart"/>
      <w:r>
        <w:rPr>
          <w:i/>
          <w:sz w:val="20"/>
          <w:szCs w:val="20"/>
        </w:rPr>
        <w:t>The</w:t>
      </w:r>
      <w:proofErr w:type="gramEnd"/>
      <w:r w:rsidRPr="004B10F4">
        <w:rPr>
          <w:i/>
          <w:sz w:val="20"/>
          <w:szCs w:val="20"/>
        </w:rPr>
        <w:t xml:space="preserve"> Program </w:t>
      </w:r>
      <w:r w:rsidRPr="003670B8">
        <w:rPr>
          <w:i/>
          <w:sz w:val="20"/>
          <w:szCs w:val="20"/>
        </w:rPr>
        <w:t>Had Been Implemented</w:t>
      </w:r>
      <w:r w:rsidRPr="004B10F4">
        <w:rPr>
          <w:i/>
          <w:sz w:val="20"/>
          <w:szCs w:val="20"/>
        </w:rPr>
        <w:t xml:space="preserve"> 20 </w:t>
      </w:r>
      <w:r w:rsidRPr="003670B8">
        <w:rPr>
          <w:i/>
          <w:sz w:val="20"/>
          <w:szCs w:val="20"/>
        </w:rPr>
        <w:t>Years Ago</w:t>
      </w:r>
    </w:p>
    <w:p w14:paraId="0F59D5F3" w14:textId="77777777" w:rsidR="00EB6EB0" w:rsidRDefault="00EB6EB0" w:rsidP="00EB6EB0">
      <w:pPr>
        <w:spacing w:after="120"/>
      </w:pPr>
      <w:r w:rsidRPr="00C66659">
        <w:rPr>
          <w:i/>
        </w:rPr>
        <w:t>T20 Smoker Bundle</w:t>
      </w:r>
      <w:r w:rsidRPr="00C66659">
        <w:t>:</w:t>
      </w:r>
      <w:r w:rsidRPr="238710FB">
        <w:rPr>
          <w:i/>
        </w:rPr>
        <w:t xml:space="preserve"> </w:t>
      </w:r>
      <w:r w:rsidRPr="3FEABF94">
        <w:t xml:space="preserve">Our T20 </w:t>
      </w:r>
      <w:r w:rsidRPr="003670B8">
        <w:t>Smoker Package</w:t>
      </w:r>
      <w:r w:rsidRPr="3FEABF94">
        <w:t xml:space="preserve"> would have provided over </w:t>
      </w:r>
      <w:r w:rsidRPr="3F75BDE4">
        <w:rPr>
          <w:color w:val="000000" w:themeColor="text1"/>
        </w:rPr>
        <w:t>Č</w:t>
      </w:r>
      <w:r w:rsidRPr="3FEABF94">
        <w:t>15m, or 18.48%, in mortality savings</w:t>
      </w:r>
      <w:r w:rsidRPr="003670B8">
        <w:t>,</w:t>
      </w:r>
      <w:r w:rsidRPr="3FEABF94">
        <w:t xml:space="preserve"> as seen in </w:t>
      </w:r>
      <w:r w:rsidRPr="003670B8">
        <w:t>Figure 4.</w:t>
      </w:r>
      <w:r w:rsidRPr="3FEABF94">
        <w:t xml:space="preserve"> These large savings are due to the immense mortality improvements seen in younger individuals who successfully quit smoking. Indeed, we see that the mortality improvements </w:t>
      </w:r>
      <w:r>
        <w:t xml:space="preserve">through ages are variable (see </w:t>
      </w:r>
      <w:r w:rsidRPr="000775C2">
        <w:t xml:space="preserve">Appendix </w:t>
      </w:r>
      <w:r w:rsidRPr="003670B8">
        <w:t>B</w:t>
      </w:r>
      <w:r>
        <w:t>3</w:t>
      </w:r>
      <w:r>
        <w:rPr>
          <w:iCs/>
        </w:rPr>
        <w:t>)</w:t>
      </w:r>
      <w:r w:rsidRPr="3FEABF94">
        <w:t xml:space="preserve">. It is important to note that the variability in savings at issue ages are a result of many factors such as the variability in actual mortality experience when compared to expected mortality experience or modelling </w:t>
      </w:r>
      <w:r>
        <w:t>errors</w:t>
      </w:r>
      <w:r w:rsidRPr="3FEABF94">
        <w:t>.</w:t>
      </w:r>
      <w:r>
        <w:t xml:space="preserve"> It is important to consider this limitation within the context of the pricing section.</w:t>
      </w:r>
      <w:r w:rsidRPr="3FEABF94">
        <w:t xml:space="preserve"> </w:t>
      </w:r>
    </w:p>
    <w:p w14:paraId="04718846" w14:textId="77777777" w:rsidR="00EB6EB0" w:rsidRDefault="00EB6EB0" w:rsidP="00EB6EB0">
      <w:pPr>
        <w:spacing w:after="120"/>
      </w:pPr>
      <w:r w:rsidRPr="00C66659">
        <w:rPr>
          <w:i/>
        </w:rPr>
        <w:t>T20 Non-Smoker Bundle</w:t>
      </w:r>
      <w:r w:rsidRPr="6BC5CEB3">
        <w:rPr>
          <w:i/>
        </w:rPr>
        <w:t xml:space="preserve">: </w:t>
      </w:r>
      <w:r w:rsidRPr="3FEABF94">
        <w:t xml:space="preserve">Our T20 </w:t>
      </w:r>
      <w:r w:rsidRPr="003670B8">
        <w:t>Non-Smoker Package</w:t>
      </w:r>
      <w:r w:rsidRPr="3FEABF94">
        <w:t xml:space="preserve"> would have provided over </w:t>
      </w:r>
      <w:r w:rsidRPr="3F75BDE4">
        <w:rPr>
          <w:color w:val="000000" w:themeColor="text1"/>
        </w:rPr>
        <w:t>Č</w:t>
      </w:r>
      <w:r w:rsidRPr="3FEABF94">
        <w:t xml:space="preserve">88m, or 17.01%, in mortality savings </w:t>
      </w:r>
      <w:r w:rsidRPr="003670B8">
        <w:t>(see Figure 4).</w:t>
      </w:r>
      <w:r w:rsidRPr="3FEABF94">
        <w:t xml:space="preserve"> The mortality savings are evenly distributed over all age groups with slight variabilities at older age groups due to deviations from expected mortality improvements </w:t>
      </w:r>
      <w:r>
        <w:t xml:space="preserve">(see </w:t>
      </w:r>
      <w:r w:rsidRPr="000775C2">
        <w:t xml:space="preserve">Appendix </w:t>
      </w:r>
      <w:r w:rsidRPr="003670B8">
        <w:t>B</w:t>
      </w:r>
      <w:r>
        <w:t>4</w:t>
      </w:r>
      <w:r>
        <w:rPr>
          <w:iCs/>
        </w:rPr>
        <w:t>)</w:t>
      </w:r>
      <w:r>
        <w:rPr>
          <w:i/>
        </w:rPr>
        <w:t>.</w:t>
      </w:r>
    </w:p>
    <w:p w14:paraId="1285AA5E" w14:textId="77777777" w:rsidR="00EB6EB0" w:rsidRDefault="00EB6EB0" w:rsidP="00EB6EB0">
      <w:pPr>
        <w:spacing w:after="120"/>
      </w:pPr>
      <w:r w:rsidRPr="00C66659">
        <w:rPr>
          <w:i/>
        </w:rPr>
        <w:t>SPWL Non-</w:t>
      </w:r>
      <w:r>
        <w:rPr>
          <w:i/>
        </w:rPr>
        <w:t>S</w:t>
      </w:r>
      <w:r w:rsidRPr="00C66659">
        <w:rPr>
          <w:i/>
        </w:rPr>
        <w:t>moker Bundle</w:t>
      </w:r>
      <w:r w:rsidRPr="00C66659">
        <w:t>:</w:t>
      </w:r>
      <w:r w:rsidRPr="3FEABF94">
        <w:rPr>
          <w:b/>
        </w:rPr>
        <w:t xml:space="preserve"> </w:t>
      </w:r>
      <w:r w:rsidRPr="3FEABF94">
        <w:t xml:space="preserve">For the Whole Life Non-Smoker </w:t>
      </w:r>
      <w:r w:rsidRPr="003670B8">
        <w:t>Package</w:t>
      </w:r>
      <w:r w:rsidRPr="3FEABF94">
        <w:t xml:space="preserve">, we estimate total mortality savings of over </w:t>
      </w:r>
      <w:r w:rsidRPr="3F75BDE4">
        <w:rPr>
          <w:color w:val="000000" w:themeColor="text1"/>
        </w:rPr>
        <w:t>Č</w:t>
      </w:r>
      <w:r w:rsidRPr="3FEABF94">
        <w:t>22m, or 12.12</w:t>
      </w:r>
      <w:r w:rsidRPr="003670B8">
        <w:t>%, as depicted in Figure 4.</w:t>
      </w:r>
      <w:r w:rsidRPr="3FEABF94">
        <w:t xml:space="preserve"> </w:t>
      </w:r>
      <w:proofErr w:type="gramStart"/>
      <w:r w:rsidRPr="3FEABF94">
        <w:t>Similar to</w:t>
      </w:r>
      <w:proofErr w:type="gramEnd"/>
      <w:r w:rsidRPr="3FEABF94">
        <w:t xml:space="preserve"> </w:t>
      </w:r>
      <w:r w:rsidRPr="003670B8">
        <w:t xml:space="preserve">the </w:t>
      </w:r>
      <w:r w:rsidRPr="3FEABF94">
        <w:t>T20 Non-</w:t>
      </w:r>
      <w:r w:rsidRPr="003670B8">
        <w:t>Smoker Package</w:t>
      </w:r>
      <w:r w:rsidRPr="3FEABF94">
        <w:t>, the mortality savings are fairly evenly distributed over all age groups with slight deviations due to the variability of actual mortality experience in relation to the expected mortality experience</w:t>
      </w:r>
      <w:r>
        <w:t xml:space="preserve"> (see</w:t>
      </w:r>
      <w:r w:rsidRPr="3FEABF94">
        <w:t xml:space="preserve"> </w:t>
      </w:r>
      <w:r w:rsidRPr="000775C2">
        <w:t xml:space="preserve">Appendix </w:t>
      </w:r>
      <w:r w:rsidRPr="003670B8">
        <w:t>B</w:t>
      </w:r>
      <w:r>
        <w:t>5</w:t>
      </w:r>
      <w:r>
        <w:rPr>
          <w:iCs/>
        </w:rPr>
        <w:t>).</w:t>
      </w:r>
    </w:p>
    <w:p w14:paraId="2CE58FD2" w14:textId="77777777" w:rsidR="00EB6EB0" w:rsidRPr="003670B8" w:rsidRDefault="00EB6EB0" w:rsidP="00EB6EB0">
      <w:pPr>
        <w:pStyle w:val="Heading3"/>
        <w:rPr>
          <w:color w:val="000000" w:themeColor="text1"/>
        </w:rPr>
      </w:pPr>
      <w:bookmarkStart w:id="2" w:name="_Toc161969997"/>
      <w:bookmarkStart w:id="3" w:name="_Toc162011301"/>
      <w:r>
        <w:rPr>
          <w:color w:val="000000" w:themeColor="text1"/>
          <w:sz w:val="24"/>
          <w:szCs w:val="24"/>
          <w:u w:val="single"/>
        </w:rPr>
        <w:t xml:space="preserve">Economic Value Added </w:t>
      </w:r>
      <w:proofErr w:type="gramStart"/>
      <w:r>
        <w:rPr>
          <w:color w:val="000000" w:themeColor="text1"/>
          <w:sz w:val="24"/>
          <w:szCs w:val="24"/>
          <w:u w:val="single"/>
        </w:rPr>
        <w:t>From</w:t>
      </w:r>
      <w:proofErr w:type="gramEnd"/>
      <w:r>
        <w:rPr>
          <w:color w:val="000000" w:themeColor="text1"/>
          <w:sz w:val="24"/>
          <w:szCs w:val="24"/>
          <w:u w:val="single"/>
        </w:rPr>
        <w:t xml:space="preserve"> Proposed Program</w:t>
      </w:r>
      <w:bookmarkEnd w:id="2"/>
      <w:bookmarkEnd w:id="3"/>
    </w:p>
    <w:p w14:paraId="7DCB438D" w14:textId="77777777" w:rsidR="00EB6EB0" w:rsidRPr="00BA1840" w:rsidRDefault="00EB6EB0" w:rsidP="00EB6EB0">
      <w:pPr>
        <w:spacing w:after="120"/>
        <w:rPr>
          <w:sz w:val="22"/>
          <w:szCs w:val="22"/>
          <w:u w:val="single"/>
        </w:rPr>
      </w:pPr>
      <w:r w:rsidRPr="003670B8">
        <w:rPr>
          <w:rStyle w:val="Heading2Char"/>
          <w:rFonts w:ascii="Times New Roman" w:hAnsi="Times New Roman" w:cs="Times New Roman"/>
          <w:noProof/>
          <w:color w:val="000000" w:themeColor="text1"/>
          <w:sz w:val="24"/>
          <w:szCs w:val="24"/>
          <w:u w:val="single"/>
        </w:rPr>
        <w:drawing>
          <wp:anchor distT="0" distB="0" distL="114300" distR="114300" simplePos="0" relativeHeight="251659264" behindDoc="1" locked="0" layoutInCell="1" allowOverlap="1" wp14:anchorId="366F3DF7" wp14:editId="64A8FABB">
            <wp:simplePos x="0" y="0"/>
            <wp:positionH relativeFrom="margin">
              <wp:posOffset>19050</wp:posOffset>
            </wp:positionH>
            <wp:positionV relativeFrom="paragraph">
              <wp:posOffset>1278255</wp:posOffset>
            </wp:positionV>
            <wp:extent cx="5724525" cy="1100455"/>
            <wp:effectExtent l="0" t="0" r="9525" b="4445"/>
            <wp:wrapTight wrapText="bothSides">
              <wp:wrapPolygon edited="0">
                <wp:start x="0" y="0"/>
                <wp:lineTo x="0" y="21313"/>
                <wp:lineTo x="21564" y="21313"/>
                <wp:lineTo x="21564" y="0"/>
                <wp:lineTo x="0" y="0"/>
              </wp:wrapPolygon>
            </wp:wrapTight>
            <wp:docPr id="2020442920" name="Picture 1" descr="A blue and white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42920" name="Picture 1" descr="A blue and white table with numbers and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4525" cy="1100455"/>
                    </a:xfrm>
                    <a:prstGeom prst="rect">
                      <a:avLst/>
                    </a:prstGeom>
                  </pic:spPr>
                </pic:pic>
              </a:graphicData>
            </a:graphic>
            <wp14:sizeRelH relativeFrom="page">
              <wp14:pctWidth>0</wp14:pctWidth>
            </wp14:sizeRelH>
            <wp14:sizeRelV relativeFrom="page">
              <wp14:pctHeight>0</wp14:pctHeight>
            </wp14:sizeRelV>
          </wp:anchor>
        </w:drawing>
      </w:r>
      <w:r w:rsidRPr="3FEABF94">
        <w:t xml:space="preserve">When determining the added economic value of our proposed programs, our team projected sample portfolios of new sales in the year 2025 that follows the same composition </w:t>
      </w:r>
      <w:r>
        <w:t xml:space="preserve">of policies </w:t>
      </w:r>
      <w:r w:rsidRPr="3FEABF94">
        <w:t>at each issue age as the overall book over the past 20 years</w:t>
      </w:r>
      <w:r>
        <w:t xml:space="preserve"> (see Appendix B2)</w:t>
      </w:r>
      <w:r w:rsidRPr="003670B8">
        <w:t>.</w:t>
      </w:r>
      <w:r w:rsidRPr="3FEABF94">
        <w:t xml:space="preserve"> Added economic value from our bundles is calculated by the difference between the net present value of the portfolio with our proposed program and the net present value of the portfolio without the program. This portfolio of new sales is projected over suitable time frames such as 20 years for 20-year term policies and 20, 40 and 60 years for whole life policies. </w:t>
      </w:r>
    </w:p>
    <w:p w14:paraId="79EB775F" w14:textId="77777777" w:rsidR="00EB6EB0" w:rsidRPr="00F76848" w:rsidRDefault="00EB6EB0" w:rsidP="00EB6EB0">
      <w:pPr>
        <w:spacing w:line="276" w:lineRule="auto"/>
        <w:jc w:val="center"/>
        <w:rPr>
          <w:sz w:val="20"/>
          <w:szCs w:val="20"/>
          <w:u w:val="single"/>
        </w:rPr>
      </w:pPr>
      <w:r w:rsidRPr="004B10F4">
        <w:rPr>
          <w:i/>
          <w:sz w:val="20"/>
          <w:szCs w:val="20"/>
        </w:rPr>
        <w:t xml:space="preserve">Figure </w:t>
      </w:r>
      <w:r w:rsidRPr="003670B8">
        <w:rPr>
          <w:i/>
          <w:sz w:val="20"/>
          <w:szCs w:val="20"/>
        </w:rPr>
        <w:t>5: SuperLife’s</w:t>
      </w:r>
      <w:r w:rsidRPr="004B10F4">
        <w:rPr>
          <w:i/>
          <w:sz w:val="20"/>
          <w:szCs w:val="20"/>
        </w:rPr>
        <w:t xml:space="preserve"> Economic Value Added Over Appropriate Timelines</w:t>
      </w:r>
    </w:p>
    <w:p w14:paraId="594F8127" w14:textId="77777777" w:rsidR="00EB6EB0" w:rsidRDefault="00EB6EB0" w:rsidP="00EB6EB0">
      <w:pPr>
        <w:spacing w:after="120"/>
      </w:pPr>
      <w:r w:rsidRPr="00C66659">
        <w:rPr>
          <w:i/>
        </w:rPr>
        <w:lastRenderedPageBreak/>
        <w:t>T20 Non-Smoker Bundle</w:t>
      </w:r>
      <w:r w:rsidRPr="6BC5CEB3">
        <w:rPr>
          <w:i/>
        </w:rPr>
        <w:t>:</w:t>
      </w:r>
      <w:r w:rsidRPr="3FEABF94">
        <w:rPr>
          <w:b/>
        </w:rPr>
        <w:t xml:space="preserve"> </w:t>
      </w:r>
      <w:r w:rsidRPr="3FEABF94">
        <w:t xml:space="preserve">Over a 20-year </w:t>
      </w:r>
      <w:r w:rsidRPr="003670B8">
        <w:t>timeline</w:t>
      </w:r>
      <w:r w:rsidRPr="3FEABF94">
        <w:t xml:space="preserve">, our T20 bundle with the preventative screening program has an added economic value of 7.62%, equivalent to over </w:t>
      </w:r>
      <w:r w:rsidRPr="3F75BDE4">
        <w:rPr>
          <w:color w:val="000000" w:themeColor="text1"/>
        </w:rPr>
        <w:t>Č</w:t>
      </w:r>
      <w:r w:rsidRPr="3FEABF94">
        <w:t xml:space="preserve">14,000 for every 100 policy bundles sold. Each issue age of our portfolio provides added economic value with the largest increases occurring at younger ages due to a smaller premium reduction at ages under 30. However, after ages 30, the added economic value increases from 4% at issue age 31 to 7.3% at issue age 45, demonstrating the improved profitability </w:t>
      </w:r>
      <w:r w:rsidRPr="003670B8">
        <w:t>for</w:t>
      </w:r>
      <w:r w:rsidRPr="3FEABF94">
        <w:t xml:space="preserve"> older </w:t>
      </w:r>
      <w:r w:rsidRPr="003670B8">
        <w:t>ages</w:t>
      </w:r>
      <w:r>
        <w:t xml:space="preserve"> (</w:t>
      </w:r>
      <w:r w:rsidRPr="000775C2">
        <w:t xml:space="preserve">see Appendix </w:t>
      </w:r>
      <w:r w:rsidRPr="003670B8">
        <w:t>B</w:t>
      </w:r>
      <w:r>
        <w:t>6)</w:t>
      </w:r>
      <w:r w:rsidRPr="000775C2">
        <w:t xml:space="preserve">. </w:t>
      </w:r>
    </w:p>
    <w:p w14:paraId="5A1AA8EE" w14:textId="77777777" w:rsidR="00EB6EB0" w:rsidRDefault="00EB6EB0" w:rsidP="00EB6EB0">
      <w:pPr>
        <w:spacing w:after="120"/>
      </w:pPr>
      <w:r w:rsidRPr="003670B8">
        <w:rPr>
          <w:i/>
        </w:rPr>
        <w:t xml:space="preserve">T20 Smoker Bundle: </w:t>
      </w:r>
      <w:r w:rsidRPr="003670B8">
        <w:t xml:space="preserve">Over a 20-year time horizon, our T20 bundle with the smoking cessation program has an added economic value of 13.38%, equivalent to over </w:t>
      </w:r>
      <w:r w:rsidRPr="003670B8">
        <w:rPr>
          <w:color w:val="000000" w:themeColor="text1"/>
        </w:rPr>
        <w:t>Č</w:t>
      </w:r>
      <w:r w:rsidRPr="003670B8">
        <w:t>80,000 for every 100 policy bundles sold. The largest increases in economic value occur at older ages of each premium reduction segment. For example, for the premium reduction of 2% between ages 25-30, the largest added economic value occurs at age 30. This is the same for ages 31-35 and ages 36-40, in line with our expectations (s</w:t>
      </w:r>
      <w:r w:rsidRPr="003670B8">
        <w:rPr>
          <w:iCs/>
        </w:rPr>
        <w:t>ee Appendix B</w:t>
      </w:r>
      <w:r>
        <w:rPr>
          <w:iCs/>
        </w:rPr>
        <w:t>7</w:t>
      </w:r>
      <w:r w:rsidRPr="003670B8">
        <w:rPr>
          <w:iCs/>
        </w:rPr>
        <w:t>).</w:t>
      </w:r>
    </w:p>
    <w:p w14:paraId="4BCFA4A7" w14:textId="77777777" w:rsidR="00EB6EB0" w:rsidRPr="000775C2" w:rsidRDefault="00EB6EB0" w:rsidP="00EB6EB0">
      <w:pPr>
        <w:spacing w:after="120"/>
      </w:pPr>
      <w:r w:rsidRPr="00C66659">
        <w:rPr>
          <w:i/>
        </w:rPr>
        <w:t>SPWL Non</w:t>
      </w:r>
      <w:r w:rsidRPr="5A6A9805">
        <w:rPr>
          <w:i/>
        </w:rPr>
        <w:t>-</w:t>
      </w:r>
      <w:r w:rsidRPr="00C66659">
        <w:rPr>
          <w:i/>
        </w:rPr>
        <w:t>Smoker Bundle:</w:t>
      </w:r>
      <w:r w:rsidRPr="3FEABF94">
        <w:rPr>
          <w:b/>
        </w:rPr>
        <w:t xml:space="preserve"> </w:t>
      </w:r>
      <w:r w:rsidRPr="3FEABF94">
        <w:t>For our whole life policy bundle, we projected our sample portfolio over 3 different time frames, that is, 20-year, 40-</w:t>
      </w:r>
      <w:proofErr w:type="gramStart"/>
      <w:r w:rsidRPr="3FEABF94">
        <w:t>year</w:t>
      </w:r>
      <w:proofErr w:type="gramEnd"/>
      <w:r w:rsidRPr="3FEABF94">
        <w:t xml:space="preserve"> and 60-year</w:t>
      </w:r>
      <w:r w:rsidRPr="003670B8">
        <w:t>.</w:t>
      </w:r>
      <w:r w:rsidRPr="3FEABF94">
        <w:t xml:space="preserve"> Over a 20-year period, our initial portfolio has a 0.40% added economic value, with ages less than 55 having lost economic value</w:t>
      </w:r>
      <w:r>
        <w:t>, due to</w:t>
      </w:r>
      <w:r w:rsidRPr="003670B8">
        <w:t xml:space="preserve"> the cost benefits of mortality reductions not yet </w:t>
      </w:r>
      <w:r>
        <w:t>exceeding</w:t>
      </w:r>
      <w:r w:rsidRPr="003670B8">
        <w:t xml:space="preserve"> the intervention </w:t>
      </w:r>
      <w:r>
        <w:t xml:space="preserve">expenses and </w:t>
      </w:r>
      <w:proofErr w:type="gramStart"/>
      <w:r>
        <w:t>cash-backs</w:t>
      </w:r>
      <w:proofErr w:type="gramEnd"/>
      <w:r>
        <w:t>,</w:t>
      </w:r>
      <w:r w:rsidRPr="003670B8">
        <w:t xml:space="preserve"> and ages greater than 55 having small added economic value. </w:t>
      </w:r>
      <w:r w:rsidRPr="3FEABF94">
        <w:t>However, after a 40-year projection, we see an added economic value of 5.92%, with all age issue segments being profitable. Over the 60-year projection, our model suggests that the program provides 5.08% of added economic value. Over both 40 and 60-years, our projections indicate that issue ages 50-65 will be the most profitable</w:t>
      </w:r>
      <w:r>
        <w:t xml:space="preserve"> (</w:t>
      </w:r>
      <w:r w:rsidRPr="003670B8">
        <w:rPr>
          <w:iCs/>
        </w:rPr>
        <w:t>see</w:t>
      </w:r>
      <w:r w:rsidRPr="000775C2">
        <w:rPr>
          <w:iCs/>
        </w:rPr>
        <w:t xml:space="preserve"> Appendix </w:t>
      </w:r>
      <w:r w:rsidRPr="003670B8">
        <w:rPr>
          <w:iCs/>
        </w:rPr>
        <w:t>B</w:t>
      </w:r>
      <w:r>
        <w:rPr>
          <w:iCs/>
        </w:rPr>
        <w:t>8).</w:t>
      </w:r>
    </w:p>
    <w:p w14:paraId="77EC6D9C" w14:textId="77777777" w:rsidR="00EB6EB0" w:rsidRPr="003670B8" w:rsidRDefault="00EB6EB0" w:rsidP="00EB6EB0">
      <w:pPr>
        <w:pStyle w:val="Heading3"/>
        <w:rPr>
          <w:color w:val="000000" w:themeColor="text1"/>
        </w:rPr>
      </w:pPr>
      <w:bookmarkStart w:id="4" w:name="_Toc162011302"/>
      <w:r>
        <w:rPr>
          <w:color w:val="000000" w:themeColor="text1"/>
          <w:sz w:val="24"/>
          <w:szCs w:val="24"/>
          <w:u w:val="single"/>
        </w:rPr>
        <w:t>Pricing Strategy: Proposed Pricing Changes</w:t>
      </w:r>
      <w:bookmarkEnd w:id="4"/>
    </w:p>
    <w:p w14:paraId="4435FCCC" w14:textId="77777777" w:rsidR="00EB6EB0" w:rsidRDefault="00EB6EB0" w:rsidP="00EB6EB0">
      <w:pPr>
        <w:spacing w:before="120" w:after="120"/>
      </w:pPr>
      <w:r>
        <w:rPr>
          <w:rStyle w:val="normaltextrun"/>
        </w:rPr>
        <w:t>G</w:t>
      </w:r>
      <w:r w:rsidRPr="3FEABF94">
        <w:t xml:space="preserve">iven the characteristics of our policyholders relative to the wider Lumarian population, </w:t>
      </w:r>
      <w:proofErr w:type="gramStart"/>
      <w:r w:rsidRPr="3FEABF94">
        <w:t>as well as,</w:t>
      </w:r>
      <w:proofErr w:type="gramEnd"/>
      <w:r w:rsidRPr="3FEABF94">
        <w:t xml:space="preserve"> our own projections for Lumaria’s population, </w:t>
      </w:r>
      <w:r w:rsidRPr="003670B8">
        <w:t xml:space="preserve">as seen in Appendix </w:t>
      </w:r>
      <w:r>
        <w:t>C2</w:t>
      </w:r>
      <w:r w:rsidRPr="003670B8">
        <w:t xml:space="preserve">, </w:t>
      </w:r>
      <w:r w:rsidRPr="3FEABF94">
        <w:t xml:space="preserve">we have introduced a range of </w:t>
      </w:r>
      <w:r w:rsidRPr="003670B8">
        <w:t>pricing</w:t>
      </w:r>
      <w:r w:rsidRPr="3FEABF94">
        <w:t xml:space="preserve"> changes that aim to create the most economic value for </w:t>
      </w:r>
      <w:proofErr w:type="spellStart"/>
      <w:r w:rsidRPr="3FEABF94">
        <w:t>Lumaria</w:t>
      </w:r>
      <w:proofErr w:type="spellEnd"/>
      <w:r w:rsidRPr="003670B8">
        <w:t>, whilst still maintaining ethical decision making.</w:t>
      </w:r>
      <w:r>
        <w:t xml:space="preserve"> I</w:t>
      </w:r>
      <w:r w:rsidRPr="3FEABF94">
        <w:t>ndeed, the premium discounts we provide to those that engage with the smoking cessation program depend on the age of the policyholder</w:t>
      </w:r>
      <w:r>
        <w:t xml:space="preserve"> as covered in program design</w:t>
      </w:r>
      <w:r w:rsidRPr="3FEABF94">
        <w:t xml:space="preserve">, with those under the age of 30 receiving a 2% discount, those under the age of 35 a 5% discount, and those under the age of 40 an 8% discount. </w:t>
      </w:r>
      <w:r w:rsidRPr="3FEABF94">
        <w:rPr>
          <w:b/>
        </w:rPr>
        <w:t xml:space="preserve"> </w:t>
      </w:r>
      <w:r w:rsidRPr="3FEABF94">
        <w:t xml:space="preserve">Similarly, the premium discounts we provide to those that engage with the preventative screening program depend on the age of the policyholder, with those under the age of 30 receiving a 3% discount and those under the age of 45 receiving a 5% premium discount. </w:t>
      </w:r>
      <w:r w:rsidRPr="3FEABF94">
        <w:rPr>
          <w:b/>
        </w:rPr>
        <w:t xml:space="preserve"> </w:t>
      </w:r>
      <w:r w:rsidRPr="3FEABF94">
        <w:t xml:space="preserve">Individuals engaging </w:t>
      </w:r>
      <w:r>
        <w:t xml:space="preserve">with </w:t>
      </w:r>
      <w:r w:rsidRPr="3FEABF94">
        <w:t xml:space="preserve">the heart screening program are provided with a 1.5% premium discount to their lump sum whole life premium paid at the beginning of the policy. </w:t>
      </w:r>
    </w:p>
    <w:p w14:paraId="662FF300" w14:textId="77777777" w:rsidR="00EB6EB0" w:rsidRPr="00107F2C" w:rsidRDefault="00EB6EB0" w:rsidP="00EB6EB0">
      <w:pPr>
        <w:spacing w:before="120" w:after="120"/>
      </w:pPr>
      <w:r w:rsidRPr="3FEABF94">
        <w:t>Our pricing model projecting these pricing changes over suitable timeframes indicates increases in profitability despite reductions in premium</w:t>
      </w:r>
      <w:r>
        <w:t xml:space="preserve"> and cash-back schemes</w:t>
      </w:r>
      <w:r w:rsidRPr="003670B8">
        <w:t>.</w:t>
      </w:r>
      <w:r w:rsidRPr="3FEABF94">
        <w:t xml:space="preserve"> Thus, the proposed pricing changes optimize sales through </w:t>
      </w:r>
      <w:r>
        <w:t xml:space="preserve">added </w:t>
      </w:r>
      <w:r w:rsidRPr="3FEABF94">
        <w:t>financial incentives and improve the profitability of policies on a per policy and aggregate basis.</w:t>
      </w:r>
      <w:r>
        <w:t xml:space="preserve"> </w:t>
      </w:r>
      <w:r>
        <w:rPr>
          <w:iCs/>
        </w:rPr>
        <w:t>Furthermore, p</w:t>
      </w:r>
      <w:r w:rsidRPr="003670B8">
        <w:t>remium reductions to incentivize healthy behavio</w:t>
      </w:r>
      <w:r>
        <w:t>u</w:t>
      </w:r>
      <w:r w:rsidRPr="003670B8">
        <w:t xml:space="preserve">rs </w:t>
      </w:r>
      <w:r>
        <w:t xml:space="preserve">and ultimately lower mortality </w:t>
      </w:r>
      <w:r w:rsidRPr="003670B8">
        <w:t>whilst add</w:t>
      </w:r>
      <w:r>
        <w:t>ing</w:t>
      </w:r>
      <w:r w:rsidRPr="003670B8">
        <w:t xml:space="preserve"> economic value reflects </w:t>
      </w:r>
      <w:r>
        <w:t xml:space="preserve">LCG and </w:t>
      </w:r>
      <w:r w:rsidRPr="003670B8">
        <w:t>SuperLife</w:t>
      </w:r>
      <w:r>
        <w:t>’s</w:t>
      </w:r>
      <w:r w:rsidRPr="003670B8">
        <w:t xml:space="preserve"> focus </w:t>
      </w:r>
      <w:r>
        <w:t xml:space="preserve">to consider ethical objectives beyond just </w:t>
      </w:r>
      <w:r w:rsidRPr="003670B8">
        <w:t xml:space="preserve">profit maximization. </w:t>
      </w:r>
    </w:p>
    <w:p w14:paraId="7D30EFA4" w14:textId="13D8EC6B" w:rsidR="005E4430" w:rsidRDefault="00EB6EB0">
      <w:r>
        <w:br/>
      </w:r>
    </w:p>
    <w:p w14:paraId="08C8F6F4" w14:textId="77777777" w:rsidR="00EB6EB0" w:rsidRDefault="00EB6EB0"/>
    <w:p w14:paraId="1C280B89" w14:textId="77777777" w:rsidR="00EB6EB0" w:rsidRDefault="00EB6EB0"/>
    <w:p w14:paraId="46AB06DA" w14:textId="77777777" w:rsidR="00EB6EB0" w:rsidRDefault="00EB6EB0"/>
    <w:p w14:paraId="20A4D97D" w14:textId="4579421E" w:rsidR="00EB6EB0" w:rsidRDefault="00EB6EB0">
      <w:r>
        <w:lastRenderedPageBreak/>
        <w:t>Pricing Appendix</w:t>
      </w:r>
    </w:p>
    <w:p w14:paraId="2DE2CC31" w14:textId="77777777" w:rsidR="00EB6EB0" w:rsidRPr="003670B8" w:rsidRDefault="00EB6EB0" w:rsidP="00EB6EB0">
      <w:pPr>
        <w:pStyle w:val="Heading3"/>
        <w:rPr>
          <w:color w:val="000000" w:themeColor="text1"/>
        </w:rPr>
      </w:pPr>
      <w:bookmarkStart w:id="5" w:name="_Toc162011311"/>
      <w:r>
        <w:rPr>
          <w:color w:val="000000" w:themeColor="text1"/>
          <w:sz w:val="24"/>
          <w:szCs w:val="24"/>
          <w:u w:val="single"/>
        </w:rPr>
        <w:t>Appendix B: Pricing and Costs</w:t>
      </w:r>
      <w:bookmarkEnd w:id="5"/>
    </w:p>
    <w:p w14:paraId="70C0318A" w14:textId="77777777" w:rsidR="00EB6EB0" w:rsidRDefault="00EB6EB0" w:rsidP="00EB6EB0">
      <w:pPr>
        <w:rPr>
          <w:bCs/>
          <w:i/>
        </w:rPr>
      </w:pPr>
      <w:r>
        <w:rPr>
          <w:bCs/>
          <w:i/>
        </w:rPr>
        <w:t>Appendix B1: Mortality Savings Macro Code</w:t>
      </w:r>
    </w:p>
    <w:p w14:paraId="18396EC0" w14:textId="77777777" w:rsidR="00EB6EB0" w:rsidRDefault="00EB6EB0" w:rsidP="00EB6EB0">
      <w:pPr>
        <w:rPr>
          <w:bCs/>
          <w:i/>
        </w:rPr>
      </w:pPr>
    </w:p>
    <w:p w14:paraId="6E5A79B7" w14:textId="77777777" w:rsidR="00EB6EB0" w:rsidRPr="00CA1B6F" w:rsidRDefault="00EB6EB0" w:rsidP="00EB6EB0">
      <w:pPr>
        <w:rPr>
          <w:bCs/>
          <w:iCs/>
        </w:rPr>
      </w:pPr>
      <w:r>
        <w:rPr>
          <w:bCs/>
          <w:iCs/>
        </w:rPr>
        <w:t xml:space="preserve">Explanation: By utilising the in-force data, we simulated through all the mortality experiences at each issue age over the past 20 years, starting from 2004. This required us to find the different possible mortality years experienced over each different policy type. For example, for an individual aged 35, who was issued a T20 policy in year 2014, they would have only experienced at most 10 years of their policy, thus we simulate the expected mortality cost of 10 years. We do this for each age issue for each of our policy bundles, in accordance with our Figure 1. The final expected mortality costs at each age issue </w:t>
      </w:r>
      <w:proofErr w:type="gramStart"/>
      <w:r>
        <w:rPr>
          <w:bCs/>
          <w:iCs/>
        </w:rPr>
        <w:t>is</w:t>
      </w:r>
      <w:proofErr w:type="gramEnd"/>
      <w:r>
        <w:rPr>
          <w:bCs/>
          <w:iCs/>
        </w:rPr>
        <w:t xml:space="preserve"> then returned utilising the macro below. This is then subtracted from the actual mortality costs at each age issue for the given policy type as found in the in-force dataset to obtain the mortality savings. </w:t>
      </w:r>
    </w:p>
    <w:p w14:paraId="1FFC43A4" w14:textId="77777777" w:rsidR="00EB6EB0" w:rsidRDefault="00EB6EB0" w:rsidP="00EB6EB0">
      <w:pPr>
        <w:rPr>
          <w:bCs/>
          <w:i/>
        </w:rPr>
      </w:pPr>
      <w:r>
        <w:rPr>
          <w:bCs/>
          <w:i/>
          <w:noProof/>
        </w:rPr>
        <w:drawing>
          <wp:anchor distT="0" distB="0" distL="114300" distR="114300" simplePos="0" relativeHeight="251669504" behindDoc="1" locked="0" layoutInCell="1" allowOverlap="1" wp14:anchorId="349FE6BF" wp14:editId="7563EC8C">
            <wp:simplePos x="0" y="0"/>
            <wp:positionH relativeFrom="column">
              <wp:posOffset>0</wp:posOffset>
            </wp:positionH>
            <wp:positionV relativeFrom="paragraph">
              <wp:posOffset>217170</wp:posOffset>
            </wp:positionV>
            <wp:extent cx="5943600" cy="1393190"/>
            <wp:effectExtent l="0" t="0" r="0" b="3810"/>
            <wp:wrapTight wrapText="bothSides">
              <wp:wrapPolygon edited="0">
                <wp:start x="0" y="0"/>
                <wp:lineTo x="0" y="21462"/>
                <wp:lineTo x="21554" y="21462"/>
                <wp:lineTo x="21554" y="0"/>
                <wp:lineTo x="0" y="0"/>
              </wp:wrapPolygon>
            </wp:wrapTight>
            <wp:docPr id="156013009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30090" name="Picture 1" descr="A close-up of a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14:sizeRelH relativeFrom="page">
              <wp14:pctWidth>0</wp14:pctWidth>
            </wp14:sizeRelH>
            <wp14:sizeRelV relativeFrom="page">
              <wp14:pctHeight>0</wp14:pctHeight>
            </wp14:sizeRelV>
          </wp:anchor>
        </w:drawing>
      </w:r>
    </w:p>
    <w:p w14:paraId="2BBB9C1B" w14:textId="77777777" w:rsidR="00EB6EB0" w:rsidRDefault="00EB6EB0" w:rsidP="00EB6EB0">
      <w:pPr>
        <w:rPr>
          <w:bCs/>
          <w:i/>
        </w:rPr>
      </w:pPr>
    </w:p>
    <w:p w14:paraId="5760941F" w14:textId="77777777" w:rsidR="00EB6EB0" w:rsidRDefault="00EB6EB0" w:rsidP="00EB6EB0">
      <w:pPr>
        <w:rPr>
          <w:bCs/>
          <w:i/>
        </w:rPr>
      </w:pPr>
    </w:p>
    <w:p w14:paraId="2F1F3AB6" w14:textId="77777777" w:rsidR="00EB6EB0" w:rsidRDefault="00EB6EB0" w:rsidP="00EB6EB0">
      <w:pPr>
        <w:rPr>
          <w:bCs/>
          <w:i/>
        </w:rPr>
      </w:pPr>
    </w:p>
    <w:p w14:paraId="5C1C1C9A" w14:textId="77777777" w:rsidR="00EB6EB0" w:rsidRDefault="00EB6EB0" w:rsidP="00EB6EB0">
      <w:pPr>
        <w:rPr>
          <w:bCs/>
          <w:i/>
        </w:rPr>
      </w:pPr>
    </w:p>
    <w:p w14:paraId="3D821A89" w14:textId="77777777" w:rsidR="00EB6EB0" w:rsidRDefault="00EB6EB0" w:rsidP="00EB6EB0">
      <w:pPr>
        <w:rPr>
          <w:bCs/>
          <w:i/>
        </w:rPr>
      </w:pPr>
    </w:p>
    <w:p w14:paraId="4340C466" w14:textId="77777777" w:rsidR="00EB6EB0" w:rsidRDefault="00EB6EB0" w:rsidP="00EB6EB0">
      <w:pPr>
        <w:rPr>
          <w:bCs/>
          <w:i/>
        </w:rPr>
      </w:pPr>
    </w:p>
    <w:p w14:paraId="26BB5399" w14:textId="77777777" w:rsidR="00EB6EB0" w:rsidRDefault="00EB6EB0" w:rsidP="00EB6EB0">
      <w:pPr>
        <w:rPr>
          <w:bCs/>
          <w:i/>
        </w:rPr>
      </w:pPr>
    </w:p>
    <w:p w14:paraId="7B82E68D" w14:textId="77777777" w:rsidR="00EB6EB0" w:rsidRDefault="00EB6EB0" w:rsidP="00EB6EB0">
      <w:pPr>
        <w:rPr>
          <w:bCs/>
          <w:i/>
        </w:rPr>
      </w:pPr>
    </w:p>
    <w:p w14:paraId="67D3A47C" w14:textId="77777777" w:rsidR="00EB6EB0" w:rsidRDefault="00EB6EB0" w:rsidP="00EB6EB0">
      <w:pPr>
        <w:rPr>
          <w:bCs/>
          <w:i/>
        </w:rPr>
      </w:pPr>
    </w:p>
    <w:p w14:paraId="3D5A0D3A" w14:textId="77777777" w:rsidR="00EB6EB0" w:rsidRDefault="00EB6EB0" w:rsidP="00EB6EB0">
      <w:pPr>
        <w:rPr>
          <w:bCs/>
          <w:i/>
        </w:rPr>
      </w:pPr>
    </w:p>
    <w:p w14:paraId="42BA3E4A" w14:textId="77777777" w:rsidR="00EB6EB0" w:rsidRDefault="00EB6EB0" w:rsidP="00EB6EB0">
      <w:pPr>
        <w:rPr>
          <w:bCs/>
          <w:i/>
        </w:rPr>
      </w:pPr>
    </w:p>
    <w:p w14:paraId="7DF47D03" w14:textId="77777777" w:rsidR="00EB6EB0" w:rsidRDefault="00EB6EB0" w:rsidP="00EB6EB0">
      <w:pPr>
        <w:rPr>
          <w:bCs/>
          <w:i/>
        </w:rPr>
      </w:pPr>
    </w:p>
    <w:p w14:paraId="276CDE04" w14:textId="77777777" w:rsidR="00EB6EB0" w:rsidRDefault="00EB6EB0" w:rsidP="00EB6EB0">
      <w:pPr>
        <w:rPr>
          <w:bCs/>
          <w:i/>
        </w:rPr>
      </w:pPr>
    </w:p>
    <w:p w14:paraId="168E17F2" w14:textId="77777777" w:rsidR="00EB6EB0" w:rsidRDefault="00EB6EB0" w:rsidP="00EB6EB0">
      <w:pPr>
        <w:rPr>
          <w:bCs/>
          <w:i/>
        </w:rPr>
      </w:pPr>
    </w:p>
    <w:p w14:paraId="6439663E" w14:textId="77777777" w:rsidR="00EB6EB0" w:rsidRDefault="00EB6EB0" w:rsidP="00EB6EB0">
      <w:pPr>
        <w:rPr>
          <w:bCs/>
          <w:i/>
        </w:rPr>
      </w:pPr>
    </w:p>
    <w:p w14:paraId="091455BB" w14:textId="77777777" w:rsidR="00EB6EB0" w:rsidRDefault="00EB6EB0" w:rsidP="00EB6EB0">
      <w:pPr>
        <w:rPr>
          <w:bCs/>
          <w:i/>
        </w:rPr>
      </w:pPr>
    </w:p>
    <w:p w14:paraId="6C29AE6A" w14:textId="77777777" w:rsidR="00EB6EB0" w:rsidRDefault="00EB6EB0" w:rsidP="00EB6EB0">
      <w:pPr>
        <w:rPr>
          <w:bCs/>
          <w:i/>
        </w:rPr>
      </w:pPr>
    </w:p>
    <w:p w14:paraId="1614FD4A" w14:textId="77777777" w:rsidR="00EB6EB0" w:rsidRDefault="00EB6EB0" w:rsidP="00EB6EB0">
      <w:pPr>
        <w:rPr>
          <w:bCs/>
          <w:i/>
        </w:rPr>
      </w:pPr>
    </w:p>
    <w:p w14:paraId="3E45BF33" w14:textId="77777777" w:rsidR="00EB6EB0" w:rsidRDefault="00EB6EB0" w:rsidP="00EB6EB0">
      <w:pPr>
        <w:rPr>
          <w:bCs/>
          <w:i/>
        </w:rPr>
      </w:pPr>
    </w:p>
    <w:p w14:paraId="14C4CDAA" w14:textId="77777777" w:rsidR="00EB6EB0" w:rsidRDefault="00EB6EB0" w:rsidP="00EB6EB0">
      <w:pPr>
        <w:rPr>
          <w:bCs/>
          <w:i/>
        </w:rPr>
      </w:pPr>
    </w:p>
    <w:p w14:paraId="5D12A6D5" w14:textId="77777777" w:rsidR="00EB6EB0" w:rsidRDefault="00EB6EB0" w:rsidP="00EB6EB0">
      <w:pPr>
        <w:rPr>
          <w:bCs/>
          <w:i/>
        </w:rPr>
      </w:pPr>
    </w:p>
    <w:p w14:paraId="2F971C6F" w14:textId="77777777" w:rsidR="00EB6EB0" w:rsidRDefault="00EB6EB0" w:rsidP="00EB6EB0">
      <w:pPr>
        <w:rPr>
          <w:bCs/>
          <w:i/>
        </w:rPr>
      </w:pPr>
    </w:p>
    <w:p w14:paraId="532AAD1C" w14:textId="77777777" w:rsidR="00EB6EB0" w:rsidRDefault="00EB6EB0" w:rsidP="00EB6EB0">
      <w:pPr>
        <w:rPr>
          <w:bCs/>
          <w:i/>
        </w:rPr>
      </w:pPr>
    </w:p>
    <w:p w14:paraId="273FDC65" w14:textId="77777777" w:rsidR="00EB6EB0" w:rsidRDefault="00EB6EB0" w:rsidP="00EB6EB0">
      <w:pPr>
        <w:rPr>
          <w:bCs/>
          <w:i/>
        </w:rPr>
      </w:pPr>
    </w:p>
    <w:p w14:paraId="5C87B721" w14:textId="77777777" w:rsidR="00EB6EB0" w:rsidRDefault="00EB6EB0" w:rsidP="00EB6EB0">
      <w:pPr>
        <w:rPr>
          <w:bCs/>
          <w:i/>
        </w:rPr>
      </w:pPr>
    </w:p>
    <w:p w14:paraId="57F6E4A2" w14:textId="660803D4" w:rsidR="00EB6EB0" w:rsidRDefault="00EB6EB0" w:rsidP="00EB6EB0">
      <w:pPr>
        <w:rPr>
          <w:bCs/>
          <w:i/>
        </w:rPr>
      </w:pPr>
      <w:r>
        <w:rPr>
          <w:bCs/>
          <w:i/>
        </w:rPr>
        <w:lastRenderedPageBreak/>
        <w:t>Appendix B2: Deriving Economic Value</w:t>
      </w:r>
    </w:p>
    <w:p w14:paraId="35AE01CE" w14:textId="77777777" w:rsidR="00EB6EB0" w:rsidRDefault="00EB6EB0" w:rsidP="00EB6EB0">
      <w:pPr>
        <w:rPr>
          <w:bCs/>
          <w:iCs/>
        </w:rPr>
      </w:pPr>
    </w:p>
    <w:p w14:paraId="6F880557" w14:textId="77777777" w:rsidR="00EB6EB0" w:rsidRPr="007D73D6" w:rsidRDefault="00EB6EB0" w:rsidP="00EB6EB0">
      <w:pPr>
        <w:rPr>
          <w:bCs/>
          <w:iCs/>
        </w:rPr>
      </w:pPr>
      <w:r>
        <w:rPr>
          <w:bCs/>
          <w:iCs/>
        </w:rPr>
        <w:t xml:space="preserve">Our process to derive the economic value of our process is as follows. To start off, we </w:t>
      </w:r>
      <w:proofErr w:type="gramStart"/>
      <w:r>
        <w:rPr>
          <w:bCs/>
          <w:iCs/>
        </w:rPr>
        <w:t>have to</w:t>
      </w:r>
      <w:proofErr w:type="gramEnd"/>
      <w:r>
        <w:rPr>
          <w:bCs/>
          <w:iCs/>
        </w:rPr>
        <w:t xml:space="preserve"> determine what the premium is for the policy to obtain a net present value of 0. This is done using the solver function in Excel. After this, we apply a 20% premium loading to obtain our estimated premium if we were not implementing our program. We also obtain the net present value as a proxy for profits obtained under this policy type. We then implement the mortality improvements and intervention costs into our Excel model to create a new model that includes the benefits and costs of our intervention program. We apply the premiums obtained from the previous policy types, however also applying the premium discounts we offer as financial incentives. We then loop through each issue age, as each issue age has different premium discounts as well as different mortality improvement, to obtain the net present value at each issue age. The difference between the net present value we just calculated with the intervention program and the net present value without the intervention program is used as a measure for the added economic value. We utilise the composition of the original book to perform a weighted sum on the economic value at each issue age to obtain an average economic value for each policy sold. This is multiplied by 100 for our final metric of added economic value per 100 policies sold.</w:t>
      </w:r>
    </w:p>
    <w:p w14:paraId="5041BBB6" w14:textId="77777777" w:rsidR="00EB6EB0" w:rsidRDefault="00EB6EB0" w:rsidP="00EB6EB0">
      <w:pPr>
        <w:rPr>
          <w:bCs/>
          <w:i/>
        </w:rPr>
      </w:pPr>
    </w:p>
    <w:p w14:paraId="04CB1E8C" w14:textId="77777777" w:rsidR="00EB6EB0" w:rsidRDefault="00EB6EB0" w:rsidP="00EB6EB0">
      <w:pPr>
        <w:rPr>
          <w:bCs/>
          <w:i/>
        </w:rPr>
      </w:pPr>
      <w:r>
        <w:rPr>
          <w:noProof/>
        </w:rPr>
        <w:drawing>
          <wp:inline distT="0" distB="0" distL="0" distR="0" wp14:anchorId="1576BBC9" wp14:editId="070ECA57">
            <wp:extent cx="5943600" cy="4406900"/>
            <wp:effectExtent l="0" t="0" r="0" b="0"/>
            <wp:docPr id="4543040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04066" name="Picture 1" descr="A screenshot of a computer program&#10;&#10;Description automatically generated"/>
                    <pic:cNvPicPr/>
                  </pic:nvPicPr>
                  <pic:blipFill>
                    <a:blip r:embed="rId7"/>
                    <a:stretch>
                      <a:fillRect/>
                    </a:stretch>
                  </pic:blipFill>
                  <pic:spPr>
                    <a:xfrm>
                      <a:off x="0" y="0"/>
                      <a:ext cx="5943600" cy="4406900"/>
                    </a:xfrm>
                    <a:prstGeom prst="rect">
                      <a:avLst/>
                    </a:prstGeom>
                  </pic:spPr>
                </pic:pic>
              </a:graphicData>
            </a:graphic>
          </wp:inline>
        </w:drawing>
      </w:r>
    </w:p>
    <w:p w14:paraId="7F5F83C6" w14:textId="77777777" w:rsidR="00EB6EB0" w:rsidRPr="00E2714E" w:rsidRDefault="00EB6EB0" w:rsidP="00EB6EB0">
      <w:pPr>
        <w:rPr>
          <w:bCs/>
          <w:i/>
        </w:rPr>
      </w:pPr>
      <w:r w:rsidRPr="003670B8">
        <w:rPr>
          <w:noProof/>
        </w:rPr>
        <w:lastRenderedPageBreak/>
        <w:drawing>
          <wp:anchor distT="0" distB="0" distL="114300" distR="114300" simplePos="0" relativeHeight="251665408" behindDoc="1" locked="0" layoutInCell="1" allowOverlap="1" wp14:anchorId="5D75278C" wp14:editId="727B0BAF">
            <wp:simplePos x="0" y="0"/>
            <wp:positionH relativeFrom="margin">
              <wp:align>left</wp:align>
            </wp:positionH>
            <wp:positionV relativeFrom="paragraph">
              <wp:posOffset>297815</wp:posOffset>
            </wp:positionV>
            <wp:extent cx="5831840" cy="3705225"/>
            <wp:effectExtent l="0" t="0" r="0" b="9525"/>
            <wp:wrapTight wrapText="bothSides">
              <wp:wrapPolygon edited="0">
                <wp:start x="0" y="0"/>
                <wp:lineTo x="0" y="21544"/>
                <wp:lineTo x="21520" y="21544"/>
                <wp:lineTo x="21520" y="0"/>
                <wp:lineTo x="0" y="0"/>
              </wp:wrapPolygon>
            </wp:wrapTight>
            <wp:docPr id="77743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39447" name=""/>
                    <pic:cNvPicPr/>
                  </pic:nvPicPr>
                  <pic:blipFill>
                    <a:blip r:embed="rId8">
                      <a:extLst>
                        <a:ext uri="{28A0092B-C50C-407E-A947-70E740481C1C}">
                          <a14:useLocalDpi xmlns:a14="http://schemas.microsoft.com/office/drawing/2010/main" val="0"/>
                        </a:ext>
                      </a:extLst>
                    </a:blip>
                    <a:stretch>
                      <a:fillRect/>
                    </a:stretch>
                  </pic:blipFill>
                  <pic:spPr>
                    <a:xfrm>
                      <a:off x="0" y="0"/>
                      <a:ext cx="5831840" cy="3705225"/>
                    </a:xfrm>
                    <a:prstGeom prst="rect">
                      <a:avLst/>
                    </a:prstGeom>
                  </pic:spPr>
                </pic:pic>
              </a:graphicData>
            </a:graphic>
            <wp14:sizeRelH relativeFrom="page">
              <wp14:pctWidth>0</wp14:pctWidth>
            </wp14:sizeRelH>
            <wp14:sizeRelV relativeFrom="page">
              <wp14:pctHeight>0</wp14:pctHeight>
            </wp14:sizeRelV>
          </wp:anchor>
        </w:drawing>
      </w:r>
      <w:r w:rsidRPr="00C03844">
        <w:rPr>
          <w:bCs/>
          <w:i/>
        </w:rPr>
        <w:t xml:space="preserve">Appendix </w:t>
      </w:r>
      <w:r w:rsidRPr="003670B8">
        <w:rPr>
          <w:i/>
        </w:rPr>
        <w:t>B</w:t>
      </w:r>
      <w:r>
        <w:rPr>
          <w:i/>
        </w:rPr>
        <w:t>3</w:t>
      </w:r>
      <w:r w:rsidRPr="00C03844">
        <w:rPr>
          <w:bCs/>
          <w:i/>
        </w:rPr>
        <w:t>: Mortality Savings T20 Non-Smoker Bundle</w:t>
      </w:r>
      <w:r w:rsidRPr="00C03844">
        <w:rPr>
          <w:bCs/>
        </w:rPr>
        <w:t xml:space="preserve"> </w:t>
      </w:r>
    </w:p>
    <w:p w14:paraId="0E4F3580" w14:textId="77777777" w:rsidR="00EB6EB0" w:rsidRPr="00C03844" w:rsidRDefault="00EB6EB0" w:rsidP="00EB6EB0">
      <w:pPr>
        <w:rPr>
          <w:bCs/>
        </w:rPr>
      </w:pPr>
    </w:p>
    <w:p w14:paraId="0FC418A4" w14:textId="77777777" w:rsidR="00EB6EB0" w:rsidRPr="00C03844" w:rsidRDefault="00EB6EB0" w:rsidP="00EB6EB0">
      <w:pPr>
        <w:rPr>
          <w:bCs/>
        </w:rPr>
      </w:pPr>
    </w:p>
    <w:p w14:paraId="70F1F456" w14:textId="77777777" w:rsidR="00EB6EB0" w:rsidRPr="00C03844" w:rsidRDefault="00EB6EB0" w:rsidP="00EB6EB0">
      <w:pPr>
        <w:rPr>
          <w:bCs/>
        </w:rPr>
      </w:pPr>
    </w:p>
    <w:p w14:paraId="0D378041" w14:textId="77777777" w:rsidR="00EB6EB0" w:rsidRPr="00C03844" w:rsidRDefault="00EB6EB0" w:rsidP="00EB6EB0">
      <w:pPr>
        <w:rPr>
          <w:bCs/>
        </w:rPr>
      </w:pPr>
    </w:p>
    <w:p w14:paraId="253FFE94" w14:textId="77777777" w:rsidR="00EB6EB0" w:rsidRPr="00C03844" w:rsidRDefault="00EB6EB0" w:rsidP="00EB6EB0">
      <w:pPr>
        <w:rPr>
          <w:bCs/>
        </w:rPr>
      </w:pPr>
    </w:p>
    <w:p w14:paraId="231639C0" w14:textId="77777777" w:rsidR="00EB6EB0" w:rsidRPr="00C03844" w:rsidRDefault="00EB6EB0" w:rsidP="00EB6EB0">
      <w:pPr>
        <w:rPr>
          <w:bCs/>
        </w:rPr>
      </w:pPr>
    </w:p>
    <w:p w14:paraId="26B24741" w14:textId="77777777" w:rsidR="00EB6EB0" w:rsidRPr="00C03844" w:rsidRDefault="00EB6EB0" w:rsidP="00EB6EB0">
      <w:pPr>
        <w:rPr>
          <w:bCs/>
        </w:rPr>
      </w:pPr>
    </w:p>
    <w:p w14:paraId="20644D8D" w14:textId="77777777" w:rsidR="00EB6EB0" w:rsidRPr="00C03844" w:rsidRDefault="00EB6EB0" w:rsidP="00EB6EB0">
      <w:pPr>
        <w:rPr>
          <w:bCs/>
        </w:rPr>
      </w:pPr>
    </w:p>
    <w:p w14:paraId="42FFD1E5" w14:textId="77777777" w:rsidR="00EB6EB0" w:rsidRPr="00C03844" w:rsidRDefault="00EB6EB0" w:rsidP="00EB6EB0">
      <w:pPr>
        <w:rPr>
          <w:bCs/>
        </w:rPr>
      </w:pPr>
    </w:p>
    <w:p w14:paraId="6B241674" w14:textId="77777777" w:rsidR="00EB6EB0" w:rsidRPr="00C03844" w:rsidRDefault="00EB6EB0" w:rsidP="00EB6EB0">
      <w:pPr>
        <w:rPr>
          <w:bCs/>
        </w:rPr>
      </w:pPr>
    </w:p>
    <w:p w14:paraId="627E5F4B" w14:textId="77777777" w:rsidR="00EB6EB0" w:rsidRPr="00C03844" w:rsidRDefault="00EB6EB0" w:rsidP="00EB6EB0">
      <w:pPr>
        <w:rPr>
          <w:bCs/>
        </w:rPr>
      </w:pPr>
    </w:p>
    <w:p w14:paraId="251AA387" w14:textId="77777777" w:rsidR="00EB6EB0" w:rsidRPr="00C03844" w:rsidRDefault="00EB6EB0" w:rsidP="00EB6EB0">
      <w:pPr>
        <w:rPr>
          <w:bCs/>
          <w:i/>
        </w:rPr>
      </w:pPr>
      <w:r w:rsidRPr="00C03844">
        <w:rPr>
          <w:bCs/>
          <w:i/>
        </w:rPr>
        <w:t xml:space="preserve"> </w:t>
      </w:r>
    </w:p>
    <w:p w14:paraId="0A003F5F" w14:textId="77777777" w:rsidR="00EB6EB0" w:rsidRPr="00C03844" w:rsidRDefault="00EB6EB0" w:rsidP="00EB6EB0">
      <w:pPr>
        <w:rPr>
          <w:bCs/>
          <w:i/>
        </w:rPr>
      </w:pPr>
    </w:p>
    <w:p w14:paraId="468BE45F" w14:textId="77777777" w:rsidR="00EB6EB0" w:rsidRPr="00C03844" w:rsidRDefault="00EB6EB0" w:rsidP="00EB6EB0">
      <w:pPr>
        <w:rPr>
          <w:bCs/>
          <w:i/>
        </w:rPr>
      </w:pPr>
    </w:p>
    <w:p w14:paraId="7FC4E793" w14:textId="77777777" w:rsidR="00EB6EB0" w:rsidRPr="00C03844" w:rsidRDefault="00EB6EB0" w:rsidP="00EB6EB0">
      <w:pPr>
        <w:rPr>
          <w:bCs/>
          <w:i/>
        </w:rPr>
      </w:pPr>
    </w:p>
    <w:p w14:paraId="3FF4F527" w14:textId="77777777" w:rsidR="00EB6EB0" w:rsidRPr="00C03844" w:rsidRDefault="00EB6EB0" w:rsidP="00EB6EB0">
      <w:pPr>
        <w:rPr>
          <w:bCs/>
          <w:i/>
        </w:rPr>
      </w:pPr>
    </w:p>
    <w:p w14:paraId="336DB1A9" w14:textId="77777777" w:rsidR="00EB6EB0" w:rsidRPr="00C03844" w:rsidRDefault="00EB6EB0" w:rsidP="00EB6EB0">
      <w:pPr>
        <w:rPr>
          <w:bCs/>
          <w:i/>
        </w:rPr>
      </w:pPr>
    </w:p>
    <w:p w14:paraId="124567BB" w14:textId="77777777" w:rsidR="00EB6EB0" w:rsidRPr="00C03844" w:rsidRDefault="00EB6EB0" w:rsidP="00EB6EB0">
      <w:pPr>
        <w:rPr>
          <w:bCs/>
          <w:i/>
        </w:rPr>
      </w:pPr>
    </w:p>
    <w:p w14:paraId="0BA9216A" w14:textId="77777777" w:rsidR="00EB6EB0" w:rsidRPr="00C03844" w:rsidRDefault="00EB6EB0" w:rsidP="00EB6EB0">
      <w:pPr>
        <w:rPr>
          <w:bCs/>
          <w:i/>
        </w:rPr>
      </w:pPr>
    </w:p>
    <w:p w14:paraId="7273A6FD" w14:textId="77777777" w:rsidR="00EB6EB0" w:rsidRPr="00C03844" w:rsidRDefault="00EB6EB0" w:rsidP="00EB6EB0">
      <w:pPr>
        <w:spacing w:after="160" w:line="279" w:lineRule="auto"/>
        <w:rPr>
          <w:bCs/>
          <w:i/>
        </w:rPr>
      </w:pPr>
      <w:r w:rsidRPr="00C03844">
        <w:rPr>
          <w:bCs/>
          <w:i/>
        </w:rPr>
        <w:br w:type="page"/>
      </w:r>
    </w:p>
    <w:p w14:paraId="59DA1CB0" w14:textId="77777777" w:rsidR="00EB6EB0" w:rsidRPr="00C03844" w:rsidRDefault="00EB6EB0" w:rsidP="00EB6EB0">
      <w:pPr>
        <w:rPr>
          <w:bCs/>
        </w:rPr>
      </w:pPr>
      <w:r w:rsidRPr="003670B8">
        <w:rPr>
          <w:noProof/>
        </w:rPr>
        <w:lastRenderedPageBreak/>
        <w:drawing>
          <wp:anchor distT="0" distB="0" distL="114300" distR="114300" simplePos="0" relativeHeight="251664384" behindDoc="1" locked="0" layoutInCell="1" allowOverlap="1" wp14:anchorId="757C3301" wp14:editId="38BDA5EC">
            <wp:simplePos x="0" y="0"/>
            <wp:positionH relativeFrom="margin">
              <wp:align>right</wp:align>
            </wp:positionH>
            <wp:positionV relativeFrom="paragraph">
              <wp:posOffset>238125</wp:posOffset>
            </wp:positionV>
            <wp:extent cx="5943600" cy="2896870"/>
            <wp:effectExtent l="0" t="0" r="0" b="0"/>
            <wp:wrapTight wrapText="bothSides">
              <wp:wrapPolygon edited="0">
                <wp:start x="0" y="0"/>
                <wp:lineTo x="0" y="21448"/>
                <wp:lineTo x="21531" y="21448"/>
                <wp:lineTo x="21531" y="0"/>
                <wp:lineTo x="0" y="0"/>
              </wp:wrapPolygon>
            </wp:wrapTight>
            <wp:docPr id="265623483"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3483" name="Picture 1" descr="A table with numbers and symbo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96870"/>
                    </a:xfrm>
                    <a:prstGeom prst="rect">
                      <a:avLst/>
                    </a:prstGeom>
                  </pic:spPr>
                </pic:pic>
              </a:graphicData>
            </a:graphic>
            <wp14:sizeRelH relativeFrom="page">
              <wp14:pctWidth>0</wp14:pctWidth>
            </wp14:sizeRelH>
            <wp14:sizeRelV relativeFrom="page">
              <wp14:pctHeight>0</wp14:pctHeight>
            </wp14:sizeRelV>
          </wp:anchor>
        </w:drawing>
      </w:r>
      <w:r w:rsidRPr="00C03844">
        <w:rPr>
          <w:bCs/>
          <w:i/>
        </w:rPr>
        <w:t xml:space="preserve">Appendix </w:t>
      </w:r>
      <w:r w:rsidRPr="003670B8">
        <w:rPr>
          <w:i/>
        </w:rPr>
        <w:t>B</w:t>
      </w:r>
      <w:r>
        <w:rPr>
          <w:i/>
        </w:rPr>
        <w:t>4</w:t>
      </w:r>
      <w:r w:rsidRPr="00C03844">
        <w:rPr>
          <w:bCs/>
          <w:i/>
        </w:rPr>
        <w:t>: Mortality Savings T20 Smoker Bundle</w:t>
      </w:r>
    </w:p>
    <w:p w14:paraId="1F8B719E" w14:textId="77777777" w:rsidR="00EB6EB0" w:rsidRPr="00C03844" w:rsidRDefault="00EB6EB0" w:rsidP="00EB6EB0">
      <w:pPr>
        <w:rPr>
          <w:bCs/>
        </w:rPr>
      </w:pPr>
    </w:p>
    <w:p w14:paraId="43928088" w14:textId="77777777" w:rsidR="00EB6EB0" w:rsidRPr="00C03844" w:rsidRDefault="00EB6EB0" w:rsidP="00EB6EB0">
      <w:pPr>
        <w:rPr>
          <w:bCs/>
        </w:rPr>
      </w:pPr>
    </w:p>
    <w:p w14:paraId="6659BBD8" w14:textId="77777777" w:rsidR="00EB6EB0" w:rsidRPr="00C03844" w:rsidRDefault="00EB6EB0" w:rsidP="00EB6EB0">
      <w:pPr>
        <w:rPr>
          <w:bCs/>
        </w:rPr>
      </w:pPr>
    </w:p>
    <w:p w14:paraId="1B883087" w14:textId="77777777" w:rsidR="00EB6EB0" w:rsidRPr="00C03844" w:rsidRDefault="00EB6EB0" w:rsidP="00EB6EB0">
      <w:pPr>
        <w:spacing w:after="160" w:line="279" w:lineRule="auto"/>
        <w:rPr>
          <w:bCs/>
        </w:rPr>
      </w:pPr>
      <w:r w:rsidRPr="00C03844">
        <w:rPr>
          <w:bCs/>
        </w:rPr>
        <w:br w:type="page"/>
      </w:r>
    </w:p>
    <w:p w14:paraId="52BA6377" w14:textId="77777777" w:rsidR="00EB6EB0" w:rsidRPr="00C03844" w:rsidRDefault="00EB6EB0" w:rsidP="00EB6EB0">
      <w:pPr>
        <w:rPr>
          <w:bCs/>
          <w:i/>
        </w:rPr>
      </w:pPr>
      <w:r w:rsidRPr="003670B8">
        <w:rPr>
          <w:noProof/>
        </w:rPr>
        <w:lastRenderedPageBreak/>
        <w:drawing>
          <wp:anchor distT="0" distB="0" distL="114300" distR="114300" simplePos="0" relativeHeight="251666432" behindDoc="1" locked="0" layoutInCell="1" allowOverlap="1" wp14:anchorId="5E93329D" wp14:editId="50098FBE">
            <wp:simplePos x="0" y="0"/>
            <wp:positionH relativeFrom="margin">
              <wp:align>right</wp:align>
            </wp:positionH>
            <wp:positionV relativeFrom="paragraph">
              <wp:posOffset>237490</wp:posOffset>
            </wp:positionV>
            <wp:extent cx="5986145" cy="3724275"/>
            <wp:effectExtent l="0" t="0" r="0" b="9525"/>
            <wp:wrapTopAndBottom/>
            <wp:docPr id="73477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78621" name=""/>
                    <pic:cNvPicPr/>
                  </pic:nvPicPr>
                  <pic:blipFill>
                    <a:blip r:embed="rId10">
                      <a:extLst>
                        <a:ext uri="{28A0092B-C50C-407E-A947-70E740481C1C}">
                          <a14:useLocalDpi xmlns:a14="http://schemas.microsoft.com/office/drawing/2010/main" val="0"/>
                        </a:ext>
                      </a:extLst>
                    </a:blip>
                    <a:stretch>
                      <a:fillRect/>
                    </a:stretch>
                  </pic:blipFill>
                  <pic:spPr>
                    <a:xfrm>
                      <a:off x="0" y="0"/>
                      <a:ext cx="5986145" cy="3724275"/>
                    </a:xfrm>
                    <a:prstGeom prst="rect">
                      <a:avLst/>
                    </a:prstGeom>
                  </pic:spPr>
                </pic:pic>
              </a:graphicData>
            </a:graphic>
            <wp14:sizeRelH relativeFrom="page">
              <wp14:pctWidth>0</wp14:pctWidth>
            </wp14:sizeRelH>
            <wp14:sizeRelV relativeFrom="page">
              <wp14:pctHeight>0</wp14:pctHeight>
            </wp14:sizeRelV>
          </wp:anchor>
        </w:drawing>
      </w:r>
      <w:r w:rsidRPr="00C03844">
        <w:rPr>
          <w:bCs/>
          <w:i/>
        </w:rPr>
        <w:t xml:space="preserve">Appendix </w:t>
      </w:r>
      <w:r w:rsidRPr="003670B8">
        <w:rPr>
          <w:i/>
        </w:rPr>
        <w:t>B</w:t>
      </w:r>
      <w:r>
        <w:rPr>
          <w:i/>
        </w:rPr>
        <w:t>5</w:t>
      </w:r>
      <w:r w:rsidRPr="00C03844">
        <w:rPr>
          <w:bCs/>
          <w:i/>
        </w:rPr>
        <w:t>: Mortality Savings SPWL Non-Smoker Bundle</w:t>
      </w:r>
    </w:p>
    <w:p w14:paraId="53869D74" w14:textId="77777777" w:rsidR="00EB6EB0" w:rsidRPr="00C03844" w:rsidRDefault="00EB6EB0" w:rsidP="00EB6EB0">
      <w:pPr>
        <w:rPr>
          <w:bCs/>
        </w:rPr>
      </w:pPr>
    </w:p>
    <w:p w14:paraId="6E534115" w14:textId="77777777" w:rsidR="00EB6EB0" w:rsidRPr="00C03844" w:rsidRDefault="00EB6EB0" w:rsidP="00EB6EB0">
      <w:pPr>
        <w:spacing w:after="160" w:line="279" w:lineRule="auto"/>
        <w:rPr>
          <w:bCs/>
          <w:i/>
        </w:rPr>
      </w:pPr>
      <w:r w:rsidRPr="00C03844">
        <w:rPr>
          <w:bCs/>
          <w:i/>
        </w:rPr>
        <w:br w:type="page"/>
      </w:r>
    </w:p>
    <w:p w14:paraId="0AF4A995" w14:textId="77777777" w:rsidR="00EB6EB0" w:rsidRPr="00C03844" w:rsidRDefault="00EB6EB0" w:rsidP="00EB6EB0">
      <w:pPr>
        <w:rPr>
          <w:bCs/>
        </w:rPr>
      </w:pPr>
      <w:r w:rsidRPr="003670B8">
        <w:rPr>
          <w:i/>
          <w:noProof/>
        </w:rPr>
        <w:lastRenderedPageBreak/>
        <w:drawing>
          <wp:anchor distT="0" distB="0" distL="114300" distR="114300" simplePos="0" relativeHeight="251667456" behindDoc="1" locked="0" layoutInCell="1" allowOverlap="1" wp14:anchorId="19DC5CA5" wp14:editId="35DAD9A5">
            <wp:simplePos x="0" y="0"/>
            <wp:positionH relativeFrom="margin">
              <wp:align>right</wp:align>
            </wp:positionH>
            <wp:positionV relativeFrom="paragraph">
              <wp:posOffset>1085215</wp:posOffset>
            </wp:positionV>
            <wp:extent cx="5972175" cy="5894705"/>
            <wp:effectExtent l="0" t="0" r="9525" b="0"/>
            <wp:wrapTopAndBottom/>
            <wp:docPr id="1474317999" name="Picture 1" descr="A table with numbers and a few green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17999" name="Picture 1" descr="A table with numbers and a few green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72175" cy="5894705"/>
                    </a:xfrm>
                    <a:prstGeom prst="rect">
                      <a:avLst/>
                    </a:prstGeom>
                  </pic:spPr>
                </pic:pic>
              </a:graphicData>
            </a:graphic>
            <wp14:sizeRelH relativeFrom="page">
              <wp14:pctWidth>0</wp14:pctWidth>
            </wp14:sizeRelH>
            <wp14:sizeRelV relativeFrom="page">
              <wp14:pctHeight>0</wp14:pctHeight>
            </wp14:sizeRelV>
          </wp:anchor>
        </w:drawing>
      </w:r>
      <w:r w:rsidRPr="00C03844">
        <w:rPr>
          <w:bCs/>
          <w:i/>
        </w:rPr>
        <w:t xml:space="preserve">Appendix </w:t>
      </w:r>
      <w:r w:rsidRPr="003670B8">
        <w:rPr>
          <w:i/>
        </w:rPr>
        <w:t>B</w:t>
      </w:r>
      <w:r>
        <w:rPr>
          <w:i/>
        </w:rPr>
        <w:t>6:</w:t>
      </w:r>
      <w:r w:rsidRPr="00C03844">
        <w:rPr>
          <w:bCs/>
          <w:i/>
        </w:rPr>
        <w:t xml:space="preserve"> T20 Non-Smoker</w:t>
      </w:r>
      <w:r>
        <w:rPr>
          <w:i/>
        </w:rPr>
        <w:t xml:space="preserve"> -</w:t>
      </w:r>
      <w:r w:rsidRPr="00C03844">
        <w:rPr>
          <w:bCs/>
          <w:i/>
        </w:rPr>
        <w:t xml:space="preserve"> Granular Results Over 20 Years</w:t>
      </w:r>
      <w:r w:rsidRPr="00C03844">
        <w:rPr>
          <w:bCs/>
        </w:rPr>
        <w:t xml:space="preserve"> </w:t>
      </w:r>
      <w:r w:rsidRPr="00C03844">
        <w:rPr>
          <w:bCs/>
        </w:rPr>
        <w:br/>
        <w:t>As referenced in the main body of the report, our T20 Non-Smoker Bundle is most profitable at younger age groups, due to the smaller premium reduction. However, at older ages larger premium reductions reduce the overall profitability. The mortality improvements at older ages are significantly higher, resulting in the increase in added economic value from 3.97% at age 30 to 7.29%</w:t>
      </w:r>
      <w:r>
        <w:rPr>
          <w:bCs/>
        </w:rPr>
        <w:t xml:space="preserve"> at age 45</w:t>
      </w:r>
      <w:r w:rsidRPr="00C03844">
        <w:rPr>
          <w:bCs/>
        </w:rPr>
        <w:t xml:space="preserve">. </w:t>
      </w:r>
    </w:p>
    <w:p w14:paraId="671A82A2" w14:textId="77777777" w:rsidR="00EB6EB0" w:rsidRPr="00C03844" w:rsidRDefault="00EB6EB0" w:rsidP="00EB6EB0">
      <w:pPr>
        <w:spacing w:after="160" w:line="279" w:lineRule="auto"/>
        <w:rPr>
          <w:bCs/>
          <w:i/>
        </w:rPr>
      </w:pPr>
      <w:r w:rsidRPr="00C03844">
        <w:rPr>
          <w:bCs/>
          <w:i/>
        </w:rPr>
        <w:br w:type="page"/>
      </w:r>
    </w:p>
    <w:p w14:paraId="7F1261F5" w14:textId="77777777" w:rsidR="00EB6EB0" w:rsidRPr="00C03844" w:rsidRDefault="00EB6EB0" w:rsidP="00EB6EB0">
      <w:pPr>
        <w:rPr>
          <w:bCs/>
        </w:rPr>
      </w:pPr>
      <w:r w:rsidRPr="00C03844">
        <w:rPr>
          <w:bCs/>
          <w:i/>
        </w:rPr>
        <w:lastRenderedPageBreak/>
        <w:t xml:space="preserve">Appendix </w:t>
      </w:r>
      <w:r w:rsidRPr="003670B8">
        <w:rPr>
          <w:i/>
        </w:rPr>
        <w:t>B</w:t>
      </w:r>
      <w:r>
        <w:rPr>
          <w:i/>
        </w:rPr>
        <w:t>7:</w:t>
      </w:r>
      <w:r w:rsidRPr="00C03844">
        <w:rPr>
          <w:bCs/>
          <w:i/>
        </w:rPr>
        <w:t xml:space="preserve"> T20 Smoker</w:t>
      </w:r>
      <w:r>
        <w:rPr>
          <w:i/>
        </w:rPr>
        <w:t xml:space="preserve"> -</w:t>
      </w:r>
      <w:r w:rsidRPr="00C03844">
        <w:rPr>
          <w:bCs/>
          <w:i/>
        </w:rPr>
        <w:t xml:space="preserve"> Granular Results Over 20 Years</w:t>
      </w:r>
    </w:p>
    <w:p w14:paraId="7F44DD6D" w14:textId="77777777" w:rsidR="00EB6EB0" w:rsidRPr="00C03844" w:rsidRDefault="00EB6EB0" w:rsidP="00EB6EB0">
      <w:pPr>
        <w:rPr>
          <w:bCs/>
        </w:rPr>
      </w:pPr>
      <w:r w:rsidRPr="00C03844">
        <w:rPr>
          <w:bCs/>
        </w:rPr>
        <w:t xml:space="preserve">Over a </w:t>
      </w:r>
      <w:proofErr w:type="gramStart"/>
      <w:r w:rsidRPr="00C03844">
        <w:rPr>
          <w:bCs/>
        </w:rPr>
        <w:t>20 year</w:t>
      </w:r>
      <w:proofErr w:type="gramEnd"/>
      <w:r w:rsidRPr="00C03844">
        <w:rPr>
          <w:bCs/>
        </w:rPr>
        <w:t xml:space="preserve"> projection, the T20 Smoker Bundle is profitable at all ages, increasing at each age segment of premium reduction. That is, between ages 26-30, 31-35 and 36-40 all have the largest percentage profitability or largest percent added economic value at the older ages of the segment. Furthermore, unlike T20 Non-Smoker, the profitability increases at each age. For example, whereas </w:t>
      </w:r>
      <w:r>
        <w:rPr>
          <w:bCs/>
        </w:rPr>
        <w:t>T20 Non-Smoker bundle was less profitable</w:t>
      </w:r>
      <w:r w:rsidRPr="00C03844">
        <w:rPr>
          <w:bCs/>
        </w:rPr>
        <w:t xml:space="preserve"> at age 45, our Smoker bundle is most profitable at age 40.</w:t>
      </w:r>
    </w:p>
    <w:p w14:paraId="0FEF8E52" w14:textId="77777777" w:rsidR="00EB6EB0" w:rsidRPr="001C60E1" w:rsidRDefault="00EB6EB0" w:rsidP="00EB6EB0">
      <w:pPr>
        <w:rPr>
          <w:b/>
          <w:i/>
        </w:rPr>
      </w:pPr>
      <w:r w:rsidRPr="003670B8">
        <w:rPr>
          <w:b/>
          <w:i/>
          <w:noProof/>
        </w:rPr>
        <w:drawing>
          <wp:anchor distT="0" distB="0" distL="114300" distR="114300" simplePos="0" relativeHeight="251668480" behindDoc="1" locked="0" layoutInCell="1" allowOverlap="1" wp14:anchorId="27DC4F28" wp14:editId="49D57E8F">
            <wp:simplePos x="0" y="0"/>
            <wp:positionH relativeFrom="margin">
              <wp:align>right</wp:align>
            </wp:positionH>
            <wp:positionV relativeFrom="paragraph">
              <wp:posOffset>205105</wp:posOffset>
            </wp:positionV>
            <wp:extent cx="5962015" cy="3533775"/>
            <wp:effectExtent l="0" t="0" r="635" b="9525"/>
            <wp:wrapTight wrapText="bothSides">
              <wp:wrapPolygon edited="0">
                <wp:start x="0" y="0"/>
                <wp:lineTo x="0" y="21542"/>
                <wp:lineTo x="21533" y="21542"/>
                <wp:lineTo x="21533" y="0"/>
                <wp:lineTo x="0" y="0"/>
              </wp:wrapPolygon>
            </wp:wrapTight>
            <wp:docPr id="36747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76277" name=""/>
                    <pic:cNvPicPr/>
                  </pic:nvPicPr>
                  <pic:blipFill>
                    <a:blip r:embed="rId12">
                      <a:extLst>
                        <a:ext uri="{28A0092B-C50C-407E-A947-70E740481C1C}">
                          <a14:useLocalDpi xmlns:a14="http://schemas.microsoft.com/office/drawing/2010/main" val="0"/>
                        </a:ext>
                      </a:extLst>
                    </a:blip>
                    <a:stretch>
                      <a:fillRect/>
                    </a:stretch>
                  </pic:blipFill>
                  <pic:spPr>
                    <a:xfrm>
                      <a:off x="0" y="0"/>
                      <a:ext cx="5962015" cy="3533775"/>
                    </a:xfrm>
                    <a:prstGeom prst="rect">
                      <a:avLst/>
                    </a:prstGeom>
                  </pic:spPr>
                </pic:pic>
              </a:graphicData>
            </a:graphic>
            <wp14:sizeRelH relativeFrom="page">
              <wp14:pctWidth>0</wp14:pctWidth>
            </wp14:sizeRelH>
            <wp14:sizeRelV relativeFrom="page">
              <wp14:pctHeight>0</wp14:pctHeight>
            </wp14:sizeRelV>
          </wp:anchor>
        </w:drawing>
      </w:r>
    </w:p>
    <w:p w14:paraId="74338CAB" w14:textId="77777777" w:rsidR="00EB6EB0" w:rsidRDefault="00EB6EB0" w:rsidP="00EB6EB0">
      <w:pPr>
        <w:rPr>
          <w:b/>
        </w:rPr>
      </w:pPr>
    </w:p>
    <w:p w14:paraId="78A874C1" w14:textId="77777777" w:rsidR="00EB6EB0" w:rsidRDefault="00EB6EB0" w:rsidP="00EB6EB0">
      <w:pPr>
        <w:rPr>
          <w:b/>
          <w:i/>
        </w:rPr>
      </w:pPr>
    </w:p>
    <w:p w14:paraId="7193FAE2" w14:textId="77777777" w:rsidR="00EB6EB0" w:rsidRDefault="00EB6EB0" w:rsidP="00EB6EB0">
      <w:pPr>
        <w:rPr>
          <w:b/>
          <w:i/>
        </w:rPr>
      </w:pPr>
    </w:p>
    <w:p w14:paraId="550CAA29" w14:textId="77777777" w:rsidR="00EB6EB0" w:rsidRDefault="00EB6EB0" w:rsidP="00EB6EB0">
      <w:pPr>
        <w:rPr>
          <w:b/>
          <w:i/>
        </w:rPr>
      </w:pPr>
    </w:p>
    <w:p w14:paraId="61E8BCB0" w14:textId="77777777" w:rsidR="00EB6EB0" w:rsidRDefault="00EB6EB0" w:rsidP="00EB6EB0">
      <w:pPr>
        <w:rPr>
          <w:b/>
          <w:i/>
        </w:rPr>
      </w:pPr>
    </w:p>
    <w:p w14:paraId="389B84F4" w14:textId="77777777" w:rsidR="00EB6EB0" w:rsidRDefault="00EB6EB0" w:rsidP="00EB6EB0">
      <w:pPr>
        <w:rPr>
          <w:b/>
          <w:i/>
        </w:rPr>
      </w:pPr>
    </w:p>
    <w:p w14:paraId="41485663" w14:textId="77777777" w:rsidR="00EB6EB0" w:rsidRDefault="00EB6EB0" w:rsidP="00EB6EB0">
      <w:pPr>
        <w:rPr>
          <w:b/>
          <w:i/>
        </w:rPr>
      </w:pPr>
    </w:p>
    <w:p w14:paraId="0F26F453" w14:textId="77777777" w:rsidR="00EB6EB0" w:rsidRDefault="00EB6EB0" w:rsidP="00EB6EB0">
      <w:pPr>
        <w:rPr>
          <w:b/>
          <w:i/>
        </w:rPr>
      </w:pPr>
    </w:p>
    <w:p w14:paraId="6477DE41" w14:textId="77777777" w:rsidR="00EB6EB0" w:rsidRDefault="00EB6EB0" w:rsidP="00EB6EB0">
      <w:pPr>
        <w:rPr>
          <w:b/>
          <w:i/>
        </w:rPr>
      </w:pPr>
    </w:p>
    <w:p w14:paraId="6596561A" w14:textId="77777777" w:rsidR="00EB6EB0" w:rsidRDefault="00EB6EB0" w:rsidP="00EB6EB0">
      <w:pPr>
        <w:rPr>
          <w:b/>
          <w:i/>
        </w:rPr>
      </w:pPr>
    </w:p>
    <w:p w14:paraId="53721243" w14:textId="77777777" w:rsidR="00EB6EB0" w:rsidRDefault="00EB6EB0" w:rsidP="00EB6EB0">
      <w:pPr>
        <w:rPr>
          <w:b/>
          <w:i/>
        </w:rPr>
      </w:pPr>
    </w:p>
    <w:p w14:paraId="5A3386FB" w14:textId="77777777" w:rsidR="00EB6EB0" w:rsidRDefault="00EB6EB0" w:rsidP="00EB6EB0">
      <w:pPr>
        <w:rPr>
          <w:b/>
          <w:i/>
        </w:rPr>
      </w:pPr>
    </w:p>
    <w:p w14:paraId="05CE2194" w14:textId="77777777" w:rsidR="00EB6EB0" w:rsidRDefault="00EB6EB0" w:rsidP="00EB6EB0">
      <w:pPr>
        <w:rPr>
          <w:b/>
          <w:i/>
        </w:rPr>
      </w:pPr>
    </w:p>
    <w:p w14:paraId="4FEAEECD" w14:textId="77777777" w:rsidR="00EB6EB0" w:rsidRDefault="00EB6EB0" w:rsidP="00EB6EB0">
      <w:pPr>
        <w:rPr>
          <w:b/>
          <w:i/>
        </w:rPr>
      </w:pPr>
    </w:p>
    <w:p w14:paraId="02D8059E" w14:textId="77777777" w:rsidR="00EB6EB0" w:rsidRDefault="00EB6EB0" w:rsidP="00EB6EB0">
      <w:pPr>
        <w:spacing w:after="160" w:line="279" w:lineRule="auto"/>
        <w:rPr>
          <w:b/>
          <w:i/>
        </w:rPr>
      </w:pPr>
      <w:r>
        <w:rPr>
          <w:b/>
          <w:i/>
        </w:rPr>
        <w:br w:type="page"/>
      </w:r>
    </w:p>
    <w:p w14:paraId="345C3B64" w14:textId="77777777" w:rsidR="00EB6EB0" w:rsidRPr="003670B8" w:rsidRDefault="00EB6EB0" w:rsidP="00EB6EB0">
      <w:pPr>
        <w:rPr>
          <w:b/>
        </w:rPr>
      </w:pPr>
      <w:r w:rsidRPr="00C03844">
        <w:rPr>
          <w:bCs/>
          <w:i/>
        </w:rPr>
        <w:lastRenderedPageBreak/>
        <w:t xml:space="preserve">Appendix </w:t>
      </w:r>
      <w:r w:rsidRPr="003670B8">
        <w:rPr>
          <w:i/>
        </w:rPr>
        <w:t>B</w:t>
      </w:r>
      <w:r>
        <w:rPr>
          <w:i/>
        </w:rPr>
        <w:t>8</w:t>
      </w:r>
      <w:r w:rsidRPr="00C03844">
        <w:rPr>
          <w:bCs/>
          <w:i/>
        </w:rPr>
        <w:t xml:space="preserve">: Whole Life </w:t>
      </w:r>
      <w:proofErr w:type="gramStart"/>
      <w:r w:rsidRPr="00C03844">
        <w:rPr>
          <w:bCs/>
          <w:i/>
        </w:rPr>
        <w:t>Non Smoker</w:t>
      </w:r>
      <w:proofErr w:type="gramEnd"/>
      <w:r>
        <w:rPr>
          <w:i/>
        </w:rPr>
        <w:t xml:space="preserve"> -</w:t>
      </w:r>
      <w:r w:rsidRPr="00C03844">
        <w:rPr>
          <w:bCs/>
          <w:i/>
        </w:rPr>
        <w:t xml:space="preserve"> Granular Results Over 20, 40 and 60 Years</w:t>
      </w:r>
      <w:r w:rsidRPr="003670B8">
        <w:rPr>
          <w:b/>
        </w:rPr>
        <w:t xml:space="preserve"> </w:t>
      </w:r>
    </w:p>
    <w:p w14:paraId="515F3FA0" w14:textId="77777777" w:rsidR="00EB6EB0" w:rsidRPr="003670B8" w:rsidRDefault="00EB6EB0" w:rsidP="00EB6EB0">
      <w:pPr>
        <w:rPr>
          <w:i/>
        </w:rPr>
      </w:pPr>
      <w:r w:rsidRPr="003670B8">
        <w:rPr>
          <w:i/>
          <w:noProof/>
        </w:rPr>
        <w:drawing>
          <wp:anchor distT="0" distB="0" distL="114300" distR="114300" simplePos="0" relativeHeight="251661312" behindDoc="0" locked="0" layoutInCell="1" allowOverlap="1" wp14:anchorId="1E65034D" wp14:editId="243C622A">
            <wp:simplePos x="0" y="0"/>
            <wp:positionH relativeFrom="margin">
              <wp:posOffset>0</wp:posOffset>
            </wp:positionH>
            <wp:positionV relativeFrom="paragraph">
              <wp:posOffset>174625</wp:posOffset>
            </wp:positionV>
            <wp:extent cx="4007485" cy="3108960"/>
            <wp:effectExtent l="0" t="0" r="0" b="0"/>
            <wp:wrapTopAndBottom/>
            <wp:docPr id="91419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69343" name=""/>
                    <pic:cNvPicPr/>
                  </pic:nvPicPr>
                  <pic:blipFill>
                    <a:blip r:embed="rId13">
                      <a:extLst>
                        <a:ext uri="{28A0092B-C50C-407E-A947-70E740481C1C}">
                          <a14:useLocalDpi xmlns:a14="http://schemas.microsoft.com/office/drawing/2010/main" val="0"/>
                        </a:ext>
                      </a:extLst>
                    </a:blip>
                    <a:stretch>
                      <a:fillRect/>
                    </a:stretch>
                  </pic:blipFill>
                  <pic:spPr>
                    <a:xfrm>
                      <a:off x="0" y="0"/>
                      <a:ext cx="4007485" cy="3108960"/>
                    </a:xfrm>
                    <a:prstGeom prst="rect">
                      <a:avLst/>
                    </a:prstGeom>
                  </pic:spPr>
                </pic:pic>
              </a:graphicData>
            </a:graphic>
            <wp14:sizeRelH relativeFrom="page">
              <wp14:pctWidth>0</wp14:pctWidth>
            </wp14:sizeRelH>
            <wp14:sizeRelV relativeFrom="page">
              <wp14:pctHeight>0</wp14:pctHeight>
            </wp14:sizeRelV>
          </wp:anchor>
        </w:drawing>
      </w:r>
    </w:p>
    <w:p w14:paraId="4E18B4DE" w14:textId="77777777" w:rsidR="00EB6EB0" w:rsidRPr="003670B8" w:rsidRDefault="00EB6EB0" w:rsidP="00EB6EB0">
      <w:pPr>
        <w:rPr>
          <w:b/>
        </w:rPr>
      </w:pPr>
      <w:r w:rsidRPr="003670B8">
        <w:rPr>
          <w:b/>
          <w:noProof/>
        </w:rPr>
        <w:drawing>
          <wp:anchor distT="0" distB="0" distL="114300" distR="114300" simplePos="0" relativeHeight="251662336" behindDoc="1" locked="0" layoutInCell="1" allowOverlap="1" wp14:anchorId="3B8E99C8" wp14:editId="68AE7428">
            <wp:simplePos x="0" y="0"/>
            <wp:positionH relativeFrom="margin">
              <wp:align>left</wp:align>
            </wp:positionH>
            <wp:positionV relativeFrom="paragraph">
              <wp:posOffset>175895</wp:posOffset>
            </wp:positionV>
            <wp:extent cx="4017645" cy="3116580"/>
            <wp:effectExtent l="0" t="0" r="1905" b="7620"/>
            <wp:wrapTight wrapText="bothSides">
              <wp:wrapPolygon edited="0">
                <wp:start x="0" y="0"/>
                <wp:lineTo x="0" y="21521"/>
                <wp:lineTo x="21508" y="21521"/>
                <wp:lineTo x="21508" y="0"/>
                <wp:lineTo x="0" y="0"/>
              </wp:wrapPolygon>
            </wp:wrapTight>
            <wp:docPr id="136398662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627" name="Picture 1" descr="A table with numbers and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22262" cy="3120072"/>
                    </a:xfrm>
                    <a:prstGeom prst="rect">
                      <a:avLst/>
                    </a:prstGeom>
                  </pic:spPr>
                </pic:pic>
              </a:graphicData>
            </a:graphic>
            <wp14:sizeRelH relativeFrom="page">
              <wp14:pctWidth>0</wp14:pctWidth>
            </wp14:sizeRelH>
            <wp14:sizeRelV relativeFrom="page">
              <wp14:pctHeight>0</wp14:pctHeight>
            </wp14:sizeRelV>
          </wp:anchor>
        </w:drawing>
      </w:r>
    </w:p>
    <w:p w14:paraId="24DF7707" w14:textId="77777777" w:rsidR="00EB6EB0" w:rsidRPr="003670B8" w:rsidRDefault="00EB6EB0" w:rsidP="00EB6EB0">
      <w:pPr>
        <w:rPr>
          <w:b/>
        </w:rPr>
      </w:pPr>
    </w:p>
    <w:p w14:paraId="2BE5FADF" w14:textId="77777777" w:rsidR="00EB6EB0" w:rsidRPr="003670B8" w:rsidRDefault="00EB6EB0" w:rsidP="00EB6EB0">
      <w:pPr>
        <w:rPr>
          <w:b/>
        </w:rPr>
      </w:pPr>
    </w:p>
    <w:p w14:paraId="30D600C0" w14:textId="77777777" w:rsidR="00EB6EB0" w:rsidRPr="003670B8" w:rsidRDefault="00EB6EB0" w:rsidP="00EB6EB0">
      <w:pPr>
        <w:rPr>
          <w:b/>
        </w:rPr>
      </w:pPr>
    </w:p>
    <w:p w14:paraId="1CE78105" w14:textId="77777777" w:rsidR="00EB6EB0" w:rsidRPr="003670B8" w:rsidRDefault="00EB6EB0" w:rsidP="00EB6EB0">
      <w:pPr>
        <w:rPr>
          <w:b/>
        </w:rPr>
      </w:pPr>
    </w:p>
    <w:p w14:paraId="784D6A4A" w14:textId="77777777" w:rsidR="00EB6EB0" w:rsidRPr="003670B8" w:rsidRDefault="00EB6EB0" w:rsidP="00EB6EB0">
      <w:pPr>
        <w:rPr>
          <w:b/>
        </w:rPr>
      </w:pPr>
    </w:p>
    <w:p w14:paraId="4CF3920B" w14:textId="77777777" w:rsidR="00EB6EB0" w:rsidRPr="003670B8" w:rsidRDefault="00EB6EB0" w:rsidP="00EB6EB0">
      <w:pPr>
        <w:rPr>
          <w:b/>
        </w:rPr>
      </w:pPr>
    </w:p>
    <w:p w14:paraId="37367EE5" w14:textId="77777777" w:rsidR="00EB6EB0" w:rsidRPr="003670B8" w:rsidRDefault="00EB6EB0" w:rsidP="00EB6EB0">
      <w:pPr>
        <w:rPr>
          <w:b/>
        </w:rPr>
      </w:pPr>
    </w:p>
    <w:p w14:paraId="40AEFB4C" w14:textId="77777777" w:rsidR="00EB6EB0" w:rsidRPr="003670B8" w:rsidRDefault="00EB6EB0" w:rsidP="00EB6EB0">
      <w:pPr>
        <w:rPr>
          <w:b/>
        </w:rPr>
      </w:pPr>
    </w:p>
    <w:p w14:paraId="13EB5FDD" w14:textId="77777777" w:rsidR="00EB6EB0" w:rsidRPr="003670B8" w:rsidRDefault="00EB6EB0" w:rsidP="00EB6EB0">
      <w:pPr>
        <w:rPr>
          <w:b/>
        </w:rPr>
      </w:pPr>
    </w:p>
    <w:p w14:paraId="47C95F2D" w14:textId="77777777" w:rsidR="00EB6EB0" w:rsidRPr="003670B8" w:rsidRDefault="00EB6EB0" w:rsidP="00EB6EB0">
      <w:pPr>
        <w:rPr>
          <w:b/>
        </w:rPr>
      </w:pPr>
    </w:p>
    <w:p w14:paraId="13551C8A" w14:textId="77777777" w:rsidR="00EB6EB0" w:rsidRPr="003670B8" w:rsidRDefault="00EB6EB0" w:rsidP="00EB6EB0">
      <w:pPr>
        <w:rPr>
          <w:b/>
        </w:rPr>
      </w:pPr>
    </w:p>
    <w:p w14:paraId="43348FC8" w14:textId="77777777" w:rsidR="00EB6EB0" w:rsidRPr="003670B8" w:rsidRDefault="00EB6EB0" w:rsidP="00EB6EB0">
      <w:pPr>
        <w:rPr>
          <w:b/>
        </w:rPr>
      </w:pPr>
    </w:p>
    <w:p w14:paraId="527CC798" w14:textId="77777777" w:rsidR="00EB6EB0" w:rsidRPr="003670B8" w:rsidRDefault="00EB6EB0" w:rsidP="00EB6EB0">
      <w:pPr>
        <w:rPr>
          <w:b/>
        </w:rPr>
      </w:pPr>
    </w:p>
    <w:p w14:paraId="1801E731" w14:textId="77777777" w:rsidR="00EB6EB0" w:rsidRPr="003670B8" w:rsidRDefault="00EB6EB0" w:rsidP="00EB6EB0">
      <w:pPr>
        <w:rPr>
          <w:b/>
        </w:rPr>
      </w:pPr>
    </w:p>
    <w:p w14:paraId="1C0EF588" w14:textId="77777777" w:rsidR="00EB6EB0" w:rsidRPr="003670B8" w:rsidRDefault="00EB6EB0" w:rsidP="00EB6EB0">
      <w:pPr>
        <w:rPr>
          <w:b/>
        </w:rPr>
      </w:pPr>
    </w:p>
    <w:p w14:paraId="04EE14C3" w14:textId="77777777" w:rsidR="00EB6EB0" w:rsidRPr="003670B8" w:rsidRDefault="00EB6EB0" w:rsidP="00EB6EB0">
      <w:pPr>
        <w:rPr>
          <w:b/>
        </w:rPr>
      </w:pPr>
    </w:p>
    <w:p w14:paraId="3C9F32B7" w14:textId="77777777" w:rsidR="00EB6EB0" w:rsidRPr="003670B8" w:rsidRDefault="00EB6EB0" w:rsidP="00EB6EB0">
      <w:pPr>
        <w:rPr>
          <w:b/>
        </w:rPr>
      </w:pPr>
    </w:p>
    <w:p w14:paraId="426960F6" w14:textId="77777777" w:rsidR="00EB6EB0" w:rsidRPr="003670B8" w:rsidRDefault="00EB6EB0" w:rsidP="00EB6EB0">
      <w:pPr>
        <w:rPr>
          <w:b/>
        </w:rPr>
      </w:pPr>
    </w:p>
    <w:p w14:paraId="5FB985F9" w14:textId="77777777" w:rsidR="00EB6EB0" w:rsidRPr="003670B8" w:rsidRDefault="00EB6EB0" w:rsidP="00EB6EB0">
      <w:pPr>
        <w:rPr>
          <w:b/>
        </w:rPr>
      </w:pPr>
    </w:p>
    <w:p w14:paraId="6B557BAB" w14:textId="77777777" w:rsidR="00EB6EB0" w:rsidRPr="003670B8" w:rsidRDefault="00EB6EB0" w:rsidP="00EB6EB0">
      <w:pPr>
        <w:rPr>
          <w:b/>
        </w:rPr>
      </w:pPr>
    </w:p>
    <w:p w14:paraId="497643A2" w14:textId="77777777" w:rsidR="00EB6EB0" w:rsidRPr="003670B8" w:rsidRDefault="00EB6EB0" w:rsidP="00EB6EB0">
      <w:pPr>
        <w:rPr>
          <w:b/>
        </w:rPr>
      </w:pPr>
    </w:p>
    <w:p w14:paraId="590D8913" w14:textId="77777777" w:rsidR="00EB6EB0" w:rsidRPr="003670B8" w:rsidRDefault="00EB6EB0" w:rsidP="00EB6EB0">
      <w:pPr>
        <w:rPr>
          <w:b/>
        </w:rPr>
      </w:pPr>
    </w:p>
    <w:p w14:paraId="775074F7" w14:textId="77777777" w:rsidR="00EB6EB0" w:rsidRPr="003670B8" w:rsidRDefault="00EB6EB0" w:rsidP="00EB6EB0">
      <w:pPr>
        <w:rPr>
          <w:b/>
        </w:rPr>
      </w:pPr>
    </w:p>
    <w:p w14:paraId="64A42A7A" w14:textId="77777777" w:rsidR="00EB6EB0" w:rsidRPr="003670B8" w:rsidRDefault="00EB6EB0" w:rsidP="00EB6EB0">
      <w:pPr>
        <w:rPr>
          <w:b/>
        </w:rPr>
      </w:pPr>
    </w:p>
    <w:p w14:paraId="08FE892D" w14:textId="77777777" w:rsidR="00EB6EB0" w:rsidRPr="003670B8" w:rsidRDefault="00EB6EB0" w:rsidP="00EB6EB0">
      <w:pPr>
        <w:rPr>
          <w:b/>
        </w:rPr>
      </w:pPr>
    </w:p>
    <w:p w14:paraId="27E14AAE" w14:textId="77777777" w:rsidR="00EB6EB0" w:rsidRPr="003670B8" w:rsidRDefault="00EB6EB0" w:rsidP="00EB6EB0">
      <w:pPr>
        <w:rPr>
          <w:b/>
        </w:rPr>
      </w:pPr>
      <w:r w:rsidRPr="003670B8">
        <w:rPr>
          <w:b/>
          <w:noProof/>
        </w:rPr>
        <w:lastRenderedPageBreak/>
        <w:drawing>
          <wp:anchor distT="0" distB="0" distL="114300" distR="114300" simplePos="0" relativeHeight="251663360" behindDoc="0" locked="0" layoutInCell="1" allowOverlap="1" wp14:anchorId="07AB0EF5" wp14:editId="48697A1C">
            <wp:simplePos x="0" y="0"/>
            <wp:positionH relativeFrom="margin">
              <wp:align>left</wp:align>
            </wp:positionH>
            <wp:positionV relativeFrom="paragraph">
              <wp:posOffset>175260</wp:posOffset>
            </wp:positionV>
            <wp:extent cx="3873500" cy="3246120"/>
            <wp:effectExtent l="0" t="0" r="0" b="0"/>
            <wp:wrapTopAndBottom/>
            <wp:docPr id="975841635" name="Picture 1" descr="A table with numbers and a few green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41635" name="Picture 1" descr="A table with numbers and a few green 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873500" cy="3246120"/>
                    </a:xfrm>
                    <a:prstGeom prst="rect">
                      <a:avLst/>
                    </a:prstGeom>
                  </pic:spPr>
                </pic:pic>
              </a:graphicData>
            </a:graphic>
            <wp14:sizeRelH relativeFrom="page">
              <wp14:pctWidth>0</wp14:pctWidth>
            </wp14:sizeRelH>
            <wp14:sizeRelV relativeFrom="page">
              <wp14:pctHeight>0</wp14:pctHeight>
            </wp14:sizeRelV>
          </wp:anchor>
        </w:drawing>
      </w:r>
    </w:p>
    <w:p w14:paraId="08FACC0E" w14:textId="77777777" w:rsidR="00EB6EB0" w:rsidRDefault="00EB6EB0" w:rsidP="00EB6EB0"/>
    <w:p w14:paraId="1872FC92" w14:textId="77777777" w:rsidR="00EB6EB0" w:rsidRDefault="00EB6EB0" w:rsidP="00EB6EB0"/>
    <w:p w14:paraId="5E7E49D1" w14:textId="75B70CF6" w:rsidR="00EB6EB0" w:rsidRDefault="00EB6EB0" w:rsidP="00EB6EB0">
      <w:pPr>
        <w:spacing w:after="160" w:line="279" w:lineRule="auto"/>
      </w:pPr>
    </w:p>
    <w:sectPr w:rsidR="00EB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B0"/>
    <w:rsid w:val="00360FEC"/>
    <w:rsid w:val="005E4430"/>
    <w:rsid w:val="00774039"/>
    <w:rsid w:val="00843CCF"/>
    <w:rsid w:val="008F1A2C"/>
    <w:rsid w:val="00D10E61"/>
    <w:rsid w:val="00EB6E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3FC318"/>
  <w15:chartTrackingRefBased/>
  <w15:docId w15:val="{1E71172D-A125-CB45-ADBE-0106BF11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EB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B6EB0"/>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EB6EB0"/>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EB6EB0"/>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EB6EB0"/>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EB6EB0"/>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EB6EB0"/>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EB6EB0"/>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EB6EB0"/>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EB6EB0"/>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E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6E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6E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EB0"/>
    <w:rPr>
      <w:rFonts w:eastAsiaTheme="majorEastAsia" w:cstheme="majorBidi"/>
      <w:color w:val="272727" w:themeColor="text1" w:themeTint="D8"/>
    </w:rPr>
  </w:style>
  <w:style w:type="paragraph" w:styleId="Title">
    <w:name w:val="Title"/>
    <w:basedOn w:val="Normal"/>
    <w:next w:val="Normal"/>
    <w:link w:val="TitleChar"/>
    <w:uiPriority w:val="10"/>
    <w:qFormat/>
    <w:rsid w:val="00EB6EB0"/>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EB6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EB0"/>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EB6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EB0"/>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EB6EB0"/>
    <w:rPr>
      <w:i/>
      <w:iCs/>
      <w:color w:val="404040" w:themeColor="text1" w:themeTint="BF"/>
    </w:rPr>
  </w:style>
  <w:style w:type="paragraph" w:styleId="ListParagraph">
    <w:name w:val="List Paragraph"/>
    <w:basedOn w:val="Normal"/>
    <w:uiPriority w:val="34"/>
    <w:qFormat/>
    <w:rsid w:val="00EB6EB0"/>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EB6EB0"/>
    <w:rPr>
      <w:i/>
      <w:iCs/>
      <w:color w:val="0F4761" w:themeColor="accent1" w:themeShade="BF"/>
    </w:rPr>
  </w:style>
  <w:style w:type="paragraph" w:styleId="IntenseQuote">
    <w:name w:val="Intense Quote"/>
    <w:basedOn w:val="Normal"/>
    <w:next w:val="Normal"/>
    <w:link w:val="IntenseQuoteChar"/>
    <w:uiPriority w:val="30"/>
    <w:qFormat/>
    <w:rsid w:val="00EB6EB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EB6EB0"/>
    <w:rPr>
      <w:i/>
      <w:iCs/>
      <w:color w:val="0F4761" w:themeColor="accent1" w:themeShade="BF"/>
    </w:rPr>
  </w:style>
  <w:style w:type="character" w:styleId="IntenseReference">
    <w:name w:val="Intense Reference"/>
    <w:basedOn w:val="DefaultParagraphFont"/>
    <w:uiPriority w:val="32"/>
    <w:qFormat/>
    <w:rsid w:val="00EB6EB0"/>
    <w:rPr>
      <w:b/>
      <w:bCs/>
      <w:smallCaps/>
      <w:color w:val="0F4761" w:themeColor="accent1" w:themeShade="BF"/>
      <w:spacing w:val="5"/>
    </w:rPr>
  </w:style>
  <w:style w:type="character" w:customStyle="1" w:styleId="normaltextrun">
    <w:name w:val="normaltextrun"/>
    <w:basedOn w:val="DefaultParagraphFont"/>
    <w:rsid w:val="00EB6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1463</Words>
  <Characters>8345</Characters>
  <Application>Microsoft Office Word</Application>
  <DocSecurity>0</DocSecurity>
  <Lines>69</Lines>
  <Paragraphs>19</Paragraphs>
  <ScaleCrop>false</ScaleCrop>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Yukeshan Easwaran</dc:creator>
  <cp:keywords/>
  <dc:description/>
  <cp:lastModifiedBy>Yukeshan Easwaran</cp:lastModifiedBy>
  <cp:revision>1</cp:revision>
  <dcterms:created xsi:type="dcterms:W3CDTF">2024-03-29T00:47:00Z</dcterms:created>
  <dcterms:modified xsi:type="dcterms:W3CDTF">2024-03-29T00:50:00Z</dcterms:modified>
</cp:coreProperties>
</file>