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F1B91" w14:textId="77777777" w:rsidR="00215544" w:rsidRPr="00215544" w:rsidRDefault="00215544" w:rsidP="00215544">
      <w:pPr>
        <w:pStyle w:val="Heading1"/>
        <w:rPr>
          <w:rFonts w:ascii="Aptos" w:eastAsia="Aptos" w:hAnsi="Aptos" w:cs="Aptos"/>
          <w:b/>
          <w:color w:val="91BFE2"/>
          <w:sz w:val="20"/>
          <w:szCs w:val="20"/>
        </w:rPr>
      </w:pPr>
      <w:bookmarkStart w:id="0" w:name="_Toc162011304"/>
      <w:r w:rsidRPr="00215544">
        <w:rPr>
          <w:rFonts w:eastAsia="Aptos"/>
          <w:color w:val="91BFE2"/>
          <w:sz w:val="24"/>
          <w:szCs w:val="24"/>
        </w:rPr>
        <w:t>Risk and Mitigation</w:t>
      </w:r>
      <w:bookmarkEnd w:id="0"/>
    </w:p>
    <w:p w14:paraId="1041427A" w14:textId="77777777" w:rsidR="00215544" w:rsidRPr="003670B8" w:rsidRDefault="00215544" w:rsidP="00215544">
      <w:pPr>
        <w:rPr>
          <w:rFonts w:eastAsia="Calibri"/>
        </w:rPr>
      </w:pPr>
      <w:r w:rsidRPr="003670B8">
        <w:rPr>
          <w:rFonts w:eastAsia="Calibri"/>
        </w:rPr>
        <w:t>Outlined below i</w:t>
      </w:r>
      <w:r>
        <w:rPr>
          <w:rFonts w:eastAsia="Calibri"/>
        </w:rPr>
        <w:t>s</w:t>
      </w:r>
      <w:r w:rsidRPr="003670B8">
        <w:rPr>
          <w:rFonts w:eastAsia="Calibri"/>
        </w:rPr>
        <w:t xml:space="preserve"> a</w:t>
      </w:r>
      <w:r>
        <w:rPr>
          <w:rFonts w:eastAsia="Calibri"/>
        </w:rPr>
        <w:t xml:space="preserve"> </w:t>
      </w:r>
      <w:r w:rsidRPr="00DC527A">
        <w:rPr>
          <w:rFonts w:eastAsia="Calibri"/>
        </w:rPr>
        <w:t xml:space="preserve">Risk Categorization and Definition </w:t>
      </w:r>
      <w:r>
        <w:rPr>
          <w:rFonts w:eastAsia="Calibri"/>
        </w:rPr>
        <w:t>(</w:t>
      </w:r>
      <w:r w:rsidRPr="003670B8">
        <w:rPr>
          <w:rFonts w:eastAsia="Calibri"/>
        </w:rPr>
        <w:t>RCD</w:t>
      </w:r>
      <w:r>
        <w:rPr>
          <w:rFonts w:eastAsia="Calibri"/>
        </w:rPr>
        <w:t>)</w:t>
      </w:r>
      <w:r w:rsidRPr="003670B8">
        <w:rPr>
          <w:rFonts w:eastAsia="Calibri"/>
        </w:rPr>
        <w:t xml:space="preserve"> </w:t>
      </w:r>
      <w:r>
        <w:rPr>
          <w:rFonts w:eastAsia="Calibri"/>
        </w:rPr>
        <w:t>a</w:t>
      </w:r>
      <w:r w:rsidRPr="003670B8">
        <w:rPr>
          <w:rFonts w:eastAsia="Calibri"/>
        </w:rPr>
        <w:t>nalysis</w:t>
      </w:r>
      <w:r>
        <w:rPr>
          <w:rFonts w:eastAsia="Calibri"/>
        </w:rPr>
        <w:t xml:space="preserve"> that explores</w:t>
      </w:r>
      <w:r w:rsidRPr="003670B8">
        <w:rPr>
          <w:rFonts w:eastAsia="Calibri"/>
        </w:rPr>
        <w:t xml:space="preserve"> the main risks to be considered in both implementation and maintenance phases. </w:t>
      </w:r>
    </w:p>
    <w:tbl>
      <w:tblPr>
        <w:tblStyle w:val="TableGrid"/>
        <w:tblW w:w="9640" w:type="dxa"/>
        <w:tblInd w:w="-5" w:type="dxa"/>
        <w:tblLayout w:type="fixed"/>
        <w:tblLook w:val="06A0" w:firstRow="1" w:lastRow="0" w:firstColumn="1" w:lastColumn="0" w:noHBand="1" w:noVBand="1"/>
      </w:tblPr>
      <w:tblGrid>
        <w:gridCol w:w="2010"/>
        <w:gridCol w:w="3802"/>
        <w:gridCol w:w="3828"/>
      </w:tblGrid>
      <w:tr w:rsidR="00215544" w:rsidRPr="00E26FD6" w14:paraId="5C2DA7BC" w14:textId="77777777" w:rsidTr="006C4827">
        <w:trPr>
          <w:trHeight w:val="300"/>
        </w:trPr>
        <w:tc>
          <w:tcPr>
            <w:tcW w:w="2010" w:type="dxa"/>
            <w:shd w:val="clear" w:color="auto" w:fill="156082" w:themeFill="accent1"/>
          </w:tcPr>
          <w:p w14:paraId="329FE9A9" w14:textId="77777777" w:rsidR="00215544" w:rsidRPr="00A923D6" w:rsidRDefault="00215544" w:rsidP="006C4827">
            <w:pPr>
              <w:rPr>
                <w:rFonts w:eastAsia="Calibri"/>
                <w:color w:val="FFFFFF" w:themeColor="background1"/>
              </w:rPr>
            </w:pPr>
            <w:r w:rsidRPr="00A923D6">
              <w:rPr>
                <w:rFonts w:eastAsia="Calibri"/>
                <w:color w:val="FFFFFF" w:themeColor="background1"/>
              </w:rPr>
              <w:t>Quantitative Risk</w:t>
            </w:r>
          </w:p>
        </w:tc>
        <w:tc>
          <w:tcPr>
            <w:tcW w:w="3802" w:type="dxa"/>
            <w:shd w:val="clear" w:color="auto" w:fill="156082" w:themeFill="accent1"/>
          </w:tcPr>
          <w:p w14:paraId="3BD3B9BC" w14:textId="77777777" w:rsidR="00215544" w:rsidRPr="00A923D6" w:rsidRDefault="00215544" w:rsidP="006C4827">
            <w:pPr>
              <w:jc w:val="center"/>
              <w:rPr>
                <w:rFonts w:eastAsia="Calibri"/>
                <w:color w:val="FFFFFF" w:themeColor="background1"/>
              </w:rPr>
            </w:pPr>
            <w:r w:rsidRPr="00A923D6">
              <w:rPr>
                <w:rFonts w:eastAsia="Calibri"/>
                <w:color w:val="FFFFFF" w:themeColor="background1"/>
              </w:rPr>
              <w:t>Explanation</w:t>
            </w:r>
          </w:p>
        </w:tc>
        <w:tc>
          <w:tcPr>
            <w:tcW w:w="3828" w:type="dxa"/>
            <w:shd w:val="clear" w:color="auto" w:fill="156082" w:themeFill="accent1"/>
          </w:tcPr>
          <w:p w14:paraId="448923C2" w14:textId="77777777" w:rsidR="00215544" w:rsidRPr="00A923D6" w:rsidRDefault="00215544" w:rsidP="006C4827">
            <w:pPr>
              <w:jc w:val="center"/>
              <w:rPr>
                <w:rFonts w:eastAsia="Calibri"/>
                <w:color w:val="FFFFFF" w:themeColor="background1"/>
              </w:rPr>
            </w:pPr>
            <w:r w:rsidRPr="00A923D6">
              <w:rPr>
                <w:rFonts w:eastAsia="Calibri"/>
                <w:color w:val="FFFFFF" w:themeColor="background1"/>
              </w:rPr>
              <w:t>Mitigation</w:t>
            </w:r>
          </w:p>
        </w:tc>
      </w:tr>
      <w:tr w:rsidR="00215544" w:rsidRPr="00E26FD6" w14:paraId="6FFDDD98" w14:textId="77777777" w:rsidTr="006C4827">
        <w:trPr>
          <w:trHeight w:val="300"/>
        </w:trPr>
        <w:tc>
          <w:tcPr>
            <w:tcW w:w="2010" w:type="dxa"/>
          </w:tcPr>
          <w:p w14:paraId="5E88C477" w14:textId="77777777" w:rsidR="00215544" w:rsidRPr="00E26FD6" w:rsidRDefault="00215544" w:rsidP="006C4827">
            <w:pPr>
              <w:rPr>
                <w:rFonts w:eastAsia="Calibri"/>
                <w:color w:val="153D63" w:themeColor="text2" w:themeTint="E6"/>
              </w:rPr>
            </w:pPr>
            <w:r w:rsidRPr="00E26FD6">
              <w:rPr>
                <w:rFonts w:eastAsia="Calibri"/>
              </w:rPr>
              <w:t>Interest / Inflation Rate Fluctuation</w:t>
            </w:r>
          </w:p>
        </w:tc>
        <w:tc>
          <w:tcPr>
            <w:tcW w:w="3802" w:type="dxa"/>
          </w:tcPr>
          <w:p w14:paraId="3FE5FC05" w14:textId="77777777" w:rsidR="00215544" w:rsidRPr="00E26FD6" w:rsidRDefault="00215544" w:rsidP="006C4827">
            <w:pPr>
              <w:rPr>
                <w:rFonts w:eastAsia="Calibri"/>
              </w:rPr>
            </w:pPr>
            <w:r w:rsidRPr="00E26FD6">
              <w:rPr>
                <w:rFonts w:eastAsia="Calibri"/>
              </w:rPr>
              <w:t xml:space="preserve">Market Risk: </w:t>
            </w:r>
            <w:r>
              <w:rPr>
                <w:rFonts w:eastAsia="Calibri"/>
              </w:rPr>
              <w:t xml:space="preserve">Economic downturn, high inflation or </w:t>
            </w:r>
            <w:r w:rsidRPr="00E26FD6">
              <w:rPr>
                <w:rFonts w:eastAsia="Calibri"/>
              </w:rPr>
              <w:t xml:space="preserve">Black Swan events like </w:t>
            </w:r>
            <w:r w:rsidRPr="003670B8">
              <w:rPr>
                <w:rFonts w:eastAsia="Calibri"/>
              </w:rPr>
              <w:t>C</w:t>
            </w:r>
            <w:r>
              <w:rPr>
                <w:rFonts w:eastAsia="Calibri"/>
              </w:rPr>
              <w:t>OVID</w:t>
            </w:r>
            <w:r w:rsidRPr="003670B8">
              <w:rPr>
                <w:rFonts w:eastAsia="Calibri"/>
              </w:rPr>
              <w:t>-19</w:t>
            </w:r>
            <w:r w:rsidRPr="00E26FD6">
              <w:rPr>
                <w:rFonts w:eastAsia="Calibri"/>
              </w:rPr>
              <w:t xml:space="preserve"> could drastically alter the time value of money</w:t>
            </w:r>
            <w:r>
              <w:rPr>
                <w:rFonts w:eastAsia="Calibri"/>
              </w:rPr>
              <w:t>.</w:t>
            </w:r>
          </w:p>
        </w:tc>
        <w:tc>
          <w:tcPr>
            <w:tcW w:w="3828" w:type="dxa"/>
          </w:tcPr>
          <w:p w14:paraId="75023024" w14:textId="77777777" w:rsidR="00215544" w:rsidRPr="00E26FD6" w:rsidRDefault="00215544" w:rsidP="006C4827">
            <w:pPr>
              <w:rPr>
                <w:rFonts w:eastAsia="Calibri"/>
              </w:rPr>
            </w:pPr>
            <w:r w:rsidRPr="00E26FD6">
              <w:rPr>
                <w:rFonts w:eastAsia="Calibri"/>
              </w:rPr>
              <w:t>Further improvement of model and reserving measures. Also, could consider reinsurance to hedge market risk</w:t>
            </w:r>
            <w:r>
              <w:rPr>
                <w:rFonts w:eastAsia="Calibri"/>
              </w:rPr>
              <w:t>.</w:t>
            </w:r>
          </w:p>
        </w:tc>
      </w:tr>
      <w:tr w:rsidR="00215544" w:rsidRPr="00E26FD6" w14:paraId="10FEB29C" w14:textId="77777777" w:rsidTr="006C4827">
        <w:trPr>
          <w:trHeight w:val="300"/>
        </w:trPr>
        <w:tc>
          <w:tcPr>
            <w:tcW w:w="2010" w:type="dxa"/>
          </w:tcPr>
          <w:p w14:paraId="792B0E9F" w14:textId="77777777" w:rsidR="00215544" w:rsidRPr="00E26FD6" w:rsidRDefault="00215544" w:rsidP="006C4827">
            <w:pPr>
              <w:rPr>
                <w:rFonts w:eastAsia="Calibri"/>
                <w:color w:val="153D63" w:themeColor="text2" w:themeTint="E6"/>
              </w:rPr>
            </w:pPr>
            <w:r w:rsidRPr="00E26FD6">
              <w:rPr>
                <w:rFonts w:eastAsia="Calibri"/>
              </w:rPr>
              <w:t>Overestimated Mortality Reduction</w:t>
            </w:r>
            <w:commentRangeStart w:id="1"/>
            <w:commentRangeEnd w:id="1"/>
            <w:r w:rsidRPr="00E26FD6">
              <w:rPr>
                <w:rStyle w:val="CommentReference"/>
              </w:rPr>
              <w:commentReference w:id="1"/>
            </w:r>
          </w:p>
        </w:tc>
        <w:tc>
          <w:tcPr>
            <w:tcW w:w="3802" w:type="dxa"/>
          </w:tcPr>
          <w:p w14:paraId="03DCD417" w14:textId="77777777" w:rsidR="00215544" w:rsidRPr="00E26FD6" w:rsidRDefault="00215544" w:rsidP="006C4827">
            <w:pPr>
              <w:rPr>
                <w:rFonts w:eastAsia="Calibri"/>
              </w:rPr>
            </w:pPr>
            <w:r w:rsidRPr="00E26FD6">
              <w:rPr>
                <w:rFonts w:eastAsia="Calibri"/>
              </w:rPr>
              <w:t xml:space="preserve">Modelling Risk: Claim reduction when </w:t>
            </w:r>
            <w:r w:rsidRPr="003670B8">
              <w:rPr>
                <w:rFonts w:eastAsia="Calibri"/>
              </w:rPr>
              <w:t>realized</w:t>
            </w:r>
            <w:r w:rsidRPr="00E26FD6">
              <w:rPr>
                <w:rFonts w:eastAsia="Calibri"/>
              </w:rPr>
              <w:t xml:space="preserve"> may not be as effective as modelled</w:t>
            </w:r>
          </w:p>
        </w:tc>
        <w:tc>
          <w:tcPr>
            <w:tcW w:w="3828" w:type="dxa"/>
          </w:tcPr>
          <w:p w14:paraId="49C1203D" w14:textId="77777777" w:rsidR="00215544" w:rsidRPr="00E26FD6" w:rsidRDefault="00215544" w:rsidP="006C4827">
            <w:pPr>
              <w:rPr>
                <w:rFonts w:eastAsia="Calibri"/>
              </w:rPr>
            </w:pPr>
            <w:r w:rsidRPr="00E26FD6">
              <w:rPr>
                <w:rFonts w:eastAsia="Calibri"/>
              </w:rPr>
              <w:t xml:space="preserve">Invest in reinsurance to hedge the potential risk of mortality variability. </w:t>
            </w:r>
            <w:r w:rsidRPr="003670B8">
              <w:rPr>
                <w:rFonts w:eastAsia="Calibri"/>
              </w:rPr>
              <w:t>Reduce premium</w:t>
            </w:r>
            <w:r>
              <w:rPr>
                <w:rFonts w:eastAsia="Calibri"/>
              </w:rPr>
              <w:t xml:space="preserve"> reductions and cash-back incentives</w:t>
            </w:r>
            <w:r w:rsidRPr="003670B8">
              <w:rPr>
                <w:rFonts w:eastAsia="Calibri"/>
              </w:rPr>
              <w:t xml:space="preserve"> if necessary</w:t>
            </w:r>
            <w:r>
              <w:rPr>
                <w:rFonts w:eastAsia="Calibri"/>
              </w:rPr>
              <w:t>.</w:t>
            </w:r>
          </w:p>
        </w:tc>
      </w:tr>
      <w:tr w:rsidR="00215544" w:rsidRPr="00E26FD6" w14:paraId="508CA72C" w14:textId="77777777" w:rsidTr="006C4827">
        <w:trPr>
          <w:trHeight w:val="300"/>
        </w:trPr>
        <w:tc>
          <w:tcPr>
            <w:tcW w:w="2010" w:type="dxa"/>
          </w:tcPr>
          <w:p w14:paraId="1616B41C" w14:textId="77777777" w:rsidR="00215544" w:rsidRPr="00E26FD6" w:rsidRDefault="00215544" w:rsidP="006C4827">
            <w:pPr>
              <w:rPr>
                <w:rFonts w:eastAsia="Calibri"/>
                <w:color w:val="153D63" w:themeColor="text2" w:themeTint="E6"/>
              </w:rPr>
            </w:pPr>
            <w:r w:rsidRPr="00E26FD6">
              <w:rPr>
                <w:rFonts w:eastAsia="Calibri"/>
              </w:rPr>
              <w:t>Underestimated Intervention Cost</w:t>
            </w:r>
          </w:p>
        </w:tc>
        <w:tc>
          <w:tcPr>
            <w:tcW w:w="3802" w:type="dxa"/>
          </w:tcPr>
          <w:p w14:paraId="00085ACF" w14:textId="77777777" w:rsidR="00215544" w:rsidRPr="00E26FD6" w:rsidRDefault="00215544" w:rsidP="006C4827">
            <w:pPr>
              <w:rPr>
                <w:rFonts w:eastAsia="Calibri"/>
              </w:rPr>
            </w:pPr>
            <w:r w:rsidRPr="00E26FD6">
              <w:rPr>
                <w:rFonts w:eastAsia="Calibri"/>
              </w:rPr>
              <w:t xml:space="preserve">Modelling Risk: Intervention </w:t>
            </w:r>
            <w:r w:rsidRPr="003670B8">
              <w:rPr>
                <w:rFonts w:eastAsia="Calibri"/>
              </w:rPr>
              <w:t xml:space="preserve">program </w:t>
            </w:r>
            <w:r w:rsidRPr="00E26FD6">
              <w:rPr>
                <w:rFonts w:eastAsia="Calibri"/>
              </w:rPr>
              <w:t>costs may be higher, leading to underpriced premiums</w:t>
            </w:r>
          </w:p>
        </w:tc>
        <w:tc>
          <w:tcPr>
            <w:tcW w:w="3828" w:type="dxa"/>
          </w:tcPr>
          <w:p w14:paraId="5B90795C" w14:textId="77777777" w:rsidR="00215544" w:rsidRPr="00E26FD6" w:rsidRDefault="00215544" w:rsidP="006C4827">
            <w:pPr>
              <w:rPr>
                <w:rFonts w:eastAsia="Calibri"/>
              </w:rPr>
            </w:pPr>
            <w:r w:rsidRPr="00E26FD6">
              <w:rPr>
                <w:rFonts w:eastAsia="Calibri"/>
              </w:rPr>
              <w:t xml:space="preserve">Identify external parties for programs and lock-in contracts (or discounts) for policyholders. </w:t>
            </w:r>
            <w:r>
              <w:rPr>
                <w:rFonts w:eastAsia="Calibri"/>
              </w:rPr>
              <w:t xml:space="preserve">Subsidizing costs through Universal Health Care </w:t>
            </w:r>
            <w:r w:rsidRPr="003670B8">
              <w:rPr>
                <w:rFonts w:eastAsia="Calibri"/>
              </w:rPr>
              <w:t>should also be considered</w:t>
            </w:r>
            <w:r>
              <w:rPr>
                <w:rFonts w:eastAsia="Calibri"/>
              </w:rPr>
              <w:t xml:space="preserve"> if possible.</w:t>
            </w:r>
          </w:p>
        </w:tc>
      </w:tr>
      <w:tr w:rsidR="00215544" w:rsidRPr="00E26FD6" w14:paraId="658801BB" w14:textId="77777777" w:rsidTr="006C4827">
        <w:trPr>
          <w:trHeight w:val="300"/>
        </w:trPr>
        <w:tc>
          <w:tcPr>
            <w:tcW w:w="2010" w:type="dxa"/>
            <w:shd w:val="clear" w:color="auto" w:fill="156082" w:themeFill="accent1"/>
          </w:tcPr>
          <w:p w14:paraId="3EF627EA" w14:textId="77777777" w:rsidR="00215544" w:rsidRPr="00A923D6" w:rsidRDefault="00215544" w:rsidP="006C4827">
            <w:pPr>
              <w:jc w:val="center"/>
              <w:rPr>
                <w:rFonts w:eastAsia="Calibri"/>
              </w:rPr>
            </w:pPr>
            <w:r w:rsidRPr="00A923D6">
              <w:rPr>
                <w:rFonts w:eastAsia="Calibri"/>
                <w:color w:val="FFFFFF" w:themeColor="background1"/>
              </w:rPr>
              <w:t>Qualitative Risk</w:t>
            </w:r>
          </w:p>
        </w:tc>
        <w:tc>
          <w:tcPr>
            <w:tcW w:w="3802" w:type="dxa"/>
            <w:shd w:val="clear" w:color="auto" w:fill="156082" w:themeFill="accent1"/>
          </w:tcPr>
          <w:p w14:paraId="04660930" w14:textId="77777777" w:rsidR="00215544" w:rsidRPr="00A923D6" w:rsidRDefault="00215544" w:rsidP="006C4827">
            <w:pPr>
              <w:jc w:val="center"/>
              <w:rPr>
                <w:rFonts w:eastAsia="Calibri"/>
              </w:rPr>
            </w:pPr>
            <w:r w:rsidRPr="00A923D6">
              <w:rPr>
                <w:rFonts w:eastAsia="Calibri"/>
                <w:color w:val="FFFFFF" w:themeColor="background1"/>
              </w:rPr>
              <w:t>Explanation</w:t>
            </w:r>
          </w:p>
        </w:tc>
        <w:tc>
          <w:tcPr>
            <w:tcW w:w="3828" w:type="dxa"/>
            <w:shd w:val="clear" w:color="auto" w:fill="156082" w:themeFill="accent1"/>
          </w:tcPr>
          <w:p w14:paraId="597B2D5C" w14:textId="77777777" w:rsidR="00215544" w:rsidRPr="00A923D6" w:rsidRDefault="00215544" w:rsidP="006C4827">
            <w:pPr>
              <w:jc w:val="center"/>
              <w:rPr>
                <w:rFonts w:eastAsia="Calibri"/>
              </w:rPr>
            </w:pPr>
            <w:r w:rsidRPr="00A923D6">
              <w:rPr>
                <w:rFonts w:eastAsia="Calibri"/>
                <w:color w:val="FFFFFF" w:themeColor="background1"/>
              </w:rPr>
              <w:t>Mitigation</w:t>
            </w:r>
          </w:p>
        </w:tc>
      </w:tr>
      <w:tr w:rsidR="00215544" w:rsidRPr="00E26FD6" w14:paraId="1095A056" w14:textId="77777777" w:rsidTr="006C4827">
        <w:trPr>
          <w:trHeight w:val="300"/>
        </w:trPr>
        <w:tc>
          <w:tcPr>
            <w:tcW w:w="2010" w:type="dxa"/>
          </w:tcPr>
          <w:p w14:paraId="2DB73E93" w14:textId="77777777" w:rsidR="00215544" w:rsidRPr="00E26FD6" w:rsidRDefault="00215544" w:rsidP="006C4827">
            <w:pPr>
              <w:rPr>
                <w:rFonts w:eastAsia="Calibri"/>
              </w:rPr>
            </w:pPr>
            <w:commentRangeStart w:id="2"/>
            <w:commentRangeEnd w:id="2"/>
            <w:r>
              <w:rPr>
                <w:rStyle w:val="CommentReference"/>
              </w:rPr>
              <w:commentReference w:id="2"/>
            </w:r>
            <w:commentRangeStart w:id="3"/>
            <w:commentRangeEnd w:id="3"/>
            <w:r>
              <w:rPr>
                <w:rStyle w:val="CommentReference"/>
              </w:rPr>
              <w:commentReference w:id="3"/>
            </w:r>
            <w:r w:rsidRPr="00E26FD6">
              <w:rPr>
                <w:rFonts w:eastAsia="Calibri"/>
              </w:rPr>
              <w:t>Regional Disparity</w:t>
            </w:r>
          </w:p>
        </w:tc>
        <w:tc>
          <w:tcPr>
            <w:tcW w:w="3802" w:type="dxa"/>
          </w:tcPr>
          <w:p w14:paraId="69E8467F" w14:textId="77777777" w:rsidR="00215544" w:rsidRPr="00E26FD6" w:rsidRDefault="00215544" w:rsidP="006C4827">
            <w:pPr>
              <w:rPr>
                <w:rFonts w:eastAsia="Calibri"/>
              </w:rPr>
            </w:pPr>
            <w:r w:rsidRPr="00E26FD6">
              <w:rPr>
                <w:rFonts w:eastAsia="Calibri"/>
              </w:rPr>
              <w:t>Geographical</w:t>
            </w:r>
            <w:r>
              <w:rPr>
                <w:rFonts w:eastAsia="Calibri"/>
              </w:rPr>
              <w:t xml:space="preserve"> Risk</w:t>
            </w:r>
            <w:r w:rsidRPr="00E26FD6">
              <w:rPr>
                <w:rFonts w:eastAsia="Calibri"/>
              </w:rPr>
              <w:t xml:space="preserve">: </w:t>
            </w:r>
            <w:r>
              <w:rPr>
                <w:rFonts w:eastAsia="Calibri"/>
              </w:rPr>
              <w:t>Ina</w:t>
            </w:r>
            <w:r w:rsidRPr="00E26FD6">
              <w:rPr>
                <w:rFonts w:eastAsia="Calibri"/>
              </w:rPr>
              <w:t xml:space="preserve">dequate accessibility of intervention programs across all 12 regions of </w:t>
            </w:r>
            <w:proofErr w:type="spellStart"/>
            <w:r w:rsidRPr="00E26FD6">
              <w:rPr>
                <w:rFonts w:eastAsia="Calibri"/>
              </w:rPr>
              <w:t>Lumaria</w:t>
            </w:r>
            <w:proofErr w:type="spellEnd"/>
            <w:r>
              <w:rPr>
                <w:rFonts w:eastAsia="Calibri"/>
              </w:rPr>
              <w:t>.</w:t>
            </w:r>
          </w:p>
        </w:tc>
        <w:tc>
          <w:tcPr>
            <w:tcW w:w="3828" w:type="dxa"/>
          </w:tcPr>
          <w:p w14:paraId="0EE55FB7" w14:textId="77777777" w:rsidR="00215544" w:rsidRPr="00E26FD6" w:rsidRDefault="00215544" w:rsidP="006C4827">
            <w:pPr>
              <w:rPr>
                <w:rFonts w:eastAsia="Calibri"/>
              </w:rPr>
            </w:pPr>
            <w:r w:rsidRPr="00E26FD6">
              <w:rPr>
                <w:rFonts w:eastAsia="Calibri"/>
              </w:rPr>
              <w:t xml:space="preserve">More precise data on geographics and </w:t>
            </w:r>
            <w:r>
              <w:rPr>
                <w:rFonts w:eastAsia="Calibri"/>
              </w:rPr>
              <w:t>confirmation of</w:t>
            </w:r>
            <w:r w:rsidRPr="00E26FD6">
              <w:rPr>
                <w:rFonts w:eastAsia="Calibri"/>
              </w:rPr>
              <w:t xml:space="preserve"> facilities that will offer </w:t>
            </w:r>
            <w:r>
              <w:rPr>
                <w:rFonts w:eastAsia="Calibri"/>
              </w:rPr>
              <w:t>particular</w:t>
            </w:r>
            <w:r w:rsidRPr="00E26FD6">
              <w:rPr>
                <w:rFonts w:eastAsia="Calibri"/>
              </w:rPr>
              <w:t xml:space="preserve"> programs</w:t>
            </w:r>
            <w:r>
              <w:rPr>
                <w:rFonts w:eastAsia="Calibri"/>
              </w:rPr>
              <w:t xml:space="preserve"> in each region. Exploring offline methods for administering some programs.</w:t>
            </w:r>
          </w:p>
        </w:tc>
      </w:tr>
      <w:tr w:rsidR="00215544" w:rsidRPr="00E26FD6" w14:paraId="483179CD" w14:textId="77777777" w:rsidTr="006C4827">
        <w:trPr>
          <w:trHeight w:val="300"/>
        </w:trPr>
        <w:tc>
          <w:tcPr>
            <w:tcW w:w="2010" w:type="dxa"/>
          </w:tcPr>
          <w:p w14:paraId="5734C733" w14:textId="77777777" w:rsidR="00215544" w:rsidRPr="00E26FD6" w:rsidRDefault="00215544" w:rsidP="006C4827">
            <w:pPr>
              <w:rPr>
                <w:rFonts w:eastAsia="Calibri"/>
              </w:rPr>
            </w:pPr>
            <w:r w:rsidRPr="00E26FD6">
              <w:rPr>
                <w:rFonts w:eastAsia="Calibri"/>
              </w:rPr>
              <w:t>Reputational Risk</w:t>
            </w:r>
          </w:p>
        </w:tc>
        <w:tc>
          <w:tcPr>
            <w:tcW w:w="3802" w:type="dxa"/>
          </w:tcPr>
          <w:p w14:paraId="1ECAE611" w14:textId="77777777" w:rsidR="00215544" w:rsidRPr="00E26FD6" w:rsidRDefault="00215544" w:rsidP="006C4827">
            <w:pPr>
              <w:rPr>
                <w:rFonts w:eastAsia="Calibri"/>
              </w:rPr>
            </w:pPr>
            <w:r w:rsidRPr="00E26FD6">
              <w:rPr>
                <w:rFonts w:eastAsia="Calibri"/>
              </w:rPr>
              <w:t>Marketing: Inadequate marketing could incur that the programs are gimmicks to draw profit</w:t>
            </w:r>
            <w:r>
              <w:rPr>
                <w:rFonts w:eastAsia="Calibri"/>
              </w:rPr>
              <w:t>.</w:t>
            </w:r>
          </w:p>
        </w:tc>
        <w:tc>
          <w:tcPr>
            <w:tcW w:w="3828" w:type="dxa"/>
          </w:tcPr>
          <w:p w14:paraId="68E8DB49" w14:textId="77777777" w:rsidR="00215544" w:rsidRPr="00E26FD6" w:rsidRDefault="00215544" w:rsidP="006C4827">
            <w:pPr>
              <w:rPr>
                <w:rFonts w:eastAsia="Calibri"/>
              </w:rPr>
            </w:pPr>
            <w:r w:rsidRPr="00E26FD6">
              <w:rPr>
                <w:rFonts w:eastAsia="Calibri"/>
              </w:rPr>
              <w:t xml:space="preserve">Increase transparency with public on program goals and </w:t>
            </w:r>
            <w:r>
              <w:rPr>
                <w:rFonts w:eastAsia="Calibri"/>
              </w:rPr>
              <w:t>ethical corporate social responsibility</w:t>
            </w:r>
            <w:r w:rsidRPr="00E26FD6">
              <w:rPr>
                <w:rFonts w:eastAsia="Calibri"/>
              </w:rPr>
              <w:t xml:space="preserve"> engagement</w:t>
            </w:r>
            <w:r>
              <w:rPr>
                <w:rFonts w:eastAsia="Calibri"/>
              </w:rPr>
              <w:t>.</w:t>
            </w:r>
          </w:p>
        </w:tc>
      </w:tr>
      <w:tr w:rsidR="00215544" w:rsidRPr="00E26FD6" w14:paraId="1B1E8DA9" w14:textId="77777777" w:rsidTr="006C4827">
        <w:trPr>
          <w:trHeight w:val="300"/>
        </w:trPr>
        <w:tc>
          <w:tcPr>
            <w:tcW w:w="2010" w:type="dxa"/>
          </w:tcPr>
          <w:p w14:paraId="2D1A9819" w14:textId="77777777" w:rsidR="00215544" w:rsidRPr="00E26FD6" w:rsidRDefault="00215544" w:rsidP="006C4827">
            <w:pPr>
              <w:rPr>
                <w:rFonts w:eastAsia="Calibri"/>
              </w:rPr>
            </w:pPr>
            <w:r w:rsidRPr="00E26FD6">
              <w:rPr>
                <w:rFonts w:eastAsia="Calibri"/>
              </w:rPr>
              <w:t>Moral Hazard</w:t>
            </w:r>
            <w:commentRangeStart w:id="4"/>
            <w:commentRangeEnd w:id="4"/>
            <w:r w:rsidRPr="00E26FD6">
              <w:rPr>
                <w:rStyle w:val="CommentReference"/>
              </w:rPr>
              <w:commentReference w:id="4"/>
            </w:r>
          </w:p>
        </w:tc>
        <w:tc>
          <w:tcPr>
            <w:tcW w:w="3802" w:type="dxa"/>
          </w:tcPr>
          <w:p w14:paraId="7049BCC3" w14:textId="77777777" w:rsidR="00215544" w:rsidRPr="00E26FD6" w:rsidRDefault="00215544" w:rsidP="006C4827">
            <w:pPr>
              <w:rPr>
                <w:rFonts w:eastAsia="Calibri"/>
              </w:rPr>
            </w:pPr>
            <w:r w:rsidRPr="00E26FD6">
              <w:rPr>
                <w:rFonts w:eastAsia="Calibri"/>
              </w:rPr>
              <w:t>External: Policyholders may falsely undertake programs for premium reduction</w:t>
            </w:r>
            <w:r>
              <w:rPr>
                <w:rFonts w:eastAsia="Calibri"/>
              </w:rPr>
              <w:t>.</w:t>
            </w:r>
          </w:p>
        </w:tc>
        <w:tc>
          <w:tcPr>
            <w:tcW w:w="3828" w:type="dxa"/>
          </w:tcPr>
          <w:p w14:paraId="57DB8232" w14:textId="77777777" w:rsidR="00215544" w:rsidRPr="00E26FD6" w:rsidRDefault="00215544" w:rsidP="006C4827">
            <w:pPr>
              <w:rPr>
                <w:rFonts w:eastAsia="Calibri"/>
              </w:rPr>
            </w:pPr>
            <w:r>
              <w:rPr>
                <w:rFonts w:eastAsia="Calibri"/>
              </w:rPr>
              <w:t>Implementing</w:t>
            </w:r>
            <w:r w:rsidRPr="003670B8">
              <w:rPr>
                <w:rFonts w:eastAsia="Calibri"/>
              </w:rPr>
              <w:t xml:space="preserve"> </w:t>
            </w:r>
            <w:r>
              <w:rPr>
                <w:rFonts w:eastAsia="Calibri"/>
              </w:rPr>
              <w:t xml:space="preserve">verification processes </w:t>
            </w:r>
            <w:r w:rsidRPr="003670B8">
              <w:rPr>
                <w:rFonts w:eastAsia="Calibri"/>
              </w:rPr>
              <w:t>between program</w:t>
            </w:r>
            <w:r>
              <w:rPr>
                <w:rFonts w:eastAsia="Calibri"/>
              </w:rPr>
              <w:t>-</w:t>
            </w:r>
            <w:r w:rsidRPr="003670B8">
              <w:rPr>
                <w:rFonts w:eastAsia="Calibri"/>
              </w:rPr>
              <w:t xml:space="preserve">offering facilities and </w:t>
            </w:r>
            <w:proofErr w:type="spellStart"/>
            <w:r w:rsidRPr="003670B8">
              <w:rPr>
                <w:rFonts w:eastAsia="Calibri"/>
              </w:rPr>
              <w:t>Super</w:t>
            </w:r>
            <w:r>
              <w:rPr>
                <w:rFonts w:eastAsia="Calibri"/>
              </w:rPr>
              <w:t>L</w:t>
            </w:r>
            <w:r w:rsidRPr="003670B8">
              <w:rPr>
                <w:rFonts w:eastAsia="Calibri"/>
              </w:rPr>
              <w:t>ife</w:t>
            </w:r>
            <w:proofErr w:type="spellEnd"/>
            <w:r>
              <w:rPr>
                <w:rFonts w:eastAsia="Calibri"/>
              </w:rPr>
              <w:t>.</w:t>
            </w:r>
          </w:p>
        </w:tc>
      </w:tr>
    </w:tbl>
    <w:p w14:paraId="7E2D4988" w14:textId="77777777" w:rsidR="00215544" w:rsidRDefault="00215544" w:rsidP="00215544">
      <w:pPr>
        <w:ind w:right="-20"/>
        <w:jc w:val="center"/>
        <w:rPr>
          <w:rFonts w:eastAsia="Calibri"/>
          <w:i/>
          <w:sz w:val="20"/>
          <w:szCs w:val="20"/>
        </w:rPr>
      </w:pPr>
      <w:r>
        <w:rPr>
          <w:rFonts w:eastAsia="Calibri"/>
          <w:i/>
          <w:sz w:val="20"/>
          <w:szCs w:val="20"/>
        </w:rPr>
        <w:t xml:space="preserve">Figure 7: RCD Analysis </w:t>
      </w:r>
      <w:proofErr w:type="gramStart"/>
      <w:r>
        <w:rPr>
          <w:rFonts w:eastAsia="Calibri"/>
          <w:i/>
          <w:sz w:val="20"/>
          <w:szCs w:val="20"/>
        </w:rPr>
        <w:t>For</w:t>
      </w:r>
      <w:proofErr w:type="gramEnd"/>
      <w:r>
        <w:rPr>
          <w:rFonts w:eastAsia="Calibri"/>
          <w:i/>
          <w:sz w:val="20"/>
          <w:szCs w:val="20"/>
        </w:rPr>
        <w:t xml:space="preserve"> Our Main Risks</w:t>
      </w:r>
    </w:p>
    <w:p w14:paraId="2A6AEF01" w14:textId="77777777" w:rsidR="00215544" w:rsidRPr="00E25037" w:rsidRDefault="00215544" w:rsidP="00215544">
      <w:pPr>
        <w:pStyle w:val="Heading3"/>
        <w:rPr>
          <w:color w:val="000000" w:themeColor="text1"/>
          <w:sz w:val="24"/>
          <w:szCs w:val="24"/>
        </w:rPr>
      </w:pPr>
      <w:bookmarkStart w:id="5" w:name="_Toc162011305"/>
      <w:r w:rsidRPr="00E25037">
        <w:rPr>
          <w:rFonts w:cs="Times New Roman"/>
          <w:noProof/>
          <w:color w:val="000000" w:themeColor="text1"/>
          <w:sz w:val="24"/>
          <w:szCs w:val="24"/>
          <w:u w:val="single"/>
        </w:rPr>
        <w:drawing>
          <wp:anchor distT="0" distB="0" distL="114300" distR="114300" simplePos="0" relativeHeight="251669504" behindDoc="0" locked="0" layoutInCell="1" allowOverlap="1" wp14:anchorId="220C8F33" wp14:editId="56DE53B2">
            <wp:simplePos x="0" y="0"/>
            <wp:positionH relativeFrom="margin">
              <wp:align>right</wp:align>
            </wp:positionH>
            <wp:positionV relativeFrom="paragraph">
              <wp:posOffset>59055</wp:posOffset>
            </wp:positionV>
            <wp:extent cx="2240280" cy="1962150"/>
            <wp:effectExtent l="0" t="0" r="7620" b="0"/>
            <wp:wrapSquare wrapText="bothSides"/>
            <wp:docPr id="107411244" name="Picture 1" descr="A grid with blue circl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11244" name="Picture 1" descr="A grid with blue circles and whit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40280" cy="1962150"/>
                    </a:xfrm>
                    <a:prstGeom prst="rect">
                      <a:avLst/>
                    </a:prstGeom>
                  </pic:spPr>
                </pic:pic>
              </a:graphicData>
            </a:graphic>
            <wp14:sizeRelH relativeFrom="margin">
              <wp14:pctWidth>0</wp14:pctWidth>
            </wp14:sizeRelH>
            <wp14:sizeRelV relativeFrom="margin">
              <wp14:pctHeight>0</wp14:pctHeight>
            </wp14:sizeRelV>
          </wp:anchor>
        </w:drawing>
      </w:r>
      <w:r w:rsidRPr="00B75193">
        <w:rPr>
          <w:color w:val="000000" w:themeColor="text1"/>
          <w:sz w:val="24"/>
          <w:szCs w:val="24"/>
          <w:u w:val="single"/>
        </w:rPr>
        <w:t>R</w:t>
      </w:r>
      <w:r w:rsidRPr="00E25037">
        <w:rPr>
          <w:color w:val="000000" w:themeColor="text1"/>
          <w:sz w:val="24"/>
          <w:szCs w:val="24"/>
          <w:u w:val="single"/>
        </w:rPr>
        <w:t>isk Matrix</w:t>
      </w:r>
      <w:bookmarkEnd w:id="5"/>
    </w:p>
    <w:p w14:paraId="635FB1EF" w14:textId="77777777" w:rsidR="00215544" w:rsidRPr="00B75193" w:rsidRDefault="00215544" w:rsidP="00215544">
      <w:pPr>
        <w:ind w:right="-20"/>
        <w:rPr>
          <w:rFonts w:eastAsia="Calibri"/>
          <w:sz w:val="20"/>
          <w:szCs w:val="20"/>
        </w:rPr>
      </w:pPr>
      <w:r w:rsidRPr="003670B8">
        <w:rPr>
          <w:rFonts w:eastAsia="Calibri"/>
        </w:rPr>
        <w:t xml:space="preserve">The most significant of these risks are </w:t>
      </w:r>
      <w:r>
        <w:rPr>
          <w:rFonts w:eastAsia="Calibri"/>
        </w:rPr>
        <w:t>shown</w:t>
      </w:r>
      <w:r w:rsidRPr="003670B8">
        <w:rPr>
          <w:rFonts w:eastAsia="Calibri"/>
        </w:rPr>
        <w:t xml:space="preserve"> in the corresponding risk matrix seen in Figure </w:t>
      </w:r>
      <w:r>
        <w:rPr>
          <w:rFonts w:eastAsia="Calibri"/>
        </w:rPr>
        <w:t>8</w:t>
      </w:r>
      <w:r w:rsidRPr="003670B8">
        <w:rPr>
          <w:rFonts w:eastAsia="Calibri"/>
        </w:rPr>
        <w:t>. These are pivotal factors in variables of likelihood and severity that will need ongoing monitoring to ensure continual program effectiveness and improvement.</w:t>
      </w:r>
    </w:p>
    <w:p w14:paraId="6939FCFB" w14:textId="77777777" w:rsidR="00215544" w:rsidRPr="003670B8" w:rsidRDefault="00215544" w:rsidP="00215544">
      <w:pPr>
        <w:pStyle w:val="Heading3"/>
        <w:rPr>
          <w:color w:val="000000" w:themeColor="text1"/>
        </w:rPr>
      </w:pPr>
      <w:bookmarkStart w:id="6" w:name="_Toc162011306"/>
      <w:r>
        <w:rPr>
          <w:color w:val="000000" w:themeColor="text1"/>
          <w:sz w:val="24"/>
          <w:szCs w:val="24"/>
          <w:u w:val="single"/>
        </w:rPr>
        <w:t>Sensitivity Analysis</w:t>
      </w:r>
      <w:bookmarkEnd w:id="6"/>
    </w:p>
    <w:p w14:paraId="70AB1D3F" w14:textId="77777777" w:rsidR="00215544" w:rsidRDefault="00215544" w:rsidP="00215544">
      <w:pPr>
        <w:spacing w:before="40"/>
        <w:rPr>
          <w:rFonts w:eastAsia="Calibri"/>
        </w:rPr>
      </w:pPr>
      <w:r w:rsidRPr="003670B8">
        <w:rPr>
          <w:rFonts w:eastAsia="Calibri"/>
          <w:noProof/>
        </w:rPr>
        <mc:AlternateContent>
          <mc:Choice Requires="wps">
            <w:drawing>
              <wp:anchor distT="45720" distB="45720" distL="114300" distR="114300" simplePos="0" relativeHeight="251665408" behindDoc="1" locked="0" layoutInCell="1" allowOverlap="1" wp14:anchorId="2A3DA809" wp14:editId="1A6428FB">
                <wp:simplePos x="0" y="0"/>
                <wp:positionH relativeFrom="margin">
                  <wp:posOffset>3961014</wp:posOffset>
                </wp:positionH>
                <wp:positionV relativeFrom="paragraph">
                  <wp:posOffset>443230</wp:posOffset>
                </wp:positionV>
                <wp:extent cx="2148840" cy="266700"/>
                <wp:effectExtent l="0" t="0" r="0" b="0"/>
                <wp:wrapTight wrapText="bothSides">
                  <wp:wrapPolygon edited="0">
                    <wp:start x="574" y="0"/>
                    <wp:lineTo x="574" y="20057"/>
                    <wp:lineTo x="20872" y="20057"/>
                    <wp:lineTo x="20872" y="0"/>
                    <wp:lineTo x="574"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8840" cy="266700"/>
                        </a:xfrm>
                        <a:prstGeom prst="rect">
                          <a:avLst/>
                        </a:prstGeom>
                        <a:noFill/>
                        <a:ln w="9525">
                          <a:noFill/>
                          <a:miter lim="800000"/>
                          <a:headEnd/>
                          <a:tailEnd/>
                        </a:ln>
                      </wps:spPr>
                      <wps:txbx>
                        <w:txbxContent>
                          <w:p w14:paraId="041A9392" w14:textId="77777777" w:rsidR="00215544" w:rsidRPr="006D6026" w:rsidRDefault="00215544" w:rsidP="00215544">
                            <w:pPr>
                              <w:jc w:val="center"/>
                              <w:rPr>
                                <w:i/>
                                <w:sz w:val="20"/>
                                <w:szCs w:val="20"/>
                              </w:rPr>
                            </w:pPr>
                            <w:r w:rsidRPr="003670B8">
                              <w:rPr>
                                <w:i/>
                                <w:sz w:val="20"/>
                                <w:szCs w:val="20"/>
                              </w:rPr>
                              <w:t xml:space="preserve">Figure </w:t>
                            </w:r>
                            <w:r>
                              <w:rPr>
                                <w:i/>
                                <w:sz w:val="20"/>
                                <w:szCs w:val="20"/>
                              </w:rPr>
                              <w:t>8</w:t>
                            </w:r>
                            <w:r w:rsidRPr="003670B8">
                              <w:rPr>
                                <w:i/>
                                <w:sz w:val="20"/>
                                <w:szCs w:val="20"/>
                              </w:rPr>
                              <w:t>: Risk Matrix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3DA809" id="_x0000_t202" coordsize="21600,21600" o:spt="202" path="m,l,21600r21600,l21600,xe">
                <v:stroke joinstyle="miter"/>
                <v:path gradientshapeok="t" o:connecttype="rect"/>
              </v:shapetype>
              <v:shape id="Text Box 2" o:spid="_x0000_s1026" type="#_x0000_t202" style="position:absolute;margin-left:311.9pt;margin-top:34.9pt;width:169.2pt;height:21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" filled="f" stroked="f">
                <v:textbox>
                  <w:txbxContent>
                    <w:p w14:paraId="041A9392" w14:textId="77777777" w:rsidR="00215544" w:rsidRPr="006D6026" w:rsidRDefault="00215544" w:rsidP="00215544">
                      <w:pPr>
                        <w:jc w:val="center"/>
                        <w:rPr>
                          <w:i/>
                          <w:sz w:val="20"/>
                          <w:szCs w:val="20"/>
                        </w:rPr>
                      </w:pPr>
                      <w:r w:rsidRPr="003670B8">
                        <w:rPr>
                          <w:i/>
                          <w:sz w:val="20"/>
                          <w:szCs w:val="20"/>
                        </w:rPr>
                        <w:t xml:space="preserve">Figure </w:t>
                      </w:r>
                      <w:r>
                        <w:rPr>
                          <w:i/>
                          <w:sz w:val="20"/>
                          <w:szCs w:val="20"/>
                        </w:rPr>
                        <w:t>8</w:t>
                      </w:r>
                      <w:r w:rsidRPr="003670B8">
                        <w:rPr>
                          <w:i/>
                          <w:sz w:val="20"/>
                          <w:szCs w:val="20"/>
                        </w:rPr>
                        <w:t>: Risk Matrix</w:t>
                      </w:r>
                    </w:p>
                  </w:txbxContent>
                </v:textbox>
                <w10:wrap type="tight" anchorx="margin"/>
              </v:shape>
            </w:pict>
          </mc:Fallback>
        </mc:AlternateContent>
      </w:r>
      <w:r>
        <w:rPr>
          <w:rFonts w:eastAsia="Calibri"/>
        </w:rPr>
        <w:t xml:space="preserve">Selected </w:t>
      </w:r>
      <w:r w:rsidRPr="003670B8">
        <w:rPr>
          <w:rFonts w:eastAsia="Calibri"/>
        </w:rPr>
        <w:t>quantifiable risks of variable mortality reduction and intervention costs, implicit to our program design, were measured</w:t>
      </w:r>
      <w:r>
        <w:rPr>
          <w:rFonts w:eastAsia="Calibri"/>
        </w:rPr>
        <w:t xml:space="preserve"> </w:t>
      </w:r>
      <w:r w:rsidRPr="003670B8">
        <w:rPr>
          <w:rFonts w:eastAsia="Calibri"/>
        </w:rPr>
        <w:t>in sensitivity analysis to manage</w:t>
      </w:r>
      <w:r>
        <w:rPr>
          <w:rFonts w:eastAsia="Calibri"/>
        </w:rPr>
        <w:t xml:space="preserve"> profitability forecasts. </w:t>
      </w:r>
      <w:proofErr w:type="spellStart"/>
      <w:r>
        <w:rPr>
          <w:rFonts w:eastAsia="Calibri"/>
        </w:rPr>
        <w:t>Sensitvity</w:t>
      </w:r>
      <w:proofErr w:type="spellEnd"/>
      <w:r>
        <w:rPr>
          <w:rFonts w:eastAsia="Calibri"/>
        </w:rPr>
        <w:t xml:space="preserve"> analysis leveraged the </w:t>
      </w:r>
      <w:proofErr w:type="gramStart"/>
      <w:r>
        <w:rPr>
          <w:rFonts w:eastAsia="Calibri"/>
        </w:rPr>
        <w:t>same</w:t>
      </w:r>
      <w:proofErr w:type="gramEnd"/>
    </w:p>
    <w:p w14:paraId="6F8DE196" w14:textId="77777777" w:rsidR="00215544" w:rsidRDefault="00215544" w:rsidP="00215544">
      <w:pPr>
        <w:spacing w:line="360" w:lineRule="auto"/>
        <w:ind w:right="-20"/>
        <w:rPr>
          <w:rFonts w:eastAsia="Calibri"/>
        </w:rPr>
      </w:pPr>
      <w:r>
        <w:rPr>
          <w:rFonts w:eastAsia="Calibri"/>
        </w:rPr>
        <w:t>processes as seen in Appendix B2, but with different underlying assumptions.</w:t>
      </w:r>
    </w:p>
    <w:p w14:paraId="31142051" w14:textId="77777777" w:rsidR="00215544" w:rsidRPr="00560B43" w:rsidRDefault="00215544" w:rsidP="00215544">
      <w:pPr>
        <w:ind w:right="-20"/>
        <w:rPr>
          <w:rFonts w:eastAsia="Calibri"/>
        </w:rPr>
      </w:pPr>
      <w:r>
        <w:rPr>
          <w:rFonts w:eastAsia="Calibri"/>
        </w:rPr>
        <w:t>The T20 Smokers Package is</w:t>
      </w:r>
      <w:r w:rsidRPr="003670B8">
        <w:rPr>
          <w:rFonts w:eastAsia="Calibri"/>
        </w:rPr>
        <w:t xml:space="preserve"> </w:t>
      </w:r>
      <w:commentRangeStart w:id="7"/>
      <w:commentRangeStart w:id="8"/>
      <w:r w:rsidRPr="003670B8">
        <w:rPr>
          <w:rFonts w:eastAsia="Calibri"/>
        </w:rPr>
        <w:t xml:space="preserve">highly volatile to changes </w:t>
      </w:r>
      <w:r>
        <w:rPr>
          <w:rFonts w:eastAsia="Calibri"/>
        </w:rPr>
        <w:t>in</w:t>
      </w:r>
      <w:r w:rsidRPr="003670B8">
        <w:rPr>
          <w:rFonts w:eastAsia="Calibri"/>
        </w:rPr>
        <w:t xml:space="preserve"> mortality and intervention expense parameters and hence </w:t>
      </w:r>
      <w:r>
        <w:rPr>
          <w:rFonts w:eastAsia="Calibri"/>
        </w:rPr>
        <w:t>have</w:t>
      </w:r>
      <w:r w:rsidRPr="003670B8">
        <w:rPr>
          <w:rFonts w:eastAsia="Calibri"/>
        </w:rPr>
        <w:t xml:space="preserve"> </w:t>
      </w:r>
      <w:proofErr w:type="gramStart"/>
      <w:r w:rsidRPr="003670B8">
        <w:rPr>
          <w:rFonts w:eastAsia="Calibri"/>
        </w:rPr>
        <w:t>less</w:t>
      </w:r>
      <w:proofErr w:type="gramEnd"/>
      <w:r w:rsidRPr="003670B8">
        <w:rPr>
          <w:rFonts w:eastAsia="Calibri"/>
        </w:rPr>
        <w:t xml:space="preserve"> stable </w:t>
      </w:r>
      <w:r>
        <w:rPr>
          <w:rFonts w:eastAsia="Calibri"/>
        </w:rPr>
        <w:t>profits, as seen in Figure 9</w:t>
      </w:r>
      <w:r w:rsidRPr="003670B8">
        <w:rPr>
          <w:rFonts w:eastAsia="Calibri"/>
        </w:rPr>
        <w:t>.</w:t>
      </w:r>
      <w:r>
        <w:rPr>
          <w:rFonts w:eastAsia="Calibri"/>
        </w:rPr>
        <w:t xml:space="preserve"> The extremities of our </w:t>
      </w:r>
      <w:r>
        <w:rPr>
          <w:rFonts w:eastAsia="Calibri"/>
        </w:rPr>
        <w:lastRenderedPageBreak/>
        <w:t xml:space="preserve">parameters either reducing profitability by 19.32% or increasing profitability by 46.16%. </w:t>
      </w:r>
      <w:r w:rsidRPr="003670B8">
        <w:rPr>
          <w:rFonts w:eastAsia="Calibri"/>
        </w:rPr>
        <w:t xml:space="preserve"> With investment rate and variable expense measures however, it is profitable across all measures</w:t>
      </w:r>
      <w:r>
        <w:rPr>
          <w:rFonts w:eastAsia="Calibri"/>
        </w:rPr>
        <w:t xml:space="preserve"> (see Figures 10 and 11)</w:t>
      </w:r>
      <w:r w:rsidRPr="003670B8">
        <w:rPr>
          <w:rFonts w:eastAsia="Calibri"/>
        </w:rPr>
        <w:t>. Monitoring and control are required with this particular package with respect to parameter predictors and black swan events that cause drastic change.</w:t>
      </w:r>
      <w:r w:rsidRPr="003670B8">
        <w:rPr>
          <w:rFonts w:eastAsia="Calibri"/>
          <w:b/>
        </w:rPr>
        <w:t xml:space="preserve"> </w:t>
      </w:r>
      <w:commentRangeEnd w:id="7"/>
      <w:r w:rsidRPr="003670B8">
        <w:rPr>
          <w:rStyle w:val="CommentReference"/>
        </w:rPr>
        <w:commentReference w:id="7"/>
      </w:r>
      <w:commentRangeEnd w:id="8"/>
      <w:r w:rsidRPr="003670B8">
        <w:rPr>
          <w:rStyle w:val="CommentReference"/>
        </w:rPr>
        <w:commentReference w:id="8"/>
      </w:r>
    </w:p>
    <w:tbl>
      <w:tblPr>
        <w:tblStyle w:val="TableGrid"/>
        <w:tblW w:w="10106" w:type="dxa"/>
        <w:tblInd w:w="-20" w:type="dxa"/>
        <w:tblLook w:val="04A0" w:firstRow="1" w:lastRow="0" w:firstColumn="1" w:lastColumn="0" w:noHBand="0" w:noVBand="1"/>
      </w:tblPr>
      <w:tblGrid>
        <w:gridCol w:w="10106"/>
      </w:tblGrid>
      <w:tr w:rsidR="00215544" w:rsidRPr="00E26FD6" w14:paraId="6DD2839D" w14:textId="77777777" w:rsidTr="006C4827">
        <w:trPr>
          <w:trHeight w:val="2198"/>
        </w:trPr>
        <w:tc>
          <w:tcPr>
            <w:tcW w:w="10106" w:type="dxa"/>
            <w:tcBorders>
              <w:top w:val="nil"/>
              <w:left w:val="nil"/>
              <w:bottom w:val="nil"/>
              <w:right w:val="nil"/>
            </w:tcBorders>
          </w:tcPr>
          <w:p w14:paraId="6C28A1C2" w14:textId="77777777" w:rsidR="00215544" w:rsidRPr="00E26FD6" w:rsidRDefault="00215544" w:rsidP="006C4827">
            <w:pPr>
              <w:rPr>
                <w:rFonts w:eastAsia="Calibri"/>
              </w:rPr>
            </w:pPr>
            <w:commentRangeStart w:id="9"/>
            <w:commentRangeStart w:id="10"/>
            <w:commentRangeStart w:id="11"/>
            <w:commentRangeStart w:id="12"/>
            <w:r w:rsidRPr="003670B8">
              <w:rPr>
                <w:noProof/>
              </w:rPr>
              <w:drawing>
                <wp:anchor distT="0" distB="0" distL="114300" distR="114300" simplePos="0" relativeHeight="251666432" behindDoc="1" locked="0" layoutInCell="1" allowOverlap="1" wp14:anchorId="0F84D225" wp14:editId="757E8851">
                  <wp:simplePos x="0" y="0"/>
                  <wp:positionH relativeFrom="column">
                    <wp:posOffset>-59055</wp:posOffset>
                  </wp:positionH>
                  <wp:positionV relativeFrom="paragraph">
                    <wp:posOffset>104775</wp:posOffset>
                  </wp:positionV>
                  <wp:extent cx="2747645" cy="1250315"/>
                  <wp:effectExtent l="0" t="0" r="0" b="6985"/>
                  <wp:wrapTight wrapText="bothSides">
                    <wp:wrapPolygon edited="0">
                      <wp:start x="0" y="0"/>
                      <wp:lineTo x="0" y="21392"/>
                      <wp:lineTo x="21415" y="21392"/>
                      <wp:lineTo x="21415" y="0"/>
                      <wp:lineTo x="0" y="0"/>
                    </wp:wrapPolygon>
                  </wp:wrapTight>
                  <wp:docPr id="1730643017" name="Picture 1" descr="A table with numbers and percent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07277" name="Picture 1" descr="A table with numbers and percentag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47645" cy="1250315"/>
                          </a:xfrm>
                          <a:prstGeom prst="rect">
                            <a:avLst/>
                          </a:prstGeom>
                        </pic:spPr>
                      </pic:pic>
                    </a:graphicData>
                  </a:graphic>
                  <wp14:sizeRelH relativeFrom="margin">
                    <wp14:pctWidth>0</wp14:pctWidth>
                  </wp14:sizeRelH>
                  <wp14:sizeRelV relativeFrom="margin">
                    <wp14:pctHeight>0</wp14:pctHeight>
                  </wp14:sizeRelV>
                </wp:anchor>
              </w:drawing>
            </w:r>
            <w:r w:rsidRPr="003670B8">
              <w:rPr>
                <w:noProof/>
              </w:rPr>
              <w:drawing>
                <wp:anchor distT="0" distB="0" distL="114300" distR="114300" simplePos="0" relativeHeight="251667456" behindDoc="1" locked="0" layoutInCell="1" allowOverlap="1" wp14:anchorId="12407215" wp14:editId="4D653D69">
                  <wp:simplePos x="0" y="0"/>
                  <wp:positionH relativeFrom="column">
                    <wp:posOffset>2818765</wp:posOffset>
                  </wp:positionH>
                  <wp:positionV relativeFrom="paragraph">
                    <wp:posOffset>739775</wp:posOffset>
                  </wp:positionV>
                  <wp:extent cx="2981325" cy="650240"/>
                  <wp:effectExtent l="0" t="0" r="9525" b="0"/>
                  <wp:wrapTight wrapText="bothSides">
                    <wp:wrapPolygon edited="0">
                      <wp:start x="0" y="0"/>
                      <wp:lineTo x="0" y="20883"/>
                      <wp:lineTo x="21531" y="20883"/>
                      <wp:lineTo x="21531" y="0"/>
                      <wp:lineTo x="0" y="0"/>
                    </wp:wrapPolygon>
                  </wp:wrapTight>
                  <wp:docPr id="376634969" name="Picture 1" descr="A grid of numbers and percent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634969" name="Picture 1" descr="A grid of numbers and percentages&#10;&#10;Description automatically generated"/>
                          <pic:cNvPicPr>
                            <a:picLocks noChangeAspect="1"/>
                          </pic:cNvPicPr>
                        </pic:nvPicPr>
                        <pic:blipFill rotWithShape="1">
                          <a:blip r:embed="rId11">
                            <a:extLst>
                              <a:ext uri="{28A0092B-C50C-407E-A947-70E740481C1C}">
                                <a14:useLocalDpi xmlns:a14="http://schemas.microsoft.com/office/drawing/2010/main" val="0"/>
                              </a:ext>
                            </a:extLst>
                          </a:blip>
                          <a:srcRect t="14667"/>
                          <a:stretch/>
                        </pic:blipFill>
                        <pic:spPr bwMode="auto">
                          <a:xfrm>
                            <a:off x="0" y="0"/>
                            <a:ext cx="2981325" cy="6502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3670B8">
              <w:rPr>
                <w:noProof/>
              </w:rPr>
              <w:drawing>
                <wp:anchor distT="0" distB="0" distL="114300" distR="114300" simplePos="0" relativeHeight="251668480" behindDoc="1" locked="0" layoutInCell="1" allowOverlap="1" wp14:anchorId="3FF1BE4F" wp14:editId="381EBC62">
                  <wp:simplePos x="0" y="0"/>
                  <wp:positionH relativeFrom="column">
                    <wp:posOffset>2820035</wp:posOffset>
                  </wp:positionH>
                  <wp:positionV relativeFrom="paragraph">
                    <wp:posOffset>104775</wp:posOffset>
                  </wp:positionV>
                  <wp:extent cx="2686050" cy="634365"/>
                  <wp:effectExtent l="0" t="0" r="0" b="0"/>
                  <wp:wrapTight wrapText="bothSides">
                    <wp:wrapPolygon edited="0">
                      <wp:start x="0" y="0"/>
                      <wp:lineTo x="0" y="20757"/>
                      <wp:lineTo x="21447" y="20757"/>
                      <wp:lineTo x="21447" y="0"/>
                      <wp:lineTo x="0" y="0"/>
                    </wp:wrapPolygon>
                  </wp:wrapTight>
                  <wp:docPr id="440893096" name="Picture 1" descr="A grid of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893096" name="Picture 1" descr="A grid of numbers and symbols&#10;&#10;Description automatically generated"/>
                          <pic:cNvPicPr>
                            <a:picLocks noChangeAspect="1"/>
                          </pic:cNvPicPr>
                        </pic:nvPicPr>
                        <pic:blipFill rotWithShape="1">
                          <a:blip r:embed="rId12">
                            <a:extLst>
                              <a:ext uri="{28A0092B-C50C-407E-A947-70E740481C1C}">
                                <a14:useLocalDpi xmlns:a14="http://schemas.microsoft.com/office/drawing/2010/main" val="0"/>
                              </a:ext>
                            </a:extLst>
                          </a:blip>
                          <a:srcRect t="18334"/>
                          <a:stretch/>
                        </pic:blipFill>
                        <pic:spPr bwMode="auto">
                          <a:xfrm>
                            <a:off x="0" y="0"/>
                            <a:ext cx="2686050" cy="63436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commentRangeEnd w:id="9"/>
            <w:r>
              <w:rPr>
                <w:rStyle w:val="CommentReference"/>
              </w:rPr>
              <w:commentReference w:id="9"/>
            </w:r>
            <w:commentRangeEnd w:id="10"/>
            <w:r>
              <w:rPr>
                <w:rStyle w:val="CommentReference"/>
              </w:rPr>
              <w:commentReference w:id="10"/>
            </w:r>
            <w:commentRangeEnd w:id="11"/>
            <w:r>
              <w:rPr>
                <w:rStyle w:val="CommentReference"/>
              </w:rPr>
              <w:commentReference w:id="11"/>
            </w:r>
            <w:commentRangeEnd w:id="12"/>
            <w:r>
              <w:rPr>
                <w:rStyle w:val="CommentReference"/>
              </w:rPr>
              <w:commentReference w:id="12"/>
            </w:r>
          </w:p>
        </w:tc>
      </w:tr>
    </w:tbl>
    <w:p w14:paraId="40100CDB" w14:textId="77777777" w:rsidR="00215544" w:rsidRPr="006D6026" w:rsidRDefault="00215544" w:rsidP="00215544">
      <w:pPr>
        <w:tabs>
          <w:tab w:val="left" w:pos="1020"/>
        </w:tabs>
        <w:spacing w:after="120"/>
        <w:jc w:val="center"/>
        <w:rPr>
          <w:rFonts w:eastAsia="Calibri"/>
          <w:i/>
          <w:sz w:val="20"/>
          <w:szCs w:val="20"/>
        </w:rPr>
      </w:pPr>
      <w:r w:rsidRPr="006D6026">
        <w:rPr>
          <w:rFonts w:eastAsia="Calibri"/>
          <w:i/>
          <w:sz w:val="20"/>
          <w:szCs w:val="20"/>
        </w:rPr>
        <w:t xml:space="preserve">Figures </w:t>
      </w:r>
      <w:r>
        <w:rPr>
          <w:rFonts w:eastAsia="Calibri"/>
          <w:i/>
          <w:sz w:val="20"/>
          <w:szCs w:val="20"/>
        </w:rPr>
        <w:t>9</w:t>
      </w:r>
      <w:r w:rsidRPr="003670B8">
        <w:rPr>
          <w:rFonts w:eastAsia="Calibri"/>
          <w:i/>
          <w:sz w:val="20"/>
          <w:szCs w:val="20"/>
        </w:rPr>
        <w:t xml:space="preserve">, </w:t>
      </w:r>
      <w:r>
        <w:rPr>
          <w:rFonts w:eastAsia="Calibri"/>
          <w:i/>
          <w:sz w:val="20"/>
          <w:szCs w:val="20"/>
        </w:rPr>
        <w:t>10</w:t>
      </w:r>
      <w:r w:rsidRPr="003670B8">
        <w:rPr>
          <w:rFonts w:eastAsia="Calibri"/>
          <w:i/>
          <w:sz w:val="20"/>
          <w:szCs w:val="20"/>
        </w:rPr>
        <w:t xml:space="preserve"> &amp; </w:t>
      </w:r>
      <w:r>
        <w:rPr>
          <w:rFonts w:eastAsia="Calibri"/>
          <w:i/>
          <w:sz w:val="20"/>
          <w:szCs w:val="20"/>
        </w:rPr>
        <w:t>11</w:t>
      </w:r>
      <w:r w:rsidRPr="006D6026">
        <w:rPr>
          <w:rFonts w:eastAsia="Calibri"/>
          <w:i/>
          <w:sz w:val="20"/>
          <w:szCs w:val="20"/>
        </w:rPr>
        <w:t>:</w:t>
      </w:r>
      <w:r>
        <w:rPr>
          <w:rFonts w:eastAsia="Calibri"/>
          <w:i/>
          <w:sz w:val="20"/>
          <w:szCs w:val="20"/>
        </w:rPr>
        <w:t xml:space="preserve"> </w:t>
      </w:r>
      <w:r w:rsidRPr="006D6026">
        <w:rPr>
          <w:rFonts w:eastAsia="Calibri"/>
          <w:i/>
          <w:sz w:val="20"/>
          <w:szCs w:val="20"/>
        </w:rPr>
        <w:t>T20 Smoker Intervention, Market Rate &amp; Variable Cost</w:t>
      </w:r>
    </w:p>
    <w:p w14:paraId="42C9F9E9" w14:textId="77777777" w:rsidR="00215544" w:rsidRPr="00E26FD6" w:rsidRDefault="00215544" w:rsidP="00215544">
      <w:pPr>
        <w:rPr>
          <w:rFonts w:eastAsia="Calibri"/>
          <w:b/>
          <w:sz w:val="8"/>
          <w:szCs w:val="8"/>
        </w:rPr>
      </w:pPr>
    </w:p>
    <w:tbl>
      <w:tblPr>
        <w:tblStyle w:val="TableGrid"/>
        <w:tblW w:w="9568" w:type="dxa"/>
        <w:tblLook w:val="04A0" w:firstRow="1" w:lastRow="0" w:firstColumn="1" w:lastColumn="0" w:noHBand="0" w:noVBand="1"/>
      </w:tblPr>
      <w:tblGrid>
        <w:gridCol w:w="9568"/>
      </w:tblGrid>
      <w:tr w:rsidR="00215544" w:rsidRPr="00E26FD6" w14:paraId="678235A3" w14:textId="77777777" w:rsidTr="006C4827">
        <w:trPr>
          <w:trHeight w:val="1980"/>
        </w:trPr>
        <w:tc>
          <w:tcPr>
            <w:tcW w:w="9568" w:type="dxa"/>
            <w:tcBorders>
              <w:top w:val="nil"/>
              <w:left w:val="nil"/>
              <w:bottom w:val="nil"/>
              <w:right w:val="nil"/>
            </w:tcBorders>
          </w:tcPr>
          <w:p w14:paraId="59853D01" w14:textId="77777777" w:rsidR="00215544" w:rsidRPr="004339B6" w:rsidRDefault="00215544" w:rsidP="006C4827">
            <w:pPr>
              <w:rPr>
                <w:rFonts w:eastAsia="Calibri"/>
                <w:sz w:val="8"/>
                <w:szCs w:val="8"/>
              </w:rPr>
            </w:pPr>
            <w:r w:rsidRPr="00E26FD6">
              <w:rPr>
                <w:noProof/>
              </w:rPr>
              <w:drawing>
                <wp:anchor distT="0" distB="0" distL="114300" distR="114300" simplePos="0" relativeHeight="251662336" behindDoc="1" locked="0" layoutInCell="1" allowOverlap="1" wp14:anchorId="0E2DD3B8" wp14:editId="0F2004B3">
                  <wp:simplePos x="0" y="0"/>
                  <wp:positionH relativeFrom="column">
                    <wp:posOffset>2816535</wp:posOffset>
                  </wp:positionH>
                  <wp:positionV relativeFrom="paragraph">
                    <wp:posOffset>729291</wp:posOffset>
                  </wp:positionV>
                  <wp:extent cx="3006563" cy="643510"/>
                  <wp:effectExtent l="0" t="0" r="3810" b="4445"/>
                  <wp:wrapTight wrapText="bothSides">
                    <wp:wrapPolygon edited="0">
                      <wp:start x="0" y="0"/>
                      <wp:lineTo x="0" y="21323"/>
                      <wp:lineTo x="21536" y="21323"/>
                      <wp:lineTo x="21536" y="0"/>
                      <wp:lineTo x="0" y="0"/>
                    </wp:wrapPolygon>
                  </wp:wrapTight>
                  <wp:docPr id="2128117834" name="Picture 1" descr="A grid of numbers and percent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117834" name="Picture 1" descr="A grid of numbers and percentages&#10;&#10;Description automatically generated"/>
                          <pic:cNvPicPr>
                            <a:picLocks noChangeAspect="1"/>
                          </pic:cNvPicPr>
                        </pic:nvPicPr>
                        <pic:blipFill rotWithShape="1">
                          <a:blip r:embed="rId13">
                            <a:extLst>
                              <a:ext uri="{28A0092B-C50C-407E-A947-70E740481C1C}">
                                <a14:useLocalDpi xmlns:a14="http://schemas.microsoft.com/office/drawing/2010/main" val="0"/>
                              </a:ext>
                            </a:extLst>
                          </a:blip>
                          <a:srcRect t="16048"/>
                          <a:stretch/>
                        </pic:blipFill>
                        <pic:spPr bwMode="auto">
                          <a:xfrm>
                            <a:off x="0" y="0"/>
                            <a:ext cx="3006563" cy="6435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26FD6">
              <w:rPr>
                <w:noProof/>
              </w:rPr>
              <w:drawing>
                <wp:anchor distT="0" distB="0" distL="114300" distR="114300" simplePos="0" relativeHeight="251659264" behindDoc="1" locked="0" layoutInCell="1" allowOverlap="1" wp14:anchorId="5A610C1C" wp14:editId="581A7A24">
                  <wp:simplePos x="0" y="0"/>
                  <wp:positionH relativeFrom="column">
                    <wp:posOffset>2827020</wp:posOffset>
                  </wp:positionH>
                  <wp:positionV relativeFrom="paragraph">
                    <wp:posOffset>0</wp:posOffset>
                  </wp:positionV>
                  <wp:extent cx="2857500" cy="700405"/>
                  <wp:effectExtent l="0" t="0" r="0" b="0"/>
                  <wp:wrapTight wrapText="bothSides">
                    <wp:wrapPolygon edited="0">
                      <wp:start x="0" y="0"/>
                      <wp:lineTo x="0" y="21150"/>
                      <wp:lineTo x="21504" y="21150"/>
                      <wp:lineTo x="21504" y="0"/>
                      <wp:lineTo x="0" y="0"/>
                    </wp:wrapPolygon>
                  </wp:wrapTight>
                  <wp:docPr id="757923571" name="Picture 1" descr="A grid of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923571" name="Picture 1" descr="A grid of numbers and symbols&#10;&#10;Description automatically generated"/>
                          <pic:cNvPicPr>
                            <a:picLocks noChangeAspect="1"/>
                          </pic:cNvPicPr>
                        </pic:nvPicPr>
                        <pic:blipFill rotWithShape="1">
                          <a:blip r:embed="rId14">
                            <a:extLst>
                              <a:ext uri="{28A0092B-C50C-407E-A947-70E740481C1C}">
                                <a14:useLocalDpi xmlns:a14="http://schemas.microsoft.com/office/drawing/2010/main" val="0"/>
                              </a:ext>
                            </a:extLst>
                          </a:blip>
                          <a:srcRect t="13232"/>
                          <a:stretch/>
                        </pic:blipFill>
                        <pic:spPr bwMode="auto">
                          <a:xfrm>
                            <a:off x="0" y="0"/>
                            <a:ext cx="2857500" cy="70040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E26FD6">
              <w:rPr>
                <w:noProof/>
              </w:rPr>
              <w:drawing>
                <wp:anchor distT="0" distB="0" distL="114300" distR="114300" simplePos="0" relativeHeight="251660288" behindDoc="1" locked="0" layoutInCell="1" allowOverlap="1" wp14:anchorId="0ACCAD78" wp14:editId="692787C5">
                  <wp:simplePos x="0" y="0"/>
                  <wp:positionH relativeFrom="margin">
                    <wp:posOffset>-68580</wp:posOffset>
                  </wp:positionH>
                  <wp:positionV relativeFrom="paragraph">
                    <wp:posOffset>0</wp:posOffset>
                  </wp:positionV>
                  <wp:extent cx="2861945" cy="1350645"/>
                  <wp:effectExtent l="0" t="0" r="0" b="0"/>
                  <wp:wrapTight wrapText="bothSides">
                    <wp:wrapPolygon edited="0">
                      <wp:start x="0" y="0"/>
                      <wp:lineTo x="0" y="21326"/>
                      <wp:lineTo x="21471" y="21326"/>
                      <wp:lineTo x="21471" y="0"/>
                      <wp:lineTo x="0" y="0"/>
                    </wp:wrapPolygon>
                  </wp:wrapTight>
                  <wp:docPr id="729317869" name="Picture 1" descr="A table with numbers and percent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805784" name="Picture 1" descr="A table with numbers and percentage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61945" cy="1350645"/>
                          </a:xfrm>
                          <a:prstGeom prst="rect">
                            <a:avLst/>
                          </a:prstGeom>
                        </pic:spPr>
                      </pic:pic>
                    </a:graphicData>
                  </a:graphic>
                  <wp14:sizeRelH relativeFrom="margin">
                    <wp14:pctWidth>0</wp14:pctWidth>
                  </wp14:sizeRelH>
                  <wp14:sizeRelV relativeFrom="margin">
                    <wp14:pctHeight>0</wp14:pctHeight>
                  </wp14:sizeRelV>
                </wp:anchor>
              </w:drawing>
            </w:r>
          </w:p>
        </w:tc>
      </w:tr>
    </w:tbl>
    <w:p w14:paraId="0950AC19" w14:textId="77777777" w:rsidR="00215544" w:rsidRPr="006D6026" w:rsidRDefault="00215544" w:rsidP="00215544">
      <w:pPr>
        <w:tabs>
          <w:tab w:val="left" w:pos="1020"/>
        </w:tabs>
        <w:spacing w:after="120"/>
        <w:jc w:val="center"/>
        <w:rPr>
          <w:rFonts w:eastAsia="Calibri"/>
          <w:i/>
          <w:sz w:val="20"/>
          <w:szCs w:val="20"/>
        </w:rPr>
      </w:pPr>
      <w:r w:rsidRPr="006D6026">
        <w:rPr>
          <w:rFonts w:eastAsia="Calibri"/>
          <w:i/>
          <w:sz w:val="20"/>
          <w:szCs w:val="20"/>
        </w:rPr>
        <w:t xml:space="preserve">Figures </w:t>
      </w:r>
      <w:r w:rsidRPr="003670B8">
        <w:rPr>
          <w:rFonts w:eastAsia="Calibri"/>
          <w:i/>
          <w:sz w:val="20"/>
          <w:szCs w:val="20"/>
        </w:rPr>
        <w:t>1</w:t>
      </w:r>
      <w:r>
        <w:rPr>
          <w:rFonts w:eastAsia="Calibri"/>
          <w:i/>
          <w:sz w:val="20"/>
          <w:szCs w:val="20"/>
        </w:rPr>
        <w:t>2</w:t>
      </w:r>
      <w:r w:rsidRPr="003670B8">
        <w:rPr>
          <w:rFonts w:eastAsia="Calibri"/>
          <w:i/>
          <w:sz w:val="20"/>
          <w:szCs w:val="20"/>
        </w:rPr>
        <w:t>, 1</w:t>
      </w:r>
      <w:r>
        <w:rPr>
          <w:rFonts w:eastAsia="Calibri"/>
          <w:i/>
          <w:sz w:val="20"/>
          <w:szCs w:val="20"/>
        </w:rPr>
        <w:t>3</w:t>
      </w:r>
      <w:r w:rsidRPr="003670B8">
        <w:rPr>
          <w:rFonts w:eastAsia="Calibri"/>
          <w:i/>
          <w:sz w:val="20"/>
          <w:szCs w:val="20"/>
        </w:rPr>
        <w:t xml:space="preserve"> &amp; 1</w:t>
      </w:r>
      <w:r>
        <w:rPr>
          <w:rFonts w:eastAsia="Calibri"/>
          <w:i/>
          <w:sz w:val="20"/>
          <w:szCs w:val="20"/>
        </w:rPr>
        <w:t>4</w:t>
      </w:r>
      <w:r w:rsidRPr="006D6026">
        <w:rPr>
          <w:rFonts w:eastAsia="Calibri"/>
          <w:i/>
          <w:sz w:val="20"/>
          <w:szCs w:val="20"/>
        </w:rPr>
        <w:t>: Intervention, Market Rate &amp; Variable Cost</w:t>
      </w:r>
    </w:p>
    <w:p w14:paraId="76E6F48D" w14:textId="77777777" w:rsidR="00215544" w:rsidRPr="00E26FD6" w:rsidRDefault="00215544" w:rsidP="00215544">
      <w:pPr>
        <w:rPr>
          <w:rFonts w:eastAsia="Calibri"/>
        </w:rPr>
      </w:pPr>
      <w:r w:rsidRPr="00E26FD6">
        <w:rPr>
          <w:rFonts w:eastAsia="Calibri"/>
        </w:rPr>
        <w:t xml:space="preserve">In comparison, non-smoker term contracts are more stable </w:t>
      </w:r>
      <w:r>
        <w:rPr>
          <w:rFonts w:eastAsia="Calibri"/>
        </w:rPr>
        <w:t>to changes in mortality and</w:t>
      </w:r>
      <w:r w:rsidRPr="00E26FD6">
        <w:rPr>
          <w:rFonts w:eastAsia="Calibri"/>
        </w:rPr>
        <w:t xml:space="preserve"> intervention </w:t>
      </w:r>
      <w:r>
        <w:rPr>
          <w:rFonts w:eastAsia="Calibri"/>
        </w:rPr>
        <w:t>expenses (see Figure 12)</w:t>
      </w:r>
      <w:r w:rsidRPr="003670B8">
        <w:rPr>
          <w:rFonts w:eastAsia="Calibri"/>
        </w:rPr>
        <w:t>.</w:t>
      </w:r>
      <w:r w:rsidRPr="00E26FD6">
        <w:rPr>
          <w:rFonts w:eastAsia="Calibri"/>
        </w:rPr>
        <w:t xml:space="preserve"> Variable expenses</w:t>
      </w:r>
      <w:r>
        <w:rPr>
          <w:rFonts w:eastAsia="Calibri"/>
        </w:rPr>
        <w:t>, however, have a more pronounced impact on profitability, as depicted in Figure 14 with losses on higher ranges</w:t>
      </w:r>
      <w:r w:rsidRPr="003670B8">
        <w:rPr>
          <w:rFonts w:eastAsia="Calibri"/>
        </w:rPr>
        <w:t>.</w:t>
      </w:r>
    </w:p>
    <w:p w14:paraId="1540AB47" w14:textId="77777777" w:rsidR="00215544" w:rsidRDefault="00215544" w:rsidP="00215544">
      <w:pPr>
        <w:rPr>
          <w:rFonts w:eastAsia="Calibri"/>
        </w:rPr>
      </w:pPr>
      <w:r w:rsidRPr="00E26FD6">
        <w:rPr>
          <w:noProof/>
        </w:rPr>
        <w:drawing>
          <wp:anchor distT="0" distB="0" distL="114300" distR="114300" simplePos="0" relativeHeight="251663360" behindDoc="0" locked="0" layoutInCell="1" allowOverlap="1" wp14:anchorId="2C906CBB" wp14:editId="3BA80572">
            <wp:simplePos x="0" y="0"/>
            <wp:positionH relativeFrom="margin">
              <wp:posOffset>35560</wp:posOffset>
            </wp:positionH>
            <wp:positionV relativeFrom="paragraph">
              <wp:posOffset>12065</wp:posOffset>
            </wp:positionV>
            <wp:extent cx="2647950" cy="1300480"/>
            <wp:effectExtent l="0" t="0" r="0" b="0"/>
            <wp:wrapSquare wrapText="bothSides"/>
            <wp:docPr id="1329071639" name="Picture 1" descr="A table with numbers and a number of percent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071639" name="Picture 1" descr="A table with numbers and a number of percentage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647950" cy="1300480"/>
                    </a:xfrm>
                    <a:prstGeom prst="rect">
                      <a:avLst/>
                    </a:prstGeom>
                  </pic:spPr>
                </pic:pic>
              </a:graphicData>
            </a:graphic>
            <wp14:sizeRelH relativeFrom="margin">
              <wp14:pctWidth>0</wp14:pctWidth>
            </wp14:sizeRelH>
            <wp14:sizeRelV relativeFrom="margin">
              <wp14:pctHeight>0</wp14:pctHeight>
            </wp14:sizeRelV>
          </wp:anchor>
        </w:drawing>
      </w:r>
      <w:r w:rsidRPr="00E26FD6">
        <w:rPr>
          <w:noProof/>
        </w:rPr>
        <w:drawing>
          <wp:anchor distT="0" distB="0" distL="114300" distR="114300" simplePos="0" relativeHeight="251661312" behindDoc="0" locked="0" layoutInCell="1" allowOverlap="1" wp14:anchorId="37E5B324" wp14:editId="021645EC">
            <wp:simplePos x="0" y="0"/>
            <wp:positionH relativeFrom="column">
              <wp:posOffset>2746907</wp:posOffset>
            </wp:positionH>
            <wp:positionV relativeFrom="paragraph">
              <wp:posOffset>14591</wp:posOffset>
            </wp:positionV>
            <wp:extent cx="2733675" cy="643255"/>
            <wp:effectExtent l="0" t="0" r="9525" b="4445"/>
            <wp:wrapSquare wrapText="bothSides"/>
            <wp:docPr id="652808713" name="Picture 1" descr="A grid of numbers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808713" name="Picture 1" descr="A grid of numbers with black text&#10;&#10;Description automatically generated with medium confidence"/>
                    <pic:cNvPicPr>
                      <a:picLocks noChangeAspect="1"/>
                    </pic:cNvPicPr>
                  </pic:nvPicPr>
                  <pic:blipFill rotWithShape="1">
                    <a:blip r:embed="rId17">
                      <a:extLst>
                        <a:ext uri="{28A0092B-C50C-407E-A947-70E740481C1C}">
                          <a14:useLocalDpi xmlns:a14="http://schemas.microsoft.com/office/drawing/2010/main" val="0"/>
                        </a:ext>
                      </a:extLst>
                    </a:blip>
                    <a:srcRect t="15572"/>
                    <a:stretch/>
                  </pic:blipFill>
                  <pic:spPr bwMode="auto">
                    <a:xfrm>
                      <a:off x="0" y="0"/>
                      <a:ext cx="2733675" cy="64325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CF7858D" w14:textId="77777777" w:rsidR="00215544" w:rsidRDefault="00215544" w:rsidP="00215544">
      <w:pPr>
        <w:rPr>
          <w:rFonts w:eastAsia="Calibri"/>
        </w:rPr>
      </w:pPr>
    </w:p>
    <w:p w14:paraId="6ECB6C5A" w14:textId="77777777" w:rsidR="00215544" w:rsidRDefault="00215544" w:rsidP="00215544">
      <w:pPr>
        <w:rPr>
          <w:rFonts w:eastAsia="Calibri"/>
        </w:rPr>
      </w:pPr>
      <w:r w:rsidRPr="00E26FD6">
        <w:rPr>
          <w:noProof/>
        </w:rPr>
        <w:drawing>
          <wp:anchor distT="0" distB="0" distL="114300" distR="114300" simplePos="0" relativeHeight="251664384" behindDoc="0" locked="0" layoutInCell="1" allowOverlap="1" wp14:anchorId="2B851A0B" wp14:editId="2C44F164">
            <wp:simplePos x="0" y="0"/>
            <wp:positionH relativeFrom="margin">
              <wp:posOffset>2735325</wp:posOffset>
            </wp:positionH>
            <wp:positionV relativeFrom="paragraph">
              <wp:posOffset>333648</wp:posOffset>
            </wp:positionV>
            <wp:extent cx="2861945" cy="628650"/>
            <wp:effectExtent l="0" t="0" r="0" b="0"/>
            <wp:wrapSquare wrapText="bothSides"/>
            <wp:docPr id="319378947" name="Picture 1" descr="A grid of numbers and percent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378947" name="Picture 1" descr="A grid of numbers and percentages&#10;&#10;Description automatically generated"/>
                    <pic:cNvPicPr>
                      <a:picLocks noChangeAspect="1"/>
                    </pic:cNvPicPr>
                  </pic:nvPicPr>
                  <pic:blipFill rotWithShape="1">
                    <a:blip r:embed="rId18">
                      <a:extLst>
                        <a:ext uri="{28A0092B-C50C-407E-A947-70E740481C1C}">
                          <a14:useLocalDpi xmlns:a14="http://schemas.microsoft.com/office/drawing/2010/main" val="0"/>
                        </a:ext>
                      </a:extLst>
                    </a:blip>
                    <a:srcRect t="13601"/>
                    <a:stretch/>
                  </pic:blipFill>
                  <pic:spPr bwMode="auto">
                    <a:xfrm>
                      <a:off x="0" y="0"/>
                      <a:ext cx="2861945" cy="628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D08BBE6" w14:textId="77777777" w:rsidR="00215544" w:rsidRDefault="00215544" w:rsidP="00215544">
      <w:pPr>
        <w:tabs>
          <w:tab w:val="left" w:pos="1020"/>
        </w:tabs>
        <w:spacing w:after="120"/>
        <w:rPr>
          <w:rFonts w:eastAsia="Calibri"/>
          <w:i/>
        </w:rPr>
      </w:pPr>
    </w:p>
    <w:p w14:paraId="231D1C21" w14:textId="77777777" w:rsidR="00215544" w:rsidRDefault="00215544" w:rsidP="00215544">
      <w:pPr>
        <w:tabs>
          <w:tab w:val="left" w:pos="1020"/>
        </w:tabs>
        <w:spacing w:after="120"/>
        <w:rPr>
          <w:rFonts w:eastAsia="Calibri"/>
          <w:i/>
        </w:rPr>
      </w:pPr>
    </w:p>
    <w:p w14:paraId="2ECCF2F5" w14:textId="77777777" w:rsidR="00215544" w:rsidRDefault="00215544" w:rsidP="00215544">
      <w:pPr>
        <w:tabs>
          <w:tab w:val="left" w:pos="1020"/>
        </w:tabs>
        <w:spacing w:after="120"/>
        <w:rPr>
          <w:rFonts w:eastAsia="Calibri"/>
          <w:i/>
        </w:rPr>
      </w:pPr>
    </w:p>
    <w:p w14:paraId="07917A19" w14:textId="77777777" w:rsidR="00215544" w:rsidRPr="008034E5" w:rsidRDefault="00215544" w:rsidP="00215544">
      <w:pPr>
        <w:tabs>
          <w:tab w:val="left" w:pos="1020"/>
        </w:tabs>
        <w:spacing w:after="120"/>
        <w:rPr>
          <w:rFonts w:eastAsia="Calibri"/>
          <w:i/>
          <w:sz w:val="8"/>
          <w:szCs w:val="8"/>
        </w:rPr>
      </w:pPr>
    </w:p>
    <w:p w14:paraId="7305C36E" w14:textId="77777777" w:rsidR="00215544" w:rsidRPr="00A12A7E" w:rsidRDefault="00215544" w:rsidP="00215544">
      <w:pPr>
        <w:tabs>
          <w:tab w:val="left" w:pos="1020"/>
        </w:tabs>
        <w:spacing w:after="120"/>
        <w:jc w:val="center"/>
        <w:rPr>
          <w:rFonts w:eastAsia="Calibri"/>
          <w:i/>
          <w:sz w:val="20"/>
          <w:szCs w:val="20"/>
        </w:rPr>
      </w:pPr>
      <w:r w:rsidRPr="003670B8">
        <w:rPr>
          <w:rFonts w:eastAsia="Calibri"/>
          <w:i/>
          <w:sz w:val="20"/>
          <w:szCs w:val="20"/>
        </w:rPr>
        <w:t>Figures 1</w:t>
      </w:r>
      <w:r>
        <w:rPr>
          <w:rFonts w:eastAsia="Calibri"/>
          <w:i/>
          <w:sz w:val="20"/>
          <w:szCs w:val="20"/>
        </w:rPr>
        <w:t>5</w:t>
      </w:r>
      <w:r w:rsidRPr="003670B8">
        <w:rPr>
          <w:rFonts w:eastAsia="Calibri"/>
          <w:i/>
          <w:sz w:val="20"/>
          <w:szCs w:val="20"/>
        </w:rPr>
        <w:t>, 1</w:t>
      </w:r>
      <w:r>
        <w:rPr>
          <w:rFonts w:eastAsia="Calibri"/>
          <w:i/>
          <w:sz w:val="20"/>
          <w:szCs w:val="20"/>
        </w:rPr>
        <w:t>6</w:t>
      </w:r>
      <w:r w:rsidRPr="003670B8">
        <w:rPr>
          <w:rFonts w:eastAsia="Calibri"/>
          <w:i/>
          <w:sz w:val="20"/>
          <w:szCs w:val="20"/>
        </w:rPr>
        <w:t xml:space="preserve"> &amp; 1</w:t>
      </w:r>
      <w:r>
        <w:rPr>
          <w:rFonts w:eastAsia="Calibri"/>
          <w:i/>
          <w:sz w:val="20"/>
          <w:szCs w:val="20"/>
        </w:rPr>
        <w:t>7</w:t>
      </w:r>
      <w:r w:rsidRPr="003670B8">
        <w:rPr>
          <w:rFonts w:eastAsia="Calibri"/>
          <w:i/>
          <w:sz w:val="20"/>
          <w:szCs w:val="20"/>
        </w:rPr>
        <w:t>: Whole Life Intervention, Market Rate &amp; Variable Cost</w:t>
      </w:r>
    </w:p>
    <w:p w14:paraId="3F275590" w14:textId="77777777" w:rsidR="00215544" w:rsidRDefault="00215544" w:rsidP="00215544">
      <w:pPr>
        <w:tabs>
          <w:tab w:val="left" w:pos="1020"/>
        </w:tabs>
        <w:spacing w:after="120"/>
        <w:rPr>
          <w:rFonts w:eastAsia="Calibri"/>
        </w:rPr>
      </w:pPr>
      <w:r>
        <w:rPr>
          <w:rFonts w:eastAsia="Calibri"/>
        </w:rPr>
        <w:t>As seen in Figures 15-17, the WL</w:t>
      </w:r>
      <w:r w:rsidRPr="003670B8">
        <w:rPr>
          <w:rFonts w:eastAsia="Calibri"/>
        </w:rPr>
        <w:t xml:space="preserve"> </w:t>
      </w:r>
      <w:r>
        <w:rPr>
          <w:rFonts w:eastAsia="Calibri"/>
        </w:rPr>
        <w:t>Non-Smoker Package has</w:t>
      </w:r>
      <w:r w:rsidRPr="00E26FD6">
        <w:rPr>
          <w:rFonts w:eastAsia="Calibri"/>
        </w:rPr>
        <w:t xml:space="preserve"> the most stable </w:t>
      </w:r>
      <w:r>
        <w:rPr>
          <w:rFonts w:eastAsia="Calibri"/>
        </w:rPr>
        <w:t>profits,</w:t>
      </w:r>
      <w:r w:rsidRPr="00E26FD6">
        <w:rPr>
          <w:rFonts w:eastAsia="Calibri"/>
        </w:rPr>
        <w:t xml:space="preserve"> with profits </w:t>
      </w:r>
      <w:r>
        <w:rPr>
          <w:rFonts w:eastAsia="Calibri"/>
        </w:rPr>
        <w:t>in</w:t>
      </w:r>
      <w:r w:rsidRPr="00E26FD6">
        <w:rPr>
          <w:rFonts w:eastAsia="Calibri"/>
        </w:rPr>
        <w:t xml:space="preserve"> nearly all </w:t>
      </w:r>
      <w:r>
        <w:rPr>
          <w:rFonts w:eastAsia="Calibri"/>
        </w:rPr>
        <w:t>simulated scenarios of intervention.</w:t>
      </w:r>
      <w:r w:rsidRPr="00E26FD6">
        <w:rPr>
          <w:rFonts w:eastAsia="Calibri"/>
        </w:rPr>
        <w:t xml:space="preserve"> Large increases to variable expense pose a large risk which will require mitigation techniques discussed above.</w:t>
      </w:r>
    </w:p>
    <w:p w14:paraId="630A3FDD" w14:textId="77777777" w:rsidR="00215544" w:rsidRDefault="00215544" w:rsidP="00215544">
      <w:pPr>
        <w:rPr>
          <w:rFonts w:eastAsia="Calibri"/>
        </w:rPr>
      </w:pPr>
      <w:r>
        <w:rPr>
          <w:rFonts w:eastAsia="Calibri"/>
        </w:rPr>
        <w:t>The</w:t>
      </w:r>
      <w:r w:rsidRPr="003670B8">
        <w:rPr>
          <w:rFonts w:eastAsia="Calibri"/>
        </w:rPr>
        <w:t xml:space="preserve"> sensitivity analysis suggests there is a strong degree of certainty that the </w:t>
      </w:r>
      <w:r>
        <w:rPr>
          <w:rFonts w:eastAsia="Calibri"/>
        </w:rPr>
        <w:t>WL Non-Smoker Program</w:t>
      </w:r>
      <w:r w:rsidRPr="003670B8">
        <w:rPr>
          <w:rFonts w:eastAsia="Calibri"/>
        </w:rPr>
        <w:t xml:space="preserve"> will increase profit in comparison to those without intervention. The T20</w:t>
      </w:r>
      <w:r>
        <w:rPr>
          <w:rFonts w:eastAsia="Calibri"/>
        </w:rPr>
        <w:t xml:space="preserve"> Non-Smoker Program</w:t>
      </w:r>
      <w:r w:rsidRPr="003670B8">
        <w:rPr>
          <w:rFonts w:eastAsia="Calibri"/>
        </w:rPr>
        <w:t xml:space="preserve"> is also almost certainly a beneficial program with only concerns in extremities of expense and mortality. </w:t>
      </w:r>
      <w:r>
        <w:rPr>
          <w:rFonts w:eastAsia="Calibri"/>
        </w:rPr>
        <w:t>The</w:t>
      </w:r>
      <w:r w:rsidRPr="003670B8">
        <w:rPr>
          <w:rFonts w:eastAsia="Calibri"/>
        </w:rPr>
        <w:t xml:space="preserve"> </w:t>
      </w:r>
      <w:r>
        <w:rPr>
          <w:rFonts w:eastAsia="Calibri"/>
        </w:rPr>
        <w:t>T20 Smoker</w:t>
      </w:r>
      <w:r w:rsidRPr="003670B8">
        <w:rPr>
          <w:rFonts w:eastAsia="Calibri"/>
        </w:rPr>
        <w:t xml:space="preserve"> </w:t>
      </w:r>
      <w:r>
        <w:rPr>
          <w:rFonts w:eastAsia="Calibri"/>
        </w:rPr>
        <w:t>P</w:t>
      </w:r>
      <w:r w:rsidRPr="003670B8">
        <w:rPr>
          <w:rFonts w:eastAsia="Calibri"/>
        </w:rPr>
        <w:t xml:space="preserve">rogram </w:t>
      </w:r>
      <w:r>
        <w:rPr>
          <w:rFonts w:eastAsia="Calibri"/>
        </w:rPr>
        <w:t xml:space="preserve">is </w:t>
      </w:r>
      <w:r w:rsidRPr="003670B8">
        <w:rPr>
          <w:rFonts w:eastAsia="Calibri"/>
        </w:rPr>
        <w:t>still beneficial</w:t>
      </w:r>
      <w:r>
        <w:rPr>
          <w:rFonts w:eastAsia="Calibri"/>
        </w:rPr>
        <w:t>, however,</w:t>
      </w:r>
      <w:r w:rsidRPr="003670B8">
        <w:rPr>
          <w:rFonts w:eastAsia="Calibri"/>
        </w:rPr>
        <w:t xml:space="preserve"> </w:t>
      </w:r>
      <w:r>
        <w:rPr>
          <w:rFonts w:eastAsia="Calibri"/>
        </w:rPr>
        <w:t xml:space="preserve">has greater </w:t>
      </w:r>
      <w:proofErr w:type="gramStart"/>
      <w:r>
        <w:rPr>
          <w:rFonts w:eastAsia="Calibri"/>
        </w:rPr>
        <w:t>profit</w:t>
      </w:r>
      <w:proofErr w:type="gramEnd"/>
    </w:p>
    <w:p w14:paraId="1B40F73A" w14:textId="77777777" w:rsidR="00215544" w:rsidRDefault="00215544" w:rsidP="00215544">
      <w:pPr>
        <w:rPr>
          <w:rFonts w:eastAsia="Calibri"/>
        </w:rPr>
      </w:pPr>
      <w:r>
        <w:rPr>
          <w:rFonts w:eastAsia="Calibri"/>
        </w:rPr>
        <w:lastRenderedPageBreak/>
        <w:t>variability</w:t>
      </w:r>
      <w:r w:rsidRPr="003670B8">
        <w:rPr>
          <w:rFonts w:eastAsia="Calibri"/>
        </w:rPr>
        <w:t xml:space="preserve">. The differential of the benefits is extended by our focus on different face value cases, where lower socio-economic classes face greater mortality improvements through healthcare programs and gives more assurance to our models. </w:t>
      </w:r>
    </w:p>
    <w:p w14:paraId="26591BCD" w14:textId="77777777" w:rsidR="00215544" w:rsidRPr="003670B8" w:rsidRDefault="00215544" w:rsidP="00215544">
      <w:pPr>
        <w:rPr>
          <w:rFonts w:eastAsia="Calibri"/>
        </w:rPr>
      </w:pPr>
    </w:p>
    <w:p w14:paraId="438C55FF" w14:textId="77777777" w:rsidR="00215544" w:rsidRDefault="00215544" w:rsidP="00215544">
      <w:pPr>
        <w:tabs>
          <w:tab w:val="left" w:pos="1020"/>
        </w:tabs>
        <w:spacing w:after="120"/>
        <w:rPr>
          <w:rFonts w:eastAsia="Calibri"/>
        </w:rPr>
      </w:pPr>
      <w:r>
        <w:rPr>
          <w:rFonts w:eastAsia="Calibri"/>
        </w:rPr>
        <w:t>Empirical evidence from various studies indicates that our programs would have almost certainly reduced mortality over the past two decades. Notably, smoking cessation, particularly of ages below 35, has shown the most significant impact, by reducing relative mortality risk upwards of 50% in studies (Thomson et al., 2022)</w:t>
      </w:r>
      <w:r>
        <w:rPr>
          <w:rFonts w:eastAsia="Calibri"/>
          <w:vertAlign w:val="superscript"/>
        </w:rPr>
        <w:t>11</w:t>
      </w:r>
      <w:r>
        <w:rPr>
          <w:rFonts w:eastAsia="Calibri"/>
        </w:rPr>
        <w:t>. While effectiveness decreases on subsequent decades due to prior smoking exposure, there remains a notable impact of over 30%. Additionally, s</w:t>
      </w:r>
      <w:r w:rsidRPr="00B25DBE">
        <w:rPr>
          <w:rFonts w:eastAsia="Calibri"/>
        </w:rPr>
        <w:t xml:space="preserve">creenings </w:t>
      </w:r>
      <w:r>
        <w:rPr>
          <w:rFonts w:eastAsia="Calibri"/>
        </w:rPr>
        <w:t>have been associated with</w:t>
      </w:r>
      <w:r w:rsidRPr="00B25DBE">
        <w:rPr>
          <w:rFonts w:eastAsia="Calibri"/>
        </w:rPr>
        <w:t xml:space="preserve"> empirical estimates for mortality reduction, with regular preventative</w:t>
      </w:r>
      <w:r>
        <w:rPr>
          <w:rFonts w:eastAsia="Calibri"/>
        </w:rPr>
        <w:t xml:space="preserve"> screenings at approximately</w:t>
      </w:r>
      <w:r w:rsidRPr="00B25DBE">
        <w:rPr>
          <w:rFonts w:eastAsia="Calibri"/>
        </w:rPr>
        <w:t xml:space="preserve"> 23% </w:t>
      </w:r>
      <w:r w:rsidRPr="00B25DBE">
        <w:rPr>
          <w:rStyle w:val="normaltextrun"/>
          <w:color w:val="000000"/>
          <w:bdr w:val="none" w:sz="0" w:space="0" w:color="auto" w:frame="1"/>
        </w:rPr>
        <w:t>(McCracken et al., 2024)</w:t>
      </w:r>
      <w:r>
        <w:rPr>
          <w:rStyle w:val="normaltextrun"/>
          <w:color w:val="000000"/>
          <w:bdr w:val="none" w:sz="0" w:space="0" w:color="auto" w:frame="1"/>
          <w:vertAlign w:val="superscript"/>
        </w:rPr>
        <w:t>10</w:t>
      </w:r>
      <w:r w:rsidRPr="00B25DBE">
        <w:rPr>
          <w:rStyle w:val="normaltextrun"/>
          <w:color w:val="000000"/>
          <w:bdr w:val="none" w:sz="0" w:space="0" w:color="auto" w:frame="1"/>
        </w:rPr>
        <w:t xml:space="preserve"> </w:t>
      </w:r>
      <w:r w:rsidRPr="00B25DBE">
        <w:rPr>
          <w:rFonts w:eastAsia="Calibri"/>
        </w:rPr>
        <w:t xml:space="preserve">and cardiovascular </w:t>
      </w:r>
      <w:r>
        <w:rPr>
          <w:rFonts w:eastAsia="Calibri"/>
        </w:rPr>
        <w:t xml:space="preserve">screenings </w:t>
      </w:r>
      <w:r w:rsidRPr="00B25DBE">
        <w:rPr>
          <w:rFonts w:eastAsia="Calibri"/>
        </w:rPr>
        <w:t xml:space="preserve">around 11% </w:t>
      </w:r>
      <w:r w:rsidRPr="00B25DBE">
        <w:rPr>
          <w:rStyle w:val="normaltextrun"/>
          <w:color w:val="000000"/>
          <w:bdr w:val="none" w:sz="0" w:space="0" w:color="auto" w:frame="1"/>
        </w:rPr>
        <w:t>(Lindholt et al., 2023)</w:t>
      </w:r>
      <w:r>
        <w:rPr>
          <w:rStyle w:val="normaltextrun"/>
          <w:color w:val="000000"/>
          <w:bdr w:val="none" w:sz="0" w:space="0" w:color="auto" w:frame="1"/>
          <w:vertAlign w:val="superscript"/>
        </w:rPr>
        <w:t>7</w:t>
      </w:r>
      <w:r w:rsidRPr="00B25DBE">
        <w:rPr>
          <w:rFonts w:eastAsia="Calibri"/>
        </w:rPr>
        <w:t>. Ultimately, against these measured results, our model takes more conservative parameters and increases the viability of its effectiveness over the last 20 years with adequate risk mitigation and monitoring.</w:t>
      </w:r>
      <w:r>
        <w:rPr>
          <w:rFonts w:eastAsia="Calibri"/>
        </w:rPr>
        <w:t xml:space="preserve"> </w:t>
      </w:r>
    </w:p>
    <w:p w14:paraId="79CBFF42" w14:textId="77777777" w:rsidR="00215544" w:rsidRPr="00E26FD6" w:rsidRDefault="00215544" w:rsidP="00215544">
      <w:pPr>
        <w:tabs>
          <w:tab w:val="left" w:pos="1020"/>
        </w:tabs>
        <w:spacing w:after="120"/>
        <w:rPr>
          <w:rFonts w:eastAsia="Calibri"/>
        </w:rPr>
      </w:pPr>
      <w:r>
        <w:rPr>
          <w:rFonts w:eastAsia="Calibri"/>
        </w:rPr>
        <w:t xml:space="preserve">It is important to consider the ethical framework in delivering truthful and professional products to consumers and this, in conjunction with reputational outlook needs to be consistently monitored with ongoing data collected by </w:t>
      </w:r>
      <w:proofErr w:type="spellStart"/>
      <w:r>
        <w:rPr>
          <w:rFonts w:eastAsia="Calibri"/>
        </w:rPr>
        <w:t>Superlife</w:t>
      </w:r>
      <w:proofErr w:type="spellEnd"/>
      <w:r>
        <w:rPr>
          <w:rFonts w:eastAsia="Calibri"/>
        </w:rPr>
        <w:t xml:space="preserve"> after the introduction of proposed programs. Continual transparency with clients who undertake any of the three programs is paramount and accommodating these clients with their respective promised premium reductions </w:t>
      </w:r>
      <w:commentRangeStart w:id="13"/>
      <w:r>
        <w:rPr>
          <w:rFonts w:eastAsia="Calibri"/>
        </w:rPr>
        <w:t>alongside the overall initiative in ethical goals of improving general health and mortality levels needs to be ensured through mitigations over time</w:t>
      </w:r>
      <w:commentRangeEnd w:id="13"/>
      <w:r w:rsidRPr="003670B8">
        <w:rPr>
          <w:rStyle w:val="CommentReference"/>
        </w:rPr>
        <w:commentReference w:id="13"/>
      </w:r>
      <w:r w:rsidRPr="003670B8">
        <w:rPr>
          <w:rFonts w:eastAsia="Calibri"/>
        </w:rPr>
        <w:t>.</w:t>
      </w:r>
      <w:r>
        <w:rPr>
          <w:rFonts w:eastAsia="Calibri"/>
        </w:rPr>
        <w:t xml:space="preserve"> To ensure that </w:t>
      </w:r>
      <w:proofErr w:type="spellStart"/>
      <w:r>
        <w:rPr>
          <w:rFonts w:eastAsia="Calibri"/>
        </w:rPr>
        <w:t>SuperLife</w:t>
      </w:r>
      <w:proofErr w:type="spellEnd"/>
      <w:r>
        <w:rPr>
          <w:rFonts w:eastAsia="Calibri"/>
        </w:rPr>
        <w:t xml:space="preserve"> continues to remain ethical in their operations, we have suggested quarterly policyholder surveys, </w:t>
      </w:r>
      <w:proofErr w:type="gramStart"/>
      <w:r>
        <w:rPr>
          <w:rFonts w:eastAsia="Calibri"/>
        </w:rPr>
        <w:t>as well as,</w:t>
      </w:r>
      <w:proofErr w:type="gramEnd"/>
      <w:r>
        <w:rPr>
          <w:rFonts w:eastAsia="Calibri"/>
        </w:rPr>
        <w:t xml:space="preserve"> a platform for feedback at any time.</w:t>
      </w:r>
    </w:p>
    <w:p w14:paraId="64B728B2" w14:textId="77777777" w:rsidR="009366FF" w:rsidRDefault="009366FF"/>
    <w:sectPr w:rsidR="009366F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Tom Kirkman" w:date="2024-03-15T15:05:00Z" w:initials="TK">
    <w:p w14:paraId="6BED4831" w14:textId="77777777" w:rsidR="00215544" w:rsidRDefault="00215544" w:rsidP="00215544">
      <w:r>
        <w:t>could group these two as parameter estimation and go through it stronger in explanation</w:t>
      </w:r>
      <w:r>
        <w:annotationRef/>
      </w:r>
    </w:p>
  </w:comment>
  <w:comment w:id="2" w:author="Mikhail Savkin" w:date="2024-03-20T19:12:00Z" w:initials="MS">
    <w:p w14:paraId="08F768DB" w14:textId="77777777" w:rsidR="00215544" w:rsidRDefault="00215544" w:rsidP="00215544">
      <w:pPr>
        <w:pStyle w:val="CommentText"/>
      </w:pPr>
      <w:r>
        <w:rPr>
          <w:rStyle w:val="CommentReference"/>
        </w:rPr>
        <w:annotationRef/>
      </w:r>
      <w:r>
        <w:t>I think combining these two tables could save space, cause I don’t think its necessary to specify quantitative versus qualitative</w:t>
      </w:r>
    </w:p>
  </w:comment>
  <w:comment w:id="3" w:author="Tom Kirkman" w:date="2024-03-20T19:48:00Z" w:initials="TK">
    <w:p w14:paraId="167E4026" w14:textId="77777777" w:rsidR="00215544" w:rsidRDefault="00215544" w:rsidP="00215544">
      <w:pPr>
        <w:pStyle w:val="CommentText"/>
      </w:pPr>
      <w:r>
        <w:rPr>
          <w:rStyle w:val="CommentReference"/>
        </w:rPr>
        <w:annotationRef/>
      </w:r>
      <w:r>
        <w:t>I agree</w:t>
      </w:r>
    </w:p>
  </w:comment>
  <w:comment w:id="4" w:author="Tom Kirkman" w:date="2024-03-18T12:10:00Z" w:initials="TK">
    <w:p w14:paraId="046FBA30" w14:textId="77777777" w:rsidR="00215544" w:rsidRDefault="00215544" w:rsidP="00215544">
      <w:pPr>
        <w:pStyle w:val="CommentText"/>
      </w:pPr>
      <w:r>
        <w:t>is this definition right</w:t>
      </w:r>
      <w:r>
        <w:rPr>
          <w:rStyle w:val="CommentReference"/>
        </w:rPr>
        <w:annotationRef/>
      </w:r>
    </w:p>
  </w:comment>
  <w:comment w:id="7" w:author="Teresa Lu" w:date="2024-03-21T19:54:00Z" w:initials="TL">
    <w:p w14:paraId="4D4688BF" w14:textId="77777777" w:rsidR="00215544" w:rsidRPr="003670B8" w:rsidRDefault="00215544" w:rsidP="00215544">
      <w:pPr>
        <w:pStyle w:val="CommentText"/>
      </w:pPr>
      <w:r w:rsidRPr="003670B8">
        <w:rPr>
          <w:rStyle w:val="CommentReference"/>
        </w:rPr>
        <w:annotationRef/>
      </w:r>
      <w:r w:rsidRPr="003670B8">
        <w:t>Maybe drop a number from ur figures above to reinforce ur findings</w:t>
      </w:r>
    </w:p>
  </w:comment>
  <w:comment w:id="8" w:author="Teresa Lu" w:date="2024-03-21T19:55:00Z" w:initials="TL">
    <w:p w14:paraId="25F8E1E7" w14:textId="77777777" w:rsidR="00215544" w:rsidRPr="003670B8" w:rsidRDefault="00215544" w:rsidP="00215544">
      <w:pPr>
        <w:pStyle w:val="CommentText"/>
      </w:pPr>
      <w:r w:rsidRPr="003670B8">
        <w:rPr>
          <w:rStyle w:val="CommentReference"/>
        </w:rPr>
        <w:annotationRef/>
      </w:r>
      <w:r w:rsidRPr="003670B8">
        <w:t>Or in the 2 paragraphs below</w:t>
      </w:r>
    </w:p>
  </w:comment>
  <w:comment w:id="9" w:author="Mikhail" w:date="2024-03-22T01:59:00Z" w:initials="M">
    <w:p w14:paraId="57FF1E94" w14:textId="77777777" w:rsidR="00215544" w:rsidRDefault="00215544" w:rsidP="00215544">
      <w:pPr>
        <w:pStyle w:val="CommentText"/>
      </w:pPr>
      <w:r>
        <w:rPr>
          <w:rStyle w:val="CommentReference"/>
        </w:rPr>
        <w:annotationRef/>
      </w:r>
      <w:r>
        <w:t>Why are some of them green</w:t>
      </w:r>
    </w:p>
  </w:comment>
  <w:comment w:id="10" w:author="Mikhail" w:date="2024-03-22T01:59:00Z" w:initials="M">
    <w:p w14:paraId="7144EE6D" w14:textId="77777777" w:rsidR="00215544" w:rsidRDefault="00215544" w:rsidP="00215544">
      <w:pPr>
        <w:pStyle w:val="CommentText"/>
      </w:pPr>
      <w:r>
        <w:rPr>
          <w:rStyle w:val="CommentReference"/>
        </w:rPr>
        <w:annotationRef/>
      </w:r>
      <w:r>
        <w:t>What that mean</w:t>
      </w:r>
    </w:p>
  </w:comment>
  <w:comment w:id="11" w:author="Yukeshan Easwaran" w:date="2024-03-22T13:33:00Z" w:initials="YE">
    <w:p w14:paraId="7C7BC38E" w14:textId="77777777" w:rsidR="00215544" w:rsidRDefault="00215544" w:rsidP="00215544">
      <w:r>
        <w:rPr>
          <w:rStyle w:val="CommentReference"/>
        </w:rPr>
        <w:annotationRef/>
      </w:r>
      <w:r>
        <w:rPr>
          <w:sz w:val="20"/>
          <w:szCs w:val="20"/>
        </w:rPr>
        <w:t>Its variable, but for T20 smoker its &gt;25%, for T20 non smoker &gt; 10%, WL &gt;5%</w:t>
      </w:r>
    </w:p>
  </w:comment>
  <w:comment w:id="12" w:author="Yukeshan Easwaran" w:date="2024-03-22T13:33:00Z" w:initials="YE">
    <w:p w14:paraId="330A1772" w14:textId="77777777" w:rsidR="00215544" w:rsidRDefault="00215544" w:rsidP="00215544">
      <w:r>
        <w:rPr>
          <w:rStyle w:val="CommentReference"/>
        </w:rPr>
        <w:annotationRef/>
      </w:r>
      <w:r>
        <w:rPr>
          <w:sz w:val="20"/>
          <w:szCs w:val="20"/>
        </w:rPr>
        <w:t>Just as indicators of large profitability</w:t>
      </w:r>
    </w:p>
  </w:comment>
  <w:comment w:id="13" w:author="Teresa Lu" w:date="2024-03-21T20:06:00Z" w:initials="TL">
    <w:p w14:paraId="253249CE" w14:textId="77777777" w:rsidR="00215544" w:rsidRPr="003670B8" w:rsidRDefault="00215544" w:rsidP="00215544">
      <w:pPr>
        <w:pStyle w:val="CommentText"/>
      </w:pPr>
      <w:r w:rsidRPr="003670B8">
        <w:rPr>
          <w:rStyle w:val="CommentReference"/>
        </w:rPr>
        <w:annotationRef/>
      </w:r>
      <w:r w:rsidRPr="003670B8">
        <w:t>Lol this is right now the best section on ethics - evaluation for ethics is required so maybe mention customer surveys or an external evaluation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ED4831" w15:done="1"/>
  <w15:commentEx w15:paraId="08F768DB" w15:done="1"/>
  <w15:commentEx w15:paraId="167E4026" w15:paraIdParent="08F768DB" w15:done="1"/>
  <w15:commentEx w15:paraId="046FBA30" w15:done="1"/>
  <w15:commentEx w15:paraId="4D4688BF" w15:done="1"/>
  <w15:commentEx w15:paraId="25F8E1E7" w15:paraIdParent="4D4688BF" w15:done="1"/>
  <w15:commentEx w15:paraId="57FF1E94" w15:done="1"/>
  <w15:commentEx w15:paraId="7144EE6D" w15:paraIdParent="57FF1E94" w15:done="1"/>
  <w15:commentEx w15:paraId="7C7BC38E" w15:paraIdParent="57FF1E94" w15:done="1"/>
  <w15:commentEx w15:paraId="330A1772" w15:paraIdParent="57FF1E94" w15:done="1"/>
  <w15:commentEx w15:paraId="253249C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6C4DDFA" w16cex:dateUtc="2024-03-15T04:05:00Z"/>
  <w16cex:commentExtensible w16cex:durableId="295A3442" w16cex:dateUtc="2024-03-20T08:12:00Z"/>
  <w16cex:commentExtensible w16cex:durableId="0F40B796" w16cex:dateUtc="2024-03-20T08:48:00Z"/>
  <w16cex:commentExtensible w16cex:durableId="10331436" w16cex:dateUtc="2024-03-18T01:10:00Z"/>
  <w16cex:commentExtensible w16cex:durableId="710E5189" w16cex:dateUtc="2024-03-21T08:54:00Z"/>
  <w16cex:commentExtensible w16cex:durableId="5925A719" w16cex:dateUtc="2024-03-21T08:55:00Z"/>
  <w16cex:commentExtensible w16cex:durableId="75AF1D4E" w16cex:dateUtc="2024-03-21T14:59:00Z"/>
  <w16cex:commentExtensible w16cex:durableId="08B29E40" w16cex:dateUtc="2024-03-21T14:59:00Z"/>
  <w16cex:commentExtensible w16cex:durableId="348E7AC0" w16cex:dateUtc="2024-03-22T02:33:00Z"/>
  <w16cex:commentExtensible w16cex:durableId="6942A98C" w16cex:dateUtc="2024-03-22T02:33:00Z"/>
  <w16cex:commentExtensible w16cex:durableId="17488C93" w16cex:dateUtc="2024-03-21T09: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ED4831" w16cid:durableId="16C4DDFA"/>
  <w16cid:commentId w16cid:paraId="08F768DB" w16cid:durableId="295A3442"/>
  <w16cid:commentId w16cid:paraId="167E4026" w16cid:durableId="0F40B796"/>
  <w16cid:commentId w16cid:paraId="046FBA30" w16cid:durableId="10331436"/>
  <w16cid:commentId w16cid:paraId="4D4688BF" w16cid:durableId="710E5189"/>
  <w16cid:commentId w16cid:paraId="25F8E1E7" w16cid:durableId="5925A719"/>
  <w16cid:commentId w16cid:paraId="57FF1E94" w16cid:durableId="75AF1D4E"/>
  <w16cid:commentId w16cid:paraId="7144EE6D" w16cid:durableId="08B29E40"/>
  <w16cid:commentId w16cid:paraId="7C7BC38E" w16cid:durableId="348E7AC0"/>
  <w16cid:commentId w16cid:paraId="330A1772" w16cid:durableId="6942A98C"/>
  <w16cid:commentId w16cid:paraId="253249CE" w16cid:durableId="17488C9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m Kirkman">
    <w15:presenceInfo w15:providerId="AD" w15:userId="S::z5361433@ad.unsw.edu.au::2dce34b4-c1f9-4b83-85c8-96fa73e7419c"/>
  </w15:person>
  <w15:person w15:author="Mikhail Savkin">
    <w15:presenceInfo w15:providerId="AD" w15:userId="S::z5371056@ad.unsw.edu.au::5e0a714d-7f7b-43ed-b8e3-872999b8ad75"/>
  </w15:person>
  <w15:person w15:author="Teresa Lu">
    <w15:presenceInfo w15:providerId="AD" w15:userId="S::z5363818@ad.unsw.edu.au::165cf3cb-5d03-44bb-b86b-3f8fa0c3fd2a"/>
  </w15:person>
  <w15:person w15:author="Mikhail">
    <w15:presenceInfo w15:providerId="AD" w15:userId="S::z5371056@ad.unsw.edu.au::5e0a714d-7f7b-43ed-b8e3-872999b8ad75"/>
  </w15:person>
  <w15:person w15:author="Yukeshan Easwaran">
    <w15:presenceInfo w15:providerId="AD" w15:userId="S::z5362368@ad.unsw.edu.au::2a3af4c9-d0b9-47ad-bc4a-83a59d769e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544"/>
    <w:rsid w:val="00215544"/>
    <w:rsid w:val="009366FF"/>
    <w:rsid w:val="00C76E3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9033A"/>
  <w15:chartTrackingRefBased/>
  <w15:docId w15:val="{495DEED0-96B4-41A8-9B69-2F77FB9C7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544"/>
    <w:pPr>
      <w:spacing w:after="0" w:line="240" w:lineRule="auto"/>
    </w:pPr>
    <w:rPr>
      <w:rFonts w:ascii="Times New Roman" w:eastAsia="Times New Roman" w:hAnsi="Times New Roman" w:cs="Times New Roman"/>
      <w:kern w:val="0"/>
      <w:sz w:val="24"/>
      <w:szCs w:val="24"/>
      <w:lang w:eastAsia="en-GB"/>
      <w14:ligatures w14:val="none"/>
    </w:rPr>
  </w:style>
  <w:style w:type="paragraph" w:styleId="Heading1">
    <w:name w:val="heading 1"/>
    <w:basedOn w:val="Normal"/>
    <w:next w:val="Normal"/>
    <w:link w:val="Heading1Char"/>
    <w:uiPriority w:val="9"/>
    <w:qFormat/>
    <w:rsid w:val="00215544"/>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215544"/>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215544"/>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215544"/>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lang w:eastAsia="en-US"/>
      <w14:ligatures w14:val="standardContextual"/>
    </w:rPr>
  </w:style>
  <w:style w:type="paragraph" w:styleId="Heading5">
    <w:name w:val="heading 5"/>
    <w:basedOn w:val="Normal"/>
    <w:next w:val="Normal"/>
    <w:link w:val="Heading5Char"/>
    <w:uiPriority w:val="9"/>
    <w:semiHidden/>
    <w:unhideWhenUsed/>
    <w:qFormat/>
    <w:rsid w:val="00215544"/>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lang w:eastAsia="en-US"/>
      <w14:ligatures w14:val="standardContextual"/>
    </w:rPr>
  </w:style>
  <w:style w:type="paragraph" w:styleId="Heading6">
    <w:name w:val="heading 6"/>
    <w:basedOn w:val="Normal"/>
    <w:next w:val="Normal"/>
    <w:link w:val="Heading6Char"/>
    <w:uiPriority w:val="9"/>
    <w:semiHidden/>
    <w:unhideWhenUsed/>
    <w:qFormat/>
    <w:rsid w:val="00215544"/>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lang w:eastAsia="en-US"/>
      <w14:ligatures w14:val="standardContextual"/>
    </w:rPr>
  </w:style>
  <w:style w:type="paragraph" w:styleId="Heading7">
    <w:name w:val="heading 7"/>
    <w:basedOn w:val="Normal"/>
    <w:next w:val="Normal"/>
    <w:link w:val="Heading7Char"/>
    <w:uiPriority w:val="9"/>
    <w:semiHidden/>
    <w:unhideWhenUsed/>
    <w:qFormat/>
    <w:rsid w:val="00215544"/>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eastAsia="en-US"/>
      <w14:ligatures w14:val="standardContextual"/>
    </w:rPr>
  </w:style>
  <w:style w:type="paragraph" w:styleId="Heading8">
    <w:name w:val="heading 8"/>
    <w:basedOn w:val="Normal"/>
    <w:next w:val="Normal"/>
    <w:link w:val="Heading8Char"/>
    <w:uiPriority w:val="9"/>
    <w:semiHidden/>
    <w:unhideWhenUsed/>
    <w:qFormat/>
    <w:rsid w:val="00215544"/>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eastAsia="en-US"/>
      <w14:ligatures w14:val="standardContextual"/>
    </w:rPr>
  </w:style>
  <w:style w:type="paragraph" w:styleId="Heading9">
    <w:name w:val="heading 9"/>
    <w:basedOn w:val="Normal"/>
    <w:next w:val="Normal"/>
    <w:link w:val="Heading9Char"/>
    <w:uiPriority w:val="9"/>
    <w:semiHidden/>
    <w:unhideWhenUsed/>
    <w:qFormat/>
    <w:rsid w:val="00215544"/>
    <w:pPr>
      <w:keepNext/>
      <w:keepLines/>
      <w:spacing w:line="259" w:lineRule="auto"/>
      <w:outlineLvl w:val="8"/>
    </w:pPr>
    <w:rPr>
      <w:rFonts w:asciiTheme="minorHAnsi" w:eastAsiaTheme="majorEastAsia" w:hAnsiTheme="minorHAnsi" w:cstheme="majorBidi"/>
      <w:color w:val="272727" w:themeColor="text1" w:themeTint="D8"/>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5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55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155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55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55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55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55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55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5544"/>
    <w:rPr>
      <w:rFonts w:eastAsiaTheme="majorEastAsia" w:cstheme="majorBidi"/>
      <w:color w:val="272727" w:themeColor="text1" w:themeTint="D8"/>
    </w:rPr>
  </w:style>
  <w:style w:type="paragraph" w:styleId="Title">
    <w:name w:val="Title"/>
    <w:basedOn w:val="Normal"/>
    <w:next w:val="Normal"/>
    <w:link w:val="TitleChar"/>
    <w:uiPriority w:val="10"/>
    <w:qFormat/>
    <w:rsid w:val="00215544"/>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2155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5544"/>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2155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5544"/>
    <w:pPr>
      <w:spacing w:before="160" w:after="160" w:line="259" w:lineRule="auto"/>
      <w:jc w:val="center"/>
    </w:pPr>
    <w:rPr>
      <w:rFonts w:asciiTheme="minorHAnsi" w:eastAsiaTheme="minorHAnsi" w:hAnsiTheme="minorHAnsi" w:cstheme="minorBidi"/>
      <w:i/>
      <w:iCs/>
      <w:color w:val="404040" w:themeColor="text1" w:themeTint="BF"/>
      <w:kern w:val="2"/>
      <w:sz w:val="22"/>
      <w:szCs w:val="22"/>
      <w:lang w:eastAsia="en-US"/>
      <w14:ligatures w14:val="standardContextual"/>
    </w:rPr>
  </w:style>
  <w:style w:type="character" w:customStyle="1" w:styleId="QuoteChar">
    <w:name w:val="Quote Char"/>
    <w:basedOn w:val="DefaultParagraphFont"/>
    <w:link w:val="Quote"/>
    <w:uiPriority w:val="29"/>
    <w:rsid w:val="00215544"/>
    <w:rPr>
      <w:i/>
      <w:iCs/>
      <w:color w:val="404040" w:themeColor="text1" w:themeTint="BF"/>
    </w:rPr>
  </w:style>
  <w:style w:type="paragraph" w:styleId="ListParagraph">
    <w:name w:val="List Paragraph"/>
    <w:basedOn w:val="Normal"/>
    <w:uiPriority w:val="34"/>
    <w:qFormat/>
    <w:rsid w:val="00215544"/>
    <w:pPr>
      <w:spacing w:after="160" w:line="259" w:lineRule="auto"/>
      <w:ind w:left="720"/>
      <w:contextualSpacing/>
    </w:pPr>
    <w:rPr>
      <w:rFonts w:asciiTheme="minorHAnsi" w:eastAsiaTheme="minorHAnsi" w:hAnsiTheme="minorHAnsi" w:cstheme="minorBidi"/>
      <w:kern w:val="2"/>
      <w:sz w:val="22"/>
      <w:szCs w:val="22"/>
      <w:lang w:eastAsia="en-US"/>
      <w14:ligatures w14:val="standardContextual"/>
    </w:rPr>
  </w:style>
  <w:style w:type="character" w:styleId="IntenseEmphasis">
    <w:name w:val="Intense Emphasis"/>
    <w:basedOn w:val="DefaultParagraphFont"/>
    <w:uiPriority w:val="21"/>
    <w:qFormat/>
    <w:rsid w:val="00215544"/>
    <w:rPr>
      <w:i/>
      <w:iCs/>
      <w:color w:val="0F4761" w:themeColor="accent1" w:themeShade="BF"/>
    </w:rPr>
  </w:style>
  <w:style w:type="paragraph" w:styleId="IntenseQuote">
    <w:name w:val="Intense Quote"/>
    <w:basedOn w:val="Normal"/>
    <w:next w:val="Normal"/>
    <w:link w:val="IntenseQuoteChar"/>
    <w:uiPriority w:val="30"/>
    <w:qFormat/>
    <w:rsid w:val="00215544"/>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lang w:eastAsia="en-US"/>
      <w14:ligatures w14:val="standardContextual"/>
    </w:rPr>
  </w:style>
  <w:style w:type="character" w:customStyle="1" w:styleId="IntenseQuoteChar">
    <w:name w:val="Intense Quote Char"/>
    <w:basedOn w:val="DefaultParagraphFont"/>
    <w:link w:val="IntenseQuote"/>
    <w:uiPriority w:val="30"/>
    <w:rsid w:val="00215544"/>
    <w:rPr>
      <w:i/>
      <w:iCs/>
      <w:color w:val="0F4761" w:themeColor="accent1" w:themeShade="BF"/>
    </w:rPr>
  </w:style>
  <w:style w:type="character" w:styleId="IntenseReference">
    <w:name w:val="Intense Reference"/>
    <w:basedOn w:val="DefaultParagraphFont"/>
    <w:uiPriority w:val="32"/>
    <w:qFormat/>
    <w:rsid w:val="00215544"/>
    <w:rPr>
      <w:b/>
      <w:bCs/>
      <w:smallCaps/>
      <w:color w:val="0F4761" w:themeColor="accent1" w:themeShade="BF"/>
      <w:spacing w:val="5"/>
    </w:rPr>
  </w:style>
  <w:style w:type="table" w:styleId="TableGrid">
    <w:name w:val="Table Grid"/>
    <w:basedOn w:val="TableNormal"/>
    <w:uiPriority w:val="59"/>
    <w:rsid w:val="00215544"/>
    <w:pPr>
      <w:spacing w:after="0" w:line="240" w:lineRule="auto"/>
    </w:pPr>
    <w:rPr>
      <w:rFonts w:eastAsiaTheme="minorEastAsia"/>
      <w:kern w:val="0"/>
      <w:sz w:val="24"/>
      <w:szCs w:val="24"/>
      <w:lang w:val="en-US" w:eastAsia="ja-JP"/>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ormaltextrun">
    <w:name w:val="normaltextrun"/>
    <w:basedOn w:val="DefaultParagraphFont"/>
    <w:rsid w:val="00215544"/>
  </w:style>
  <w:style w:type="paragraph" w:styleId="CommentText">
    <w:name w:val="annotation text"/>
    <w:basedOn w:val="Normal"/>
    <w:link w:val="CommentTextChar"/>
    <w:uiPriority w:val="99"/>
    <w:unhideWhenUsed/>
    <w:rsid w:val="00215544"/>
    <w:rPr>
      <w:sz w:val="20"/>
      <w:szCs w:val="20"/>
    </w:rPr>
  </w:style>
  <w:style w:type="character" w:customStyle="1" w:styleId="CommentTextChar">
    <w:name w:val="Comment Text Char"/>
    <w:basedOn w:val="DefaultParagraphFont"/>
    <w:link w:val="CommentText"/>
    <w:uiPriority w:val="99"/>
    <w:rsid w:val="00215544"/>
    <w:rPr>
      <w:rFonts w:ascii="Times New Roman" w:eastAsia="Times New Roman" w:hAnsi="Times New Roman" w:cs="Times New Roman"/>
      <w:kern w:val="0"/>
      <w:sz w:val="20"/>
      <w:szCs w:val="20"/>
      <w:lang w:eastAsia="en-GB"/>
      <w14:ligatures w14:val="none"/>
    </w:rPr>
  </w:style>
  <w:style w:type="character" w:styleId="CommentReference">
    <w:name w:val="annotation reference"/>
    <w:basedOn w:val="DefaultParagraphFont"/>
    <w:uiPriority w:val="99"/>
    <w:semiHidden/>
    <w:unhideWhenUsed/>
    <w:rsid w:val="0021554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microsoft.com/office/2011/relationships/people" Target="people.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7D303-AEF4-4D44-8D0F-072FD350F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902</Words>
  <Characters>5147</Characters>
  <Application>Microsoft Office Word</Application>
  <DocSecurity>0</DocSecurity>
  <Lines>42</Lines>
  <Paragraphs>12</Paragraphs>
  <ScaleCrop>false</ScaleCrop>
  <Company/>
  <LinksUpToDate>false</LinksUpToDate>
  <CharactersWithSpaces>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Kirkman</dc:creator>
  <cp:keywords/>
  <dc:description/>
  <cp:lastModifiedBy>Tom Kirkman</cp:lastModifiedBy>
  <cp:revision>1</cp:revision>
  <dcterms:created xsi:type="dcterms:W3CDTF">2024-03-29T00:33:00Z</dcterms:created>
  <dcterms:modified xsi:type="dcterms:W3CDTF">2024-03-29T00:34:00Z</dcterms:modified>
</cp:coreProperties>
</file>