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Modelling Assumption / Methodology:</w:t>
      </w:r>
    </w:p>
    <w:p w:rsidR="00000000" w:rsidDel="00000000" w:rsidP="00000000" w:rsidRDefault="00000000" w:rsidRPr="00000000" w14:paraId="00000002">
      <w:pPr>
        <w:rPr/>
      </w:pPr>
      <w:r w:rsidDel="00000000" w:rsidR="00000000" w:rsidRPr="00000000">
        <w:rPr>
          <w:rtl w:val="0"/>
        </w:rPr>
        <w:t xml:space="preserve">When modelling the frequency of claims for the business interruption hazard area, a decision had to be made between the poisson and negative binomial models. The main weakness of the Poisson model was its underlying assumption where the variance and mean of the claims count is equal, this assumption was violated in the claims data where the variance exceeds the mean. This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