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0" w:after="8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SRCSC 2026 — Cargo Claims: Data Cleaning &amp; Modelling</w:t>
      </w:r>
    </w:p>
    <w:p>
      <w:pPr>
        <w:pBdr>
          <w:bottom w:val="single" w:color="1F3864" w:sz="4" w:space="4"/>
        </w:pBdr>
        <w:spacing w:before="0" w:after="200"/>
      </w:pPr>
      <w:r>
        <w:rPr>
          <w:rFonts w:ascii="Arial" w:cs="Arial" w:eastAsia="Arial" w:hAnsi="Arial"/>
          <w:i/>
          <w:iCs/>
          <w:color w:val="888888"/>
          <w:sz w:val="20"/>
          <w:szCs w:val="20"/>
        </w:rPr>
        <w:t xml:space="preserve">ACTL4001  |  March 2026</w:t>
      </w:r>
    </w:p>
    <w:p>
      <w:pPr>
        <w:spacing w:before="240" w:after="100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1. Data Cleaning</w:t>
      </w: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The raw data (srcsc-2026-claims-cargo.xlsx) was cleaned via a Python/pandas pipeline applied to both the freq and sev sheets. Steps performed: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sz w:val="20"/>
          <w:szCs w:val="20"/>
        </w:rPr>
        <w:t xml:space="preserve">Column names normalised and aliases resolved (e.g. cointainer_type → container_type)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sz w:val="20"/>
          <w:szCs w:val="20"/>
        </w:rPr>
        <w:t xml:space="preserve">Strings stripped, whitespace collapsed, NA-like placeholders (na, n/a, ???, _???) replaced with missing values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sz w:val="20"/>
          <w:szCs w:val="20"/>
        </w:rPr>
        <w:t xml:space="preserve">Monetary columns (cargo_value, claim_amount) auto-scaled — units, thousands, or millions inferred by range fit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sz w:val="20"/>
          <w:szCs w:val="20"/>
        </w:rPr>
        <w:t xml:space="preserve">Rows dropped for: bad placeholders, any missing value, exact duplicates, non-integer claim_seq/claim_count, out-of-range values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sz w:val="20"/>
          <w:szCs w:val="20"/>
        </w:rPr>
        <w:t xml:space="preserve">Output: cleaned workbook with row_summary and cleaning_summary audit sheets</w:t>
      </w:r>
    </w:p>
    <w:p>
      <w:pPr>
        <w:spacing w:before="240" w:after="100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2. Frequency Modelling</w:t>
      </w: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Three tests confirmed cargo_type is not a significant frequency rating factor (chi-square p = 0.381, Kruskal-Wallis p = 0.348, Poisson LR p = 0.365; Cramer's V = 0.007). Frequency was therefore modelled on the pooled dataset.</w:t>
      </w: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The data exhibits overdispersion — the variance/mean ratio is 1.43, and the observed proportion of zero claims (81.8%) is materially higher than Poisson implies (78.3%). The Negative Binomial distribution was selected as the best fit, outperforming Poisson across all metrics: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sz w:val="20"/>
          <w:szCs w:val="20"/>
        </w:rPr>
        <w:t xml:space="preserve">AIC: 143,885 (NB) vs 150,034 (Poisson)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sz w:val="20"/>
          <w:szCs w:val="20"/>
        </w:rPr>
        <w:t xml:space="preserve">BIC: 143,904 (NB) vs 150,044 (Poisson)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sz w:val="20"/>
          <w:szCs w:val="20"/>
        </w:rPr>
        <w:t xml:space="preserve">Log-likelihood: -71,940 (NB) vs -75,016 (Poisson)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sz w:val="20"/>
          <w:szCs w:val="20"/>
        </w:rPr>
        <w:t xml:space="preserve">NB closely reproduces the observed zero-claim proportion (81.74% vs observed 81.77%), while Poisson undershoots at 78.29%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sz w:val="20"/>
          <w:szCs w:val="20"/>
        </w:rPr>
        <w:t xml:space="preserve">Fitted parameters: mu = 0.245, alpha = 1.863 (size r = 0.537)</w:t>
      </w:r>
    </w:p>
    <w:p>
      <w:pPr>
        <w:spacing w:before="240" w:after="100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3. Severity Modelling</w:t>
      </w: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Severity was modelled separately by cargo type. Candidates (lognormal, gamma, others) were assessed via AIC/BIC, KS tests, and QQ plots. QQ plots were treated as the primary diagnostic — histogram overlays overstate fit quality by being dominated by small claims and obscuring tail misspecification.</w:t>
      </w:r>
    </w:p>
    <w:p>
      <w:pPr>
        <w:spacing w:before="120"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600"/>
        <w:gridCol w:w="4960"/>
      </w:tblGrid>
      <w:tr>
        <w:trPr>
          <w:tblHeader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Cargo Type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Best Model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Gold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Lognormal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Good fit; minor upper-tail deviation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Platinum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Lognormal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Good to acceptable fit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Cobalt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Lognormal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Acceptable body fit; weak upper tail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Rare Earths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Lognormal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Usable; lower quantiles slightly poor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Lithium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Spliced Lognormal + GPD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Plain lognormal severely underfit the tail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Supplies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Log-Skew-Normal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Lognormal was very poor; significant improvement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Titanium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Log-Skew-Normal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Lognormal underfit both tails; significant improvement</w:t>
            </w:r>
          </w:p>
        </w:tc>
      </w:tr>
    </w:tbl>
    <w:p>
      <w:pPr>
        <w:spacing w:before="120" w:after="60"/>
      </w:pPr>
      <w:r>
        <w:t xml:space="preserve"/>
      </w: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Key insight: lognormal is a body model, not a tail model, for most cargo types. For risk-sensitive work (pricing, reserving, reinsurance), the tail misspecification of plain lognormal is material — particularly for lithium, supplies, and titanium.</w:t>
      </w:r>
    </w:p>
    <w:sectPr>
      <w:pgSz w:w="12240" w:h="15840" w:orient="portrait"/>
      <w:pgMar w:top="1080" w:right="1260" w:bottom="108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2026-03-08T09:20:56.210Z</dcterms:created>
  <dcterms:modified xsi:type="dcterms:W3CDTF">2026-03-08T09:20:56.211Z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