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2416" w14:textId="3C54334D" w:rsidR="00D00544" w:rsidRPr="00D00544" w:rsidRDefault="00D00544" w:rsidP="00D00544">
      <w:pPr>
        <w:spacing w:line="276" w:lineRule="auto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  <w:t>Step 1</w:t>
      </w:r>
      <w:r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D00544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  <w:t>Data Cleaning and Preparation</w:t>
      </w:r>
    </w:p>
    <w:p w14:paraId="22273CC1" w14:textId="77777777" w:rsidR="00D00544" w:rsidRPr="00D00544" w:rsidRDefault="00D00544" w:rsidP="00D00544">
      <w:pPr>
        <w:numPr>
          <w:ilvl w:val="0"/>
          <w:numId w:val="1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 xml:space="preserve">Historical BI frequency and severity datasets were loaded and filtered to include only observations with </w:t>
      </w:r>
      <w:proofErr w:type="spellStart"/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data_quality_flag</w:t>
      </w:r>
      <w:proofErr w:type="spellEnd"/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 xml:space="preserve"> = 0.</w:t>
      </w:r>
    </w:p>
    <w:p w14:paraId="56528D02" w14:textId="77777777" w:rsidR="00D00544" w:rsidRPr="00D00544" w:rsidRDefault="00D00544" w:rsidP="00D00544">
      <w:pPr>
        <w:numPr>
          <w:ilvl w:val="0"/>
          <w:numId w:val="1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Rows with missing exposure, claim counts or claim amounts were removed and numeric formats were enforced.</w:t>
      </w:r>
    </w:p>
    <w:p w14:paraId="37F857D9" w14:textId="77777777" w:rsidR="00D00544" w:rsidRPr="00D00544" w:rsidRDefault="00D00544" w:rsidP="00D00544">
      <w:pPr>
        <w:numPr>
          <w:ilvl w:val="0"/>
          <w:numId w:val="1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Exposure values were treated as the proportion of a policy-year at risk for each observation.</w:t>
      </w:r>
    </w:p>
    <w:p w14:paraId="4D4EFCAB" w14:textId="77777777" w:rsidR="00D00544" w:rsidRDefault="00D00544" w:rsidP="00D00544">
      <w:pPr>
        <w:numPr>
          <w:ilvl w:val="0"/>
          <w:numId w:val="1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The assumption was that flagged rows represent unreliable records and should be excluded from modelling.</w:t>
      </w:r>
    </w:p>
    <w:p w14:paraId="09F10D25" w14:textId="77777777" w:rsidR="00D00544" w:rsidRPr="00D00544" w:rsidRDefault="00D00544" w:rsidP="00D00544">
      <w:pPr>
        <w:spacing w:line="276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</w:p>
    <w:p w14:paraId="6A4007FB" w14:textId="0540E951" w:rsidR="00D00544" w:rsidRPr="00D00544" w:rsidRDefault="00D00544" w:rsidP="00D00544">
      <w:pPr>
        <w:spacing w:line="276" w:lineRule="auto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  <w:t>Step 2  Exposure and Frequency Calibration</w:t>
      </w:r>
    </w:p>
    <w:p w14:paraId="357F1C8C" w14:textId="77777777" w:rsidR="00D00544" w:rsidRPr="00D00544" w:rsidRDefault="00D00544" w:rsidP="00D00544">
      <w:pPr>
        <w:numPr>
          <w:ilvl w:val="0"/>
          <w:numId w:val="2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Claim frequency rates were calculated for each solar system as total claims divided by total exposure.</w:t>
      </w:r>
    </w:p>
    <w:p w14:paraId="68770411" w14:textId="77777777" w:rsidR="00D00544" w:rsidRPr="00D00544" w:rsidRDefault="00D00544" w:rsidP="00D00544">
      <w:pPr>
        <w:numPr>
          <w:ilvl w:val="0"/>
          <w:numId w:val="2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Exposure was aggregated across all policies to estimate the historical claim frequency per exposure unit.</w:t>
      </w:r>
    </w:p>
    <w:p w14:paraId="38E3FEE1" w14:textId="77777777" w:rsidR="00D00544" w:rsidRPr="00D00544" w:rsidRDefault="00D00544" w:rsidP="00D00544">
      <w:pPr>
        <w:numPr>
          <w:ilvl w:val="0"/>
          <w:numId w:val="2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Prospective exposure from the quarry dataset was expressed as active operating units.</w:t>
      </w:r>
    </w:p>
    <w:p w14:paraId="1DB5DD80" w14:textId="77777777" w:rsidR="00D00544" w:rsidRDefault="00D00544" w:rsidP="00D00544">
      <w:pPr>
        <w:numPr>
          <w:ilvl w:val="0"/>
          <w:numId w:val="2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The key assumption was that one active unit operating for one year approximates one historical policy-year of exposure.</w:t>
      </w:r>
    </w:p>
    <w:p w14:paraId="1BE07495" w14:textId="77777777" w:rsidR="00D00544" w:rsidRPr="00D00544" w:rsidRDefault="00D00544" w:rsidP="00D00544">
      <w:p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</w:p>
    <w:p w14:paraId="64FF3038" w14:textId="264381D3" w:rsidR="00D00544" w:rsidRPr="00D00544" w:rsidRDefault="00D00544" w:rsidP="00D00544">
      <w:pPr>
        <w:spacing w:line="276" w:lineRule="auto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  <w:t>Step 3  Forward Economic Projection</w:t>
      </w:r>
    </w:p>
    <w:p w14:paraId="2CE9C171" w14:textId="77777777" w:rsidR="00D00544" w:rsidRPr="00D00544" w:rsidRDefault="00D00544" w:rsidP="00D00544">
      <w:pPr>
        <w:numPr>
          <w:ilvl w:val="0"/>
          <w:numId w:val="3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Inflation and discount rate term structures were derived from the historical rates dataset.</w:t>
      </w:r>
    </w:p>
    <w:p w14:paraId="1EAED183" w14:textId="77777777" w:rsidR="00D00544" w:rsidRPr="00D00544" w:rsidRDefault="00D00544" w:rsidP="00D00544">
      <w:pPr>
        <w:numPr>
          <w:ilvl w:val="0"/>
          <w:numId w:val="3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Recent averages were applied for short horizons and full-series averages for longer horizons.</w:t>
      </w:r>
    </w:p>
    <w:p w14:paraId="33A850AD" w14:textId="77777777" w:rsidR="00D00544" w:rsidRPr="00D00544" w:rsidRDefault="00D00544" w:rsidP="00D00544">
      <w:pPr>
        <w:numPr>
          <w:ilvl w:val="0"/>
          <w:numId w:val="3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 xml:space="preserve">These rates were used to generate cumulative inflation and discount factors over a </w:t>
      </w:r>
      <w:proofErr w:type="gramStart"/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10 year</w:t>
      </w:r>
      <w:proofErr w:type="gramEnd"/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 xml:space="preserve"> projection horizon.</w:t>
      </w:r>
    </w:p>
    <w:p w14:paraId="5B2BDEA1" w14:textId="77777777" w:rsidR="00D00544" w:rsidRDefault="00D00544" w:rsidP="00D00544">
      <w:pPr>
        <w:numPr>
          <w:ilvl w:val="0"/>
          <w:numId w:val="3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The assumption was that near-term economic conditions resemble recent history while long-run expectations converge toward historical averages.</w:t>
      </w:r>
    </w:p>
    <w:p w14:paraId="517E4BAF" w14:textId="77777777" w:rsidR="00D00544" w:rsidRPr="00D00544" w:rsidRDefault="00D00544" w:rsidP="00D00544">
      <w:p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</w:p>
    <w:p w14:paraId="3D08A1E7" w14:textId="2F5E0D9C" w:rsidR="00D00544" w:rsidRPr="00D00544" w:rsidRDefault="00D00544" w:rsidP="00D00544">
      <w:pPr>
        <w:spacing w:line="276" w:lineRule="auto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  <w:t>Step 4 Stochastic Loss Simulation</w:t>
      </w:r>
    </w:p>
    <w:p w14:paraId="0F37E57A" w14:textId="5BE4D46F" w:rsidR="00D00544" w:rsidRPr="00D00544" w:rsidRDefault="00D00544" w:rsidP="00D00544">
      <w:pPr>
        <w:numPr>
          <w:ilvl w:val="0"/>
          <w:numId w:val="4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 xml:space="preserve">10,000 </w:t>
      </w: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Monte Carlo simulation was used to generate aggregate losses over the projection horizon.</w:t>
      </w:r>
    </w:p>
    <w:p w14:paraId="6E6B2287" w14:textId="77777777" w:rsidR="00D00544" w:rsidRPr="00D00544" w:rsidRDefault="00D00544" w:rsidP="00D00544">
      <w:pPr>
        <w:numPr>
          <w:ilvl w:val="0"/>
          <w:numId w:val="4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Claim frequency was simulated using a Negative Binomial distribution calibrated from historical claim count variance.</w:t>
      </w:r>
    </w:p>
    <w:p w14:paraId="1F189180" w14:textId="77777777" w:rsidR="00D00544" w:rsidRPr="00D00544" w:rsidRDefault="00D00544" w:rsidP="00D00544">
      <w:pPr>
        <w:numPr>
          <w:ilvl w:val="0"/>
          <w:numId w:val="4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Claim severity was simulated using a Lognormal distribution fitted to historical BI claim amounts.</w:t>
      </w:r>
    </w:p>
    <w:p w14:paraId="0C92AA1A" w14:textId="77777777" w:rsidR="00D00544" w:rsidRPr="00D00544" w:rsidRDefault="00D00544" w:rsidP="00D00544">
      <w:pPr>
        <w:numPr>
          <w:ilvl w:val="0"/>
          <w:numId w:val="4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Deductibles and occurrence limits were applied to each simulated claim before aggregation.</w:t>
      </w:r>
    </w:p>
    <w:p w14:paraId="71946FAC" w14:textId="77777777" w:rsidR="00D00544" w:rsidRDefault="00D00544" w:rsidP="00D00544">
      <w:pPr>
        <w:numPr>
          <w:ilvl w:val="0"/>
          <w:numId w:val="4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 xml:space="preserve">The assumption was that claim counts are </w:t>
      </w:r>
      <w:proofErr w:type="spellStart"/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overdispersed</w:t>
      </w:r>
      <w:proofErr w:type="spellEnd"/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 xml:space="preserve"> relative to Poisson and BI losses follow a heavy-tailed lognormal distribution.</w:t>
      </w:r>
    </w:p>
    <w:p w14:paraId="2AAD5697" w14:textId="77777777" w:rsidR="00D00544" w:rsidRPr="00D00544" w:rsidRDefault="00D00544" w:rsidP="00D00544">
      <w:pPr>
        <w:spacing w:line="276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</w:p>
    <w:p w14:paraId="668D1D95" w14:textId="463CDF21" w:rsidR="00D00544" w:rsidRPr="00D00544" w:rsidRDefault="00D00544" w:rsidP="00D00544">
      <w:pPr>
        <w:spacing w:line="276" w:lineRule="auto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  <w:t>Step 5  Product Design and Pricing</w:t>
      </w:r>
    </w:p>
    <w:p w14:paraId="4EB4BFF5" w14:textId="77777777" w:rsidR="00D00544" w:rsidRPr="00D00544" w:rsidRDefault="00D00544" w:rsidP="00D00544">
      <w:pPr>
        <w:numPr>
          <w:ilvl w:val="0"/>
          <w:numId w:val="5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Three BI product structures were tested using different deductible levels and per-occurrence limits.</w:t>
      </w:r>
    </w:p>
    <w:p w14:paraId="07350A40" w14:textId="77777777" w:rsidR="00D00544" w:rsidRPr="00D00544" w:rsidRDefault="00D00544" w:rsidP="00D00544">
      <w:pPr>
        <w:numPr>
          <w:ilvl w:val="0"/>
          <w:numId w:val="5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Limited Expected Value calculations were applied to historical severities to estimate insured loss cost.</w:t>
      </w:r>
    </w:p>
    <w:p w14:paraId="18D6F07A" w14:textId="77777777" w:rsidR="00D00544" w:rsidRPr="00D00544" w:rsidRDefault="00D00544" w:rsidP="00D00544">
      <w:pPr>
        <w:numPr>
          <w:ilvl w:val="0"/>
          <w:numId w:val="5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Pure premiums were calculated as expected loss and converted to market premiums using a target loss ratio.</w:t>
      </w:r>
    </w:p>
    <w:p w14:paraId="08D426C8" w14:textId="77777777" w:rsidR="00D00544" w:rsidRPr="00D00544" w:rsidRDefault="00D00544" w:rsidP="00D00544">
      <w:pPr>
        <w:numPr>
          <w:ilvl w:val="0"/>
          <w:numId w:val="5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Pricing assumed a 72% loss ratio, 20% expense load and 8% profit margin.</w:t>
      </w:r>
    </w:p>
    <w:p w14:paraId="4DE06B72" w14:textId="77777777" w:rsidR="00D00544" w:rsidRDefault="00D00544" w:rsidP="00D00544">
      <w:pPr>
        <w:numPr>
          <w:ilvl w:val="0"/>
          <w:numId w:val="5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Capital requirements were estimated using a VaR(99.5) risk metric derived from the simulated annual loss distribution.</w:t>
      </w:r>
    </w:p>
    <w:p w14:paraId="6D0BFD47" w14:textId="77777777" w:rsidR="00D00544" w:rsidRPr="00D00544" w:rsidRDefault="00D00544" w:rsidP="00D00544">
      <w:pPr>
        <w:spacing w:line="276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</w:p>
    <w:p w14:paraId="3586D55F" w14:textId="2848DD71" w:rsidR="00D00544" w:rsidRPr="00D00544" w:rsidRDefault="00D00544" w:rsidP="00D00544">
      <w:pPr>
        <w:spacing w:line="276" w:lineRule="auto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  <w:lastRenderedPageBreak/>
        <w:t>Step 6  Stress Testing and Tail Risk Analysis</w:t>
      </w:r>
    </w:p>
    <w:p w14:paraId="10B47901" w14:textId="77777777" w:rsidR="00D00544" w:rsidRPr="00D00544" w:rsidRDefault="00D00544" w:rsidP="00D00544">
      <w:pPr>
        <w:numPr>
          <w:ilvl w:val="0"/>
          <w:numId w:val="6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A stress testing engine simulated 23 scenarios covering frequency shocks, severity shocks, inflation shocks and exposure growth scenarios.</w:t>
      </w:r>
    </w:p>
    <w:p w14:paraId="7692C685" w14:textId="77777777" w:rsidR="00D00544" w:rsidRPr="00D00544" w:rsidRDefault="00D00544" w:rsidP="00D00544">
      <w:pPr>
        <w:numPr>
          <w:ilvl w:val="0"/>
          <w:numId w:val="6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Combined stresses and correlated events such as solar storms impacting multiple systems simultaneously were also simulated.</w:t>
      </w:r>
    </w:p>
    <w:p w14:paraId="77D6CE21" w14:textId="77777777" w:rsidR="00D00544" w:rsidRPr="00D00544" w:rsidRDefault="00D00544" w:rsidP="00D00544">
      <w:pPr>
        <w:numPr>
          <w:ilvl w:val="0"/>
          <w:numId w:val="6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Extreme scenarios approximating 1-in-10, 1-in-20, 1-in-50 and 1-in-</w:t>
      </w:r>
      <w:proofErr w:type="gramStart"/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100 year</w:t>
      </w:r>
      <w:proofErr w:type="gramEnd"/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 xml:space="preserve"> loss levels were derived from the aggregate loss distribution.</w:t>
      </w:r>
    </w:p>
    <w:p w14:paraId="06AEC4E6" w14:textId="77777777" w:rsidR="00D00544" w:rsidRPr="00D00544" w:rsidRDefault="00D00544" w:rsidP="00D00544">
      <w:pPr>
        <w:numPr>
          <w:ilvl w:val="0"/>
          <w:numId w:val="6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Portfolio losses, capital requirements and return on capital were evaluated under each scenario.</w:t>
      </w:r>
    </w:p>
    <w:p w14:paraId="79C4573C" w14:textId="77777777" w:rsidR="00D00544" w:rsidRDefault="00D00544" w:rsidP="00D00544">
      <w:pPr>
        <w:numPr>
          <w:ilvl w:val="0"/>
          <w:numId w:val="6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The assumption was that structural model parameters remain stable while key drivers such as claim frequency, severity and macroeconomic conditions are shocked to test resilience.</w:t>
      </w:r>
    </w:p>
    <w:p w14:paraId="2EA41607" w14:textId="77777777" w:rsidR="00D00544" w:rsidRPr="00D00544" w:rsidRDefault="00D00544" w:rsidP="00D00544">
      <w:pPr>
        <w:spacing w:line="276" w:lineRule="auto"/>
        <w:ind w:left="720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</w:p>
    <w:p w14:paraId="7C539506" w14:textId="0E63F379" w:rsidR="00D00544" w:rsidRPr="00D00544" w:rsidRDefault="00D00544" w:rsidP="00D00544">
      <w:pPr>
        <w:spacing w:line="276" w:lineRule="auto"/>
        <w:outlineLvl w:val="2"/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GB"/>
          <w14:ligatures w14:val="none"/>
        </w:rPr>
        <w:t>Step 7  Strategic Recommendation and Risk Interpretation</w:t>
      </w:r>
    </w:p>
    <w:p w14:paraId="2D890D87" w14:textId="77777777" w:rsidR="00D00544" w:rsidRPr="00D00544" w:rsidRDefault="00D00544" w:rsidP="00D00544">
      <w:pPr>
        <w:numPr>
          <w:ilvl w:val="0"/>
          <w:numId w:val="7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Simulation outputs were aggregated to produce expected losses, variance metrics and tail risk estimates.</w:t>
      </w:r>
    </w:p>
    <w:p w14:paraId="7DD8C1BD" w14:textId="77777777" w:rsidR="00D00544" w:rsidRPr="00D00544" w:rsidRDefault="00D00544" w:rsidP="00D00544">
      <w:pPr>
        <w:numPr>
          <w:ilvl w:val="0"/>
          <w:numId w:val="7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Product designs were evaluated based on expected profitability, capital efficiency and resilience under stress scenarios.</w:t>
      </w:r>
    </w:p>
    <w:p w14:paraId="7F8D7DB8" w14:textId="77777777" w:rsidR="00D00544" w:rsidRPr="00D00544" w:rsidRDefault="00D00544" w:rsidP="00D00544">
      <w:pPr>
        <w:numPr>
          <w:ilvl w:val="0"/>
          <w:numId w:val="7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Cross-system risk differences were analysed to identify which solar systems exhibit greater tail risk exposure.</w:t>
      </w:r>
    </w:p>
    <w:p w14:paraId="721D0B07" w14:textId="77777777" w:rsidR="00D00544" w:rsidRPr="00D00544" w:rsidRDefault="00D00544" w:rsidP="00D00544">
      <w:pPr>
        <w:numPr>
          <w:ilvl w:val="0"/>
          <w:numId w:val="7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 xml:space="preserve">Recommended product structures and deployment priorities were derived from </w:t>
      </w:r>
      <w:proofErr w:type="gramStart"/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these risk</w:t>
      </w:r>
      <w:proofErr w:type="gramEnd"/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 xml:space="preserve"> and return comparisons.</w:t>
      </w:r>
    </w:p>
    <w:p w14:paraId="5F3D103D" w14:textId="77777777" w:rsidR="00D00544" w:rsidRPr="00D00544" w:rsidRDefault="00D00544" w:rsidP="00D00544">
      <w:pPr>
        <w:numPr>
          <w:ilvl w:val="0"/>
          <w:numId w:val="7"/>
        </w:numPr>
        <w:spacing w:line="276" w:lineRule="auto"/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</w:pPr>
      <w:r w:rsidRPr="00D00544">
        <w:rPr>
          <w:rFonts w:ascii="Segoe UI" w:eastAsia="Times New Roman" w:hAnsi="Segoe UI" w:cs="Segoe UI"/>
          <w:kern w:val="0"/>
          <w:sz w:val="22"/>
          <w:szCs w:val="22"/>
          <w:lang w:eastAsia="en-GB"/>
          <w14:ligatures w14:val="none"/>
        </w:rPr>
        <w:t>The assumption was that Monte Carlo simulation outputs adequately represent the distribution of BI losses and support management decision making.</w:t>
      </w:r>
    </w:p>
    <w:p w14:paraId="3621778C" w14:textId="77777777" w:rsidR="0023123C" w:rsidRPr="00D00544" w:rsidRDefault="0023123C" w:rsidP="00D00544">
      <w:pPr>
        <w:spacing w:line="276" w:lineRule="auto"/>
        <w:rPr>
          <w:rFonts w:ascii="Segoe UI" w:hAnsi="Segoe UI" w:cs="Segoe UI"/>
          <w:sz w:val="22"/>
          <w:szCs w:val="22"/>
        </w:rPr>
      </w:pPr>
    </w:p>
    <w:sectPr w:rsidR="0023123C" w:rsidRPr="00D00544" w:rsidSect="00D005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4693A"/>
    <w:multiLevelType w:val="multilevel"/>
    <w:tmpl w:val="644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40807"/>
    <w:multiLevelType w:val="multilevel"/>
    <w:tmpl w:val="407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44B6B"/>
    <w:multiLevelType w:val="multilevel"/>
    <w:tmpl w:val="F53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11792"/>
    <w:multiLevelType w:val="multilevel"/>
    <w:tmpl w:val="E81E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223C"/>
    <w:multiLevelType w:val="multilevel"/>
    <w:tmpl w:val="2768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45C6F"/>
    <w:multiLevelType w:val="multilevel"/>
    <w:tmpl w:val="D306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11C8C"/>
    <w:multiLevelType w:val="multilevel"/>
    <w:tmpl w:val="DA1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248438">
    <w:abstractNumId w:val="2"/>
  </w:num>
  <w:num w:numId="2" w16cid:durableId="210117608">
    <w:abstractNumId w:val="3"/>
  </w:num>
  <w:num w:numId="3" w16cid:durableId="759375433">
    <w:abstractNumId w:val="1"/>
  </w:num>
  <w:num w:numId="4" w16cid:durableId="939020594">
    <w:abstractNumId w:val="6"/>
  </w:num>
  <w:num w:numId="5" w16cid:durableId="381292035">
    <w:abstractNumId w:val="5"/>
  </w:num>
  <w:num w:numId="6" w16cid:durableId="720180245">
    <w:abstractNumId w:val="4"/>
  </w:num>
  <w:num w:numId="7" w16cid:durableId="153330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44"/>
    <w:rsid w:val="00137A8F"/>
    <w:rsid w:val="0023123C"/>
    <w:rsid w:val="00515B5F"/>
    <w:rsid w:val="005E19E5"/>
    <w:rsid w:val="00626C78"/>
    <w:rsid w:val="00D0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33181"/>
  <w15:chartTrackingRefBased/>
  <w15:docId w15:val="{BD25010D-5CA5-D144-AFD6-84B4BFB0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5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5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5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5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5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5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54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05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05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05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Steny</dc:creator>
  <cp:keywords/>
  <dc:description/>
  <cp:lastModifiedBy>Alan Steny</cp:lastModifiedBy>
  <cp:revision>1</cp:revision>
  <dcterms:created xsi:type="dcterms:W3CDTF">2026-03-07T12:56:00Z</dcterms:created>
  <dcterms:modified xsi:type="dcterms:W3CDTF">2026-03-07T13:01:00Z</dcterms:modified>
</cp:coreProperties>
</file>