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182D" w14:textId="77777777" w:rsidR="00CB369F" w:rsidRDefault="00CB369F">
      <w:pPr>
        <w:spacing w:before="80" w:after="80"/>
        <w:jc w:val="both"/>
      </w:pPr>
    </w:p>
    <w:p w14:paraId="19F1182E" w14:textId="77777777" w:rsidR="00CB369F" w:rsidRDefault="00000000">
      <w:pPr>
        <w:spacing w:before="400" w:after="100"/>
        <w:jc w:val="center"/>
      </w:pPr>
      <w:r>
        <w:rPr>
          <w:rFonts w:ascii="Calibri" w:eastAsia="Calibri" w:hAnsi="Calibri" w:cs="Calibri"/>
          <w:b/>
          <w:bCs/>
          <w:color w:val="1E3A5F"/>
          <w:sz w:val="34"/>
          <w:szCs w:val="34"/>
        </w:rPr>
        <w:t>DURACIÓN DE CARTERAS DE SEGUROS</w:t>
      </w:r>
    </w:p>
    <w:p w14:paraId="19F1182F" w14:textId="77777777" w:rsidR="00CB369F" w:rsidRDefault="00000000">
      <w:pPr>
        <w:spacing w:before="80" w:after="60"/>
        <w:jc w:val="center"/>
      </w:pPr>
      <w:r>
        <w:rPr>
          <w:rFonts w:ascii="Calibri" w:eastAsia="Calibri" w:hAnsi="Calibri" w:cs="Calibri"/>
          <w:color w:val="2E6DA4"/>
        </w:rPr>
        <w:t>Metodologías por Ramo y Referencia Bibliográfica</w:t>
      </w:r>
    </w:p>
    <w:p w14:paraId="19F11830" w14:textId="77777777" w:rsidR="00CB369F" w:rsidRDefault="00000000">
      <w:pPr>
        <w:spacing w:before="80" w:after="400"/>
        <w:jc w:val="center"/>
      </w:pP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Macaulay · Modificada · Efectiva | </w:t>
      </w:r>
      <w:proofErr w:type="spell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Asset-Liability</w:t>
      </w:r>
      <w:proofErr w:type="spell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 Management Actuarial</w:t>
      </w:r>
    </w:p>
    <w:p w14:paraId="19F11831" w14:textId="740CEE58" w:rsidR="00CB369F" w:rsidRDefault="00000000">
      <w:pPr>
        <w:spacing w:before="80" w:after="200"/>
        <w:jc w:val="center"/>
      </w:pPr>
      <w:r>
        <w:rPr>
          <w:rFonts w:ascii="Calibri" w:eastAsia="Calibri" w:hAnsi="Calibri" w:cs="Calibri"/>
          <w:color w:val="777777"/>
          <w:sz w:val="14"/>
          <w:szCs w:val="14"/>
        </w:rPr>
        <w:t xml:space="preserve">Diplomado ML en Seguros · </w:t>
      </w:r>
    </w:p>
    <w:p w14:paraId="19F11832" w14:textId="77777777" w:rsidR="00CB369F" w:rsidRDefault="00CB369F">
      <w:pPr>
        <w:pBdr>
          <w:bottom w:val="single" w:sz="6" w:space="0" w:color="2E6DA4"/>
        </w:pBdr>
        <w:spacing w:before="160" w:after="160"/>
      </w:pPr>
    </w:p>
    <w:p w14:paraId="19F11833" w14:textId="77777777" w:rsidR="00CB369F" w:rsidRDefault="00000000">
      <w:pPr>
        <w:pStyle w:val="Ttulo1"/>
        <w:spacing w:before="440" w:after="160"/>
      </w:pPr>
      <w:r>
        <w:t>1. Marco Conceptual: ¿Qué es la Duración en Seguros?</w:t>
      </w:r>
    </w:p>
    <w:p w14:paraId="19F11834" w14:textId="77777777" w:rsidR="00CB369F" w:rsidRDefault="00000000">
      <w:pPr>
        <w:spacing w:before="80" w:after="80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La duración es la medida central del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Asset-Liability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Management (ALM) en seguros. Cuantifica el tiempo promedio ponderado en que una cartera de pasivos (reservas de siniestros, obligaciones futuras) será pagada, y mide la sensibilidad del valor presente de esos pasivos ante cambios en las tasas de interés.</w:t>
      </w:r>
    </w:p>
    <w:p w14:paraId="19F11835" w14:textId="77777777" w:rsidR="00CB369F" w:rsidRDefault="00CB369F">
      <w:pPr>
        <w:spacing w:before="80" w:after="80"/>
        <w:jc w:val="both"/>
      </w:pPr>
    </w:p>
    <w:p w14:paraId="19F11836" w14:textId="77777777" w:rsidR="00CB369F" w:rsidRDefault="00000000">
      <w:pPr>
        <w:spacing w:before="80" w:after="80"/>
        <w:jc w:val="both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En la práctica actuarial existen tres definiciones operativas, cada una con supuestos distintos y aplicaciones específicas. No son intercambiables:</w:t>
      </w:r>
    </w:p>
    <w:p w14:paraId="19F11837" w14:textId="77777777" w:rsidR="00CB369F" w:rsidRDefault="00CB369F">
      <w:pPr>
        <w:spacing w:before="80" w:after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369F" w14:paraId="19F118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0" w:space="0" w:color="2E6DA4"/>
              <w:left w:val="thick" w:sz="10" w:space="0" w:color="2E6DA4"/>
              <w:bottom w:val="single" w:sz="4" w:space="0" w:color="2E6DA4"/>
              <w:right w:val="single" w:sz="4" w:space="0" w:color="2E6DA4"/>
            </w:tcBorders>
            <w:shd w:val="clear" w:color="D6E4F0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11838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>FÓRMULA GENERAL — DURACIÓN DE MACAULAY</w:t>
            </w:r>
          </w:p>
          <w:p w14:paraId="19F11839" w14:textId="77777777" w:rsidR="00CB369F" w:rsidRDefault="00000000">
            <w:pPr>
              <w:spacing w:before="80" w:after="80"/>
              <w:jc w:val="both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E6DA4"/>
                <w:sz w:val="22"/>
                <w:szCs w:val="22"/>
              </w:rPr>
              <w:t>D_Macaulay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A4"/>
                <w:sz w:val="22"/>
                <w:szCs w:val="22"/>
              </w:rPr>
              <w:t xml:space="preserve"> = Σ [ t × PV(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A4"/>
                <w:sz w:val="22"/>
                <w:szCs w:val="22"/>
              </w:rPr>
              <w:t>CF_t</w:t>
            </w:r>
            <w:proofErr w:type="spellEnd"/>
            <w:proofErr w:type="gramStart"/>
            <w:r>
              <w:rPr>
                <w:rFonts w:ascii="Calibri" w:eastAsia="Calibri" w:hAnsi="Calibri" w:cs="Calibri"/>
                <w:b/>
                <w:bCs/>
                <w:color w:val="2E6DA4"/>
                <w:sz w:val="22"/>
                <w:szCs w:val="22"/>
              </w:rPr>
              <w:t>) ]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E6DA4"/>
                <w:sz w:val="22"/>
                <w:szCs w:val="22"/>
              </w:rPr>
              <w:t xml:space="preserve"> / Σ [ PV(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A4"/>
                <w:sz w:val="22"/>
                <w:szCs w:val="22"/>
              </w:rPr>
              <w:t>CF_t</w:t>
            </w:r>
            <w:proofErr w:type="spellEnd"/>
            <w:proofErr w:type="gramStart"/>
            <w:r>
              <w:rPr>
                <w:rFonts w:ascii="Calibri" w:eastAsia="Calibri" w:hAnsi="Calibri" w:cs="Calibri"/>
                <w:b/>
                <w:bCs/>
                <w:color w:val="2E6DA4"/>
                <w:sz w:val="22"/>
                <w:szCs w:val="22"/>
              </w:rPr>
              <w:t>) ]</w:t>
            </w:r>
            <w:proofErr w:type="gramEnd"/>
          </w:p>
          <w:p w14:paraId="19F1183A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 xml:space="preserve">donde: t = tiempo de pago (años),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CF_t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 xml:space="preserve"> = flujo de caja en el período t, PV(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CF_t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CF_t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 xml:space="preserve"> / (1+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r)^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t</w:t>
            </w:r>
          </w:p>
          <w:p w14:paraId="19F1183B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>Es el promedio ponderado del tiempo de pago, con pesos = valor presente de cada flujo dividido entre el PV total. Macaulay (1938) la definió para bonos; su extensión a pasivos de seguros es directa.</w:t>
            </w:r>
          </w:p>
        </w:tc>
      </w:tr>
    </w:tbl>
    <w:p w14:paraId="19F1183D" w14:textId="77777777" w:rsidR="00CB369F" w:rsidRDefault="00CB369F">
      <w:pPr>
        <w:spacing w:before="80" w:after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369F" w14:paraId="19F118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0" w:space="0" w:color="2E6DA4"/>
              <w:left w:val="thick" w:sz="10" w:space="0" w:color="2E6DA4"/>
              <w:bottom w:val="single" w:sz="4" w:space="0" w:color="2E6DA4"/>
              <w:right w:val="single" w:sz="4" w:space="0" w:color="2E6DA4"/>
            </w:tcBorders>
            <w:shd w:val="clear" w:color="D6E4F0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1183E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2E6DA4"/>
                <w:sz w:val="22"/>
                <w:szCs w:val="22"/>
              </w:rPr>
              <w:t>DURACIÓN MODIFICADA</w:t>
            </w:r>
          </w:p>
          <w:p w14:paraId="19F1183F" w14:textId="77777777" w:rsidR="00CB369F" w:rsidRDefault="00000000">
            <w:pPr>
              <w:spacing w:before="80" w:after="80"/>
              <w:jc w:val="both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E6DA4"/>
                <w:sz w:val="22"/>
                <w:szCs w:val="22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A4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A4"/>
                <w:sz w:val="22"/>
                <w:szCs w:val="22"/>
              </w:rPr>
              <w:t>D_Macaulay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A4"/>
                <w:sz w:val="22"/>
                <w:szCs w:val="22"/>
              </w:rPr>
              <w:t xml:space="preserve"> / (1 + r)</w:t>
            </w:r>
          </w:p>
          <w:p w14:paraId="19F11840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%ΔPV ≈ −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×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Δr</w:t>
            </w:r>
            <w:proofErr w:type="spellEnd"/>
            <w:proofErr w:type="gram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aproximación de primer orden)</w:t>
            </w:r>
          </w:p>
          <w:p w14:paraId="19F11841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Mide la sensibilidad porcentual del PV ante un cambio de 1% en la tasa de descuento. Es el estándar cuando los flujos no cambian con las tasas (reservas nominales). Aplica directamente a la fórmula del Margen de Riesgo de la CUSF: MR = Base de Capital × 10% ×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</w:t>
            </w:r>
          </w:p>
        </w:tc>
      </w:tr>
    </w:tbl>
    <w:p w14:paraId="19F11843" w14:textId="77777777" w:rsidR="00CB369F" w:rsidRDefault="00CB369F">
      <w:pPr>
        <w:spacing w:before="80" w:after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369F" w14:paraId="19F118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0" w:space="0" w:color="1A5C38"/>
              <w:left w:val="thick" w:sz="10" w:space="0" w:color="1A5C38"/>
              <w:bottom w:val="single" w:sz="4" w:space="0" w:color="1A5C38"/>
              <w:right w:val="single" w:sz="4" w:space="0" w:color="1A5C38"/>
            </w:tcBorders>
            <w:shd w:val="clear" w:color="D4EFDF" w:fill="D4EFD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11844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A5C38"/>
                <w:sz w:val="22"/>
                <w:szCs w:val="22"/>
              </w:rPr>
              <w:t>DURACIÓN EFECTIVA — para flujos sensibles a inflación</w:t>
            </w:r>
          </w:p>
          <w:p w14:paraId="19F11845" w14:textId="77777777" w:rsidR="00CB369F" w:rsidRDefault="00000000">
            <w:pPr>
              <w:spacing w:before="80" w:after="80"/>
              <w:jc w:val="both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5C38"/>
                <w:sz w:val="22"/>
                <w:szCs w:val="22"/>
              </w:rPr>
              <w:t>D_Ef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5C38"/>
                <w:sz w:val="22"/>
                <w:szCs w:val="22"/>
              </w:rPr>
              <w:t xml:space="preserve"> = (PV₋ − PV₊) / (2 × PV₀ ×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5C38"/>
                <w:sz w:val="22"/>
                <w:szCs w:val="22"/>
              </w:rPr>
              <w:t>Δr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5C38"/>
                <w:sz w:val="22"/>
                <w:szCs w:val="22"/>
              </w:rPr>
              <w:t>)</w:t>
            </w:r>
          </w:p>
          <w:p w14:paraId="19F11846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donde PV₊ y PV₋ son los valores presentes con tasa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r+Δr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y r−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Δr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respectivamente.</w:t>
            </w:r>
          </w:p>
          <w:p w14:paraId="19F11847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Medida correcta cuando los flujos futuros de siniestros son sensibles a la inflación (que a su vez está correlacionada con las tasas de interés). D'Arcy &amp; Gorvett (2000) demuestran que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D_Ef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≈ 75% de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para auto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liability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con correlación tasas-inflación ρ=40%.</w:t>
            </w:r>
          </w:p>
          <w:p w14:paraId="19F11848" w14:textId="77777777" w:rsidR="00CB369F" w:rsidRDefault="00000000">
            <w:pPr>
              <w:spacing w:before="80" w:after="80"/>
              <w:jc w:val="both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D_Ef_analítica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 xml:space="preserve"> × (1 − ρ ×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 xml:space="preserve">λ)   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donde λ es la elasticidad del costo de siniestros a la inflación.</w:t>
            </w:r>
          </w:p>
        </w:tc>
      </w:tr>
    </w:tbl>
    <w:p w14:paraId="19F1184A" w14:textId="77777777" w:rsidR="00CB369F" w:rsidRDefault="00CB369F">
      <w:pPr>
        <w:spacing w:before="80" w:after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369F" w14:paraId="19F118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0" w:space="0" w:color="7D3C00"/>
              <w:left w:val="thick" w:sz="10" w:space="0" w:color="7D3C00"/>
              <w:bottom w:val="single" w:sz="4" w:space="0" w:color="7D3C00"/>
              <w:right w:val="single" w:sz="4" w:space="0" w:color="7D3C00"/>
            </w:tcBorders>
            <w:shd w:val="clear" w:color="FCE4D6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1184B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lastRenderedPageBreak/>
              <w:t>CONVEXIDAD — corrección de segundo orden</w:t>
            </w:r>
          </w:p>
          <w:p w14:paraId="19F1184C" w14:textId="77777777" w:rsidR="00CB369F" w:rsidRDefault="00000000">
            <w:pPr>
              <w:spacing w:before="80" w:after="80"/>
              <w:jc w:val="both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>Conv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 xml:space="preserve"> = Σ [ t(t+1) × PV(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>CF_t</w:t>
            </w:r>
            <w:proofErr w:type="spellEnd"/>
            <w:proofErr w:type="gramStart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>) ]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 xml:space="preserve"> / [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>PV_Total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 xml:space="preserve"> × (1+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>r)²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 xml:space="preserve"> ]</w:t>
            </w:r>
          </w:p>
          <w:p w14:paraId="19F1184D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%ΔPV ≈ −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×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Δr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+ ½ ×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Conv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×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Δ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)²</w:t>
            </w:r>
            <w:proofErr w:type="gramEnd"/>
          </w:p>
          <w:p w14:paraId="19F1184E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>Para cambios grandes en tasas (&gt;100 bps), la duración sola subestima el cambio real en el PV. La convexidad corrige esa subestimación. Todas las carteras de seguros tienen convexidad positiva: el PV baja menos de lo esperado cuando las tasas suben, y sube más de lo esperado cuando bajan.</w:t>
            </w:r>
          </w:p>
        </w:tc>
      </w:tr>
    </w:tbl>
    <w:p w14:paraId="19F11850" w14:textId="77777777" w:rsidR="00CB369F" w:rsidRDefault="00000000">
      <w:r>
        <w:br w:type="page"/>
      </w:r>
    </w:p>
    <w:p w14:paraId="19F11851" w14:textId="77777777" w:rsidR="00CB369F" w:rsidRDefault="00000000">
      <w:pPr>
        <w:pStyle w:val="Ttulo1"/>
        <w:spacing w:before="440" w:after="160"/>
      </w:pPr>
      <w:r>
        <w:lastRenderedPageBreak/>
        <w:t>2. Duración por Ramo: Tabla de Referencia</w:t>
      </w:r>
    </w:p>
    <w:p w14:paraId="19F11852" w14:textId="77777777" w:rsidR="00CB369F" w:rsidRDefault="00000000">
      <w:pPr>
        <w:spacing w:before="80" w:after="80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La siguiente tabla consolida las metodologías y valores de duración reportados en la literatura actuarial para los principales ramos de seguros. Los valores representan rangos típicos — la duración real depende del portafolio específico, la jurisdicción y las condiciones de mercado.</w:t>
      </w:r>
    </w:p>
    <w:p w14:paraId="19F11853" w14:textId="77777777" w:rsidR="00CB369F" w:rsidRDefault="00CB369F">
      <w:pPr>
        <w:spacing w:before="80" w:after="80"/>
        <w:jc w:val="both"/>
      </w:pPr>
    </w:p>
    <w:tbl>
      <w:tblPr>
        <w:tblW w:w="9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340"/>
        <w:gridCol w:w="1530"/>
        <w:gridCol w:w="1800"/>
        <w:gridCol w:w="2340"/>
      </w:tblGrid>
      <w:tr w:rsidR="00CB369F" w14:paraId="19F118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bottom w:val="single" w:sz="4" w:space="0" w:color="CCCCCC"/>
              <w:right w:val="single" w:sz="4" w:space="0" w:color="CCCCCC"/>
            </w:tcBorders>
            <w:shd w:val="clear" w:color="1E3A5F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54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Ramo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1E3A5F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55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Metodología de duración</w:t>
            </w:r>
          </w:p>
        </w:tc>
        <w:tc>
          <w:tcPr>
            <w:tcW w:w="1530" w:type="dxa"/>
            <w:tcBorders>
              <w:bottom w:val="single" w:sz="4" w:space="0" w:color="CCCCCC"/>
              <w:right w:val="single" w:sz="4" w:space="0" w:color="CCCCCC"/>
            </w:tcBorders>
            <w:shd w:val="clear" w:color="1E3A5F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56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Duración típica (años)</w:t>
            </w:r>
          </w:p>
        </w:tc>
        <w:tc>
          <w:tcPr>
            <w:tcW w:w="1800" w:type="dxa"/>
            <w:tcBorders>
              <w:bottom w:val="single" w:sz="4" w:space="0" w:color="CCCCCC"/>
              <w:right w:val="single" w:sz="4" w:space="0" w:color="CCCCCC"/>
            </w:tcBorders>
            <w:shd w:val="clear" w:color="1E3A5F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57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Fuente principal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1E3A5F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58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 clave</w:t>
            </w:r>
          </w:p>
        </w:tc>
      </w:tr>
      <w:tr w:rsidR="00CB369F" w14:paraId="19F1185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5A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Auto particular — RC (PPA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Liability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5B" w14:textId="77777777" w:rsidR="00CB369F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D_Macaulay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D_Modificada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sobre patrón histórico.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D_Efectiva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ajustada por correlación tasa-inflación (ρ≈40%)</w:t>
            </w:r>
          </w:p>
        </w:tc>
        <w:tc>
          <w:tcPr>
            <w:tcW w:w="153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5C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Mac: 1.5 | Mod: 1.4 |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: 1.1</w:t>
            </w:r>
          </w:p>
        </w:tc>
        <w:tc>
          <w:tcPr>
            <w:tcW w:w="18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5D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D'Arcy &amp; Gorvett (2000), PCAS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5E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Cola corta: 38.6% pagado en año 1.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D_Ef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≈ 75% ×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(ρ=40%). Paper: Mac=1.516, Mod=1.444,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=1.089</w:t>
            </w:r>
          </w:p>
        </w:tc>
      </w:tr>
      <w:tr w:rsidR="00CB369F" w14:paraId="19F1186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60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Auto — daños a propiedad (PD)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61" w14:textId="77777777" w:rsidR="00CB369F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D_Macaulay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sobre patrón de liquidación de corto plazo. Flujos mayormente fijos al momento del siniestro.</w:t>
            </w:r>
          </w:p>
        </w:tc>
        <w:tc>
          <w:tcPr>
            <w:tcW w:w="153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62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1.0 – 1.5</w:t>
            </w:r>
          </w:p>
        </w:tc>
        <w:tc>
          <w:tcPr>
            <w:tcW w:w="18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63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Hodes &amp;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Feldblum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(1996), CAS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Proc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 83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64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Daños físicos de monto determinado.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D_Ef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≈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(flujos insensibles a inflación futura).</w:t>
            </w:r>
          </w:p>
        </w:tc>
      </w:tr>
      <w:tr w:rsidR="00CB369F" w14:paraId="19F1186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66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Compensación de trabajadores (WC)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67" w14:textId="77777777" w:rsidR="00CB369F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D_Macaulay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sobre patrón extendido a 30 años.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D_Efectiva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con parámetros k=0.15, m=0.10 (fracción fija/variable del costo)</w:t>
            </w:r>
          </w:p>
        </w:tc>
        <w:tc>
          <w:tcPr>
            <w:tcW w:w="153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68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Mac: 4.5 | Mod: 4.3 |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: 3.2</w:t>
            </w:r>
          </w:p>
        </w:tc>
        <w:tc>
          <w:tcPr>
            <w:tcW w:w="18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69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D'Arcy &amp; Gorvett (2000), Tabla 2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6A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Cola muy larga: 22.5% pagado año 1; pagos de incapacidad permanente pueden extenderse 20+ años. Altamente sensible a inflación médica y salarial.</w:t>
            </w:r>
          </w:p>
        </w:tc>
      </w:tr>
      <w:tr w:rsidR="00CB369F" w14:paraId="19F1187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6C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RC general —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occurrence</w:t>
            </w:r>
            <w:proofErr w:type="spellEnd"/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6D" w14:textId="77777777" w:rsidR="00CB369F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D_Macaulay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sobre patrón histórico. Para litigios largos se segrega la fracción de costo "fija" vs "variable a la inflación".</w:t>
            </w:r>
          </w:p>
        </w:tc>
        <w:tc>
          <w:tcPr>
            <w:tcW w:w="153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6E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3.5 – 5.0</w:t>
            </w:r>
          </w:p>
        </w:tc>
        <w:tc>
          <w:tcPr>
            <w:tcW w:w="18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6F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Hodes &amp;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Feldblum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(1996); Campbell (1995)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70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Juicios pueden extenderse 3-6 años. Cola larga depende del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mix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claim-made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occurrence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 Asbestos/ambiental pueden superar 15 años.</w:t>
            </w:r>
          </w:p>
        </w:tc>
      </w:tr>
      <w:tr w:rsidR="00CB369F" w14:paraId="19F11877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72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Mala praxis médica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73" w14:textId="77777777" w:rsidR="00CB369F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D_Efectiva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obligatoria: el monto se determina al veredicto (totalmente sensible a inflación). Se segrega proporción fija k vs variable m.</w:t>
            </w:r>
          </w:p>
        </w:tc>
        <w:tc>
          <w:tcPr>
            <w:tcW w:w="153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74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5.0 – 8.0</w:t>
            </w:r>
          </w:p>
        </w:tc>
        <w:tc>
          <w:tcPr>
            <w:tcW w:w="18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75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D'Arcy &amp; Gorvett (2000); Hodes &amp;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Feldblum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(1996)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76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El caso más complejo: siniestro ocurre, se reporta años después y el monto se fija al juicio.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D_Ef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</w:tc>
      </w:tr>
      <w:tr w:rsidR="00CB369F" w14:paraId="19F1187D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78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Responsabilidad de productos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79" w14:textId="77777777" w:rsidR="00CB369F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D_Macaulay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sobre distribución gamma/log-normal ajustada a datos Schedule P</w:t>
            </w:r>
          </w:p>
        </w:tc>
        <w:tc>
          <w:tcPr>
            <w:tcW w:w="153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7A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4.0 – 7.0</w:t>
            </w:r>
          </w:p>
        </w:tc>
        <w:tc>
          <w:tcPr>
            <w:tcW w:w="18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7B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D'Arcy (1984),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Proc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 CAS 71; Noris (1985)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7C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Asbestos, tabaco, farmacéuticos: el daño puede ocurrir décadas después de la fabricación. Tail muy incierto.</w:t>
            </w:r>
          </w:p>
        </w:tc>
      </w:tr>
      <w:tr w:rsidR="00CB369F" w14:paraId="19F11883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7E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Propiedad — incendio y aliados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7F" w14:textId="77777777" w:rsidR="00CB369F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D_Macaulay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directa. Flujos esencialmente fijos (daño físico tasado al momento del evento).</w:t>
            </w:r>
          </w:p>
        </w:tc>
        <w:tc>
          <w:tcPr>
            <w:tcW w:w="153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80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0.5 – 1.5</w:t>
            </w:r>
          </w:p>
        </w:tc>
        <w:tc>
          <w:tcPr>
            <w:tcW w:w="18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81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Campbell (1995);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Feldblum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(1989)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82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Cola muy corta.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D_Ef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≈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(daños predeterminados). Duración mínima de todos los ramos P&amp;C.</w:t>
            </w:r>
          </w:p>
        </w:tc>
      </w:tr>
      <w:tr w:rsidR="00CB369F" w14:paraId="19F11889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84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Salud / A&amp;E (corto plazo)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85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IFRS 17 pár. 59(b): si flujos dentro del año, descuento opcional.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D_Macaulay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sobre reservas de siniestros abiertos.</w:t>
            </w:r>
          </w:p>
        </w:tc>
        <w:tc>
          <w:tcPr>
            <w:tcW w:w="153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86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0.3 – 1.0</w:t>
            </w:r>
          </w:p>
        </w:tc>
        <w:tc>
          <w:tcPr>
            <w:tcW w:w="18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87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CIA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Educational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Note: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Duration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(2023); IFRS 17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88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 vigencia ≤ 1 año: duración ≈ 0 a efectos regulatorios.</w:t>
            </w:r>
          </w:p>
        </w:tc>
      </w:tr>
      <w:tr w:rsidR="00CB369F" w14:paraId="19F1188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8A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lastRenderedPageBreak/>
              <w:t>Incapacidad de largo plazo (LTD)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8B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Valor presente actuarial de pagos periódicos condicionados a probabilidad de persistir en incapacidad (tablas de recuperación).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D_Macaulay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53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8C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5.0 – 12.0</w:t>
            </w:r>
          </w:p>
        </w:tc>
        <w:tc>
          <w:tcPr>
            <w:tcW w:w="18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8D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ASOP No. 10 (ASB, 2023); Babbel (1995)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8E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Híbrido vida-daños. Pagos = anualidad vitalicia condicionada. ASU 2018-12 lo clasifica como contrato de larga duración.</w:t>
            </w:r>
          </w:p>
        </w:tc>
      </w:tr>
      <w:tr w:rsidR="00CB369F" w14:paraId="19F1189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90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Vida entera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whole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life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91" w14:textId="77777777" w:rsidR="00CB369F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D_Macaulay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sobre flujos de muerte: Σ [t × vᵗ × ₜpₓ × μₓ₊ₜ] 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ä_x</w:t>
            </w:r>
            <w:proofErr w:type="spellEnd"/>
          </w:p>
        </w:tc>
        <w:tc>
          <w:tcPr>
            <w:tcW w:w="153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92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10 – 20</w:t>
            </w:r>
          </w:p>
        </w:tc>
        <w:tc>
          <w:tcPr>
            <w:tcW w:w="18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93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Macaulay (1938); Babbel (1995)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94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Para asegurado de 40 años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e.v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. 80):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D_Mac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≈ 15-18 años. Reservas altamente sensibles a tasas.</w:t>
            </w:r>
          </w:p>
        </w:tc>
      </w:tr>
      <w:tr w:rsidR="00CB369F" w14:paraId="19F1189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96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Vida temporal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term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life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97" w14:textId="77777777" w:rsidR="00CB369F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D_Macaulay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condicionada a que el evento ocurra dentro del plazo.</w:t>
            </w:r>
          </w:p>
        </w:tc>
        <w:tc>
          <w:tcPr>
            <w:tcW w:w="153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98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 – 8 (según plazo)</w:t>
            </w:r>
          </w:p>
        </w:tc>
        <w:tc>
          <w:tcPr>
            <w:tcW w:w="18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99" w14:textId="77777777" w:rsidR="00CB369F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Feldblum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(1989); Babbel (1995)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9A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Similar a P&amp;C de cola media.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Feldblum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term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life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≈ auto personal (cubre eventos durante la vigencia).</w:t>
            </w:r>
          </w:p>
        </w:tc>
      </w:tr>
      <w:tr w:rsidR="00CB369F" w14:paraId="19F118A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9C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Rentas vitalicias — pago inmediato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9D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Para rentas ciertas: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D_Macaulay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estándar. Para vitalicias: reemplazar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CF_t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por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CF_t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× ₜpₓ.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D_Efectiva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con modelos estocásticos de mortalidad.</w:t>
            </w:r>
          </w:p>
        </w:tc>
        <w:tc>
          <w:tcPr>
            <w:tcW w:w="153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9E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8 – 15</w:t>
            </w:r>
          </w:p>
        </w:tc>
        <w:tc>
          <w:tcPr>
            <w:tcW w:w="18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9F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CIA (2023); IAA Risk Book (2025)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A0" w14:textId="77777777" w:rsidR="00CB369F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D_Ef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por el elemento de mortalidad: si el asegurado muere, los pagos cesan. Riesgo de longevidad correlacionado con tasas.</w:t>
            </w:r>
          </w:p>
        </w:tc>
      </w:tr>
      <w:tr w:rsidR="00CB369F" w14:paraId="19F118A7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A2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Rentas diferidas / Pensiones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A3" w14:textId="77777777" w:rsidR="00CB369F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D_Macaulay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sobre VA actuarial incluyendo período de diferimiento. Para activos: OB con tasas forward. IAA: en Europa se usa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D_Mac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; en Norteamérica, DV01.</w:t>
            </w:r>
          </w:p>
        </w:tc>
        <w:tc>
          <w:tcPr>
            <w:tcW w:w="153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A4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12 – 20+</w:t>
            </w:r>
          </w:p>
        </w:tc>
        <w:tc>
          <w:tcPr>
            <w:tcW w:w="18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A5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Milliman (2019); IAA Risk Book (2025)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A6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Mayor duración de todos los ramos. Plan con empleados jóvenes: D &gt; 20 años. Planes congelados tienen menor D que planes abiertos.</w:t>
            </w:r>
          </w:p>
        </w:tc>
      </w:tr>
      <w:tr w:rsidR="00CB369F" w14:paraId="19F118AD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A8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Crédito / Caución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A9" w14:textId="77777777" w:rsidR="00CB369F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D_Modificada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sobre reserva técnica. Flujos netos = siniestro × (1 −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Recovery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Rate). No se aplica ajuste inflacionario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D_Ef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≈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).</w:t>
            </w:r>
          </w:p>
        </w:tc>
        <w:tc>
          <w:tcPr>
            <w:tcW w:w="153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AA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1.0 – 3.0</w:t>
            </w:r>
          </w:p>
        </w:tc>
        <w:tc>
          <w:tcPr>
            <w:tcW w:w="18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AB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Noris (1985); NAIC (2013)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AC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Cola corta en condiciones normales, extendida en reestructuras. Correlacionado con ciclo económico (no con inflación).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D_Ef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≈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porque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ρ(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i,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inflación_crédito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 ≈ 0.</w:t>
            </w:r>
          </w:p>
        </w:tc>
      </w:tr>
      <w:tr w:rsidR="00CB369F" w14:paraId="19F118B3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AE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Reaseguro XL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excess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loss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AF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Depende del ramo cedido. Se aplica factor +25-50% sobre la duración del cedente porque el XL concentra los siniestros más tardíos y graves.</w:t>
            </w:r>
          </w:p>
        </w:tc>
        <w:tc>
          <w:tcPr>
            <w:tcW w:w="153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B0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Cedente × 1.25 – 1.50</w:t>
            </w:r>
          </w:p>
        </w:tc>
        <w:tc>
          <w:tcPr>
            <w:tcW w:w="18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B1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Ferguson (1983),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Proc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. CAS 70; Hodes &amp;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Feldblum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(1996)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B2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 la cedente tiene D=3 años en RC, la capa XL puede tener D=4.5-5 años por el sesgo hacia siniestros de mayor severidad y desarrollo.</w:t>
            </w:r>
          </w:p>
        </w:tc>
      </w:tr>
    </w:tbl>
    <w:p w14:paraId="19F118B4" w14:textId="77777777" w:rsidR="00CB369F" w:rsidRDefault="00000000">
      <w:r>
        <w:br w:type="page"/>
      </w:r>
    </w:p>
    <w:p w14:paraId="19F118B5" w14:textId="77777777" w:rsidR="00CB369F" w:rsidRDefault="00000000">
      <w:pPr>
        <w:pStyle w:val="Ttulo1"/>
        <w:spacing w:before="440" w:after="160"/>
      </w:pPr>
      <w:r>
        <w:lastRenderedPageBreak/>
        <w:t>3. Notas Metodológicas Clave</w:t>
      </w:r>
    </w:p>
    <w:p w14:paraId="19F118B6" w14:textId="77777777" w:rsidR="00CB369F" w:rsidRDefault="00000000">
      <w:pPr>
        <w:pStyle w:val="Ttulo2"/>
        <w:spacing w:before="320" w:after="120"/>
      </w:pPr>
      <w:r>
        <w:t xml:space="preserve">3.1 Por qué </w:t>
      </w:r>
      <w:proofErr w:type="spellStart"/>
      <w:r>
        <w:t>D_Efectiva</w:t>
      </w:r>
      <w:proofErr w:type="spellEnd"/>
      <w:r>
        <w:t xml:space="preserve"> &lt; </w:t>
      </w:r>
      <w:proofErr w:type="spellStart"/>
      <w:r>
        <w:t>D_Modificada</w:t>
      </w:r>
      <w:proofErr w:type="spellEnd"/>
      <w:r>
        <w:t xml:space="preserve"> en seguros de daños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369F" w14:paraId="19F118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0" w:space="0" w:color="2E6DA4"/>
              <w:left w:val="thick" w:sz="10" w:space="0" w:color="2E6DA4"/>
              <w:bottom w:val="single" w:sz="4" w:space="0" w:color="2E6DA4"/>
              <w:right w:val="single" w:sz="4" w:space="0" w:color="2E6DA4"/>
            </w:tcBorders>
            <w:shd w:val="clear" w:color="D6E4F0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118B7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>D'Arcy &amp; Gorvett (2000) demuestran el mecanismo con la siguiente lógica:</w:t>
            </w:r>
          </w:p>
          <w:p w14:paraId="19F118B8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1. Cuando la tasa de interés r aumenta en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Δr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la inflación aumenta aproximadamente en ρ ×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Δr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(correlación histórica ρ ≈ 40% para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EE.UU.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).</w:t>
            </w:r>
          </w:p>
          <w:p w14:paraId="19F118B9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 El aumento de inflación incrementa el costo nominal de los siniestros futuros.</w:t>
            </w:r>
          </w:p>
          <w:p w14:paraId="19F118BA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 El PV del pasivo recibe dos efectos opuestos: (−) sube la tasa de descuento → baja el PV; (+) suben los flujos nominales → sube el PV.</w:t>
            </w:r>
          </w:p>
          <w:p w14:paraId="19F118BB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4. El efecto neto es menor que si los flujos fueran constantes →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D_Ef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&lt;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</w:t>
            </w:r>
          </w:p>
          <w:p w14:paraId="19F118BC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5. Con ρ=40% y parámetros base: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D_Ef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≈ 75% ×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. Con ρ=80%: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D_Ef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≈ 50% ×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  <w:p w14:paraId="19F118BD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 xml:space="preserve">Implicación ALM: una aseguradora de daños que usa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 xml:space="preserve"> en lugar de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D_Ef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 xml:space="preserve"> para calcular la duración de activos necesaria sobreestimará la cobertura requerida y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sub-invertirá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 xml:space="preserve"> en activos de largo plazo.</w:t>
            </w:r>
          </w:p>
        </w:tc>
      </w:tr>
    </w:tbl>
    <w:p w14:paraId="19F118BF" w14:textId="77777777" w:rsidR="00CB369F" w:rsidRDefault="00CB369F">
      <w:pPr>
        <w:spacing w:before="80" w:after="80"/>
        <w:jc w:val="both"/>
      </w:pPr>
    </w:p>
    <w:p w14:paraId="19F118C0" w14:textId="77777777" w:rsidR="00CB369F" w:rsidRDefault="00000000">
      <w:pPr>
        <w:pStyle w:val="Ttulo2"/>
        <w:spacing w:before="320" w:after="120"/>
      </w:pPr>
      <w:r>
        <w:t>3.2 La duración en el contexto de Solvencia II / CUSF</w:t>
      </w:r>
    </w:p>
    <w:p w14:paraId="19F118C1" w14:textId="77777777" w:rsidR="00CB369F" w:rsidRDefault="00000000">
      <w:pPr>
        <w:spacing w:before="80" w:after="80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La CUSF (Capítulo 5.4) y el marco de Solvencia II adoptan la siguiente fórmula para el Margen de Riesgo:</w:t>
      </w:r>
    </w:p>
    <w:p w14:paraId="19F118C2" w14:textId="77777777" w:rsidR="00CB369F" w:rsidRDefault="00CB369F">
      <w:pPr>
        <w:spacing w:before="80" w:after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369F" w14:paraId="19F11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0" w:space="0" w:color="4A1A82"/>
              <w:left w:val="thick" w:sz="10" w:space="0" w:color="4A1A82"/>
              <w:bottom w:val="single" w:sz="4" w:space="0" w:color="4A1A82"/>
              <w:right w:val="single" w:sz="4" w:space="0" w:color="4A1A82"/>
            </w:tcBorders>
            <w:shd w:val="clear" w:color="EDE7F6" w:fill="EDE7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118C3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4A1A82"/>
                <w:sz w:val="24"/>
                <w:szCs w:val="24"/>
              </w:rPr>
              <w:t>MR = Base de Capital × Tasa de Costo de Capital (10%) × Duración</w:t>
            </w:r>
          </w:p>
          <w:p w14:paraId="19F118C4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 xml:space="preserve">Donde "Duración" es la duración del pasivo — la CUSF permite usar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D_Modificada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D_Efectiva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 xml:space="preserve">, pero exige consistencia entre activos y pasivos. (Disposición 5.4.3 y CIA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Educational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 xml:space="preserve"> Note 2023)</w:t>
            </w:r>
          </w:p>
        </w:tc>
      </w:tr>
    </w:tbl>
    <w:p w14:paraId="19F118C6" w14:textId="77777777" w:rsidR="00CB369F" w:rsidRDefault="00CB369F">
      <w:pPr>
        <w:spacing w:before="80" w:after="80"/>
        <w:jc w:val="both"/>
      </w:pPr>
    </w:p>
    <w:p w14:paraId="19F118C7" w14:textId="77777777" w:rsidR="00CB369F" w:rsidRDefault="00000000">
      <w:pPr>
        <w:spacing w:before="80" w:after="80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La CIA (2023) establece que para el cálculo del Margen de Capital por Riesgo de Tasa (MCT), el actuario debe seleccionar entre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D_Modificada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o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D_Efectiva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y aplicar la misma metodología a todos los activos y pasivos, sin mezclar medidas.</w:t>
      </w:r>
    </w:p>
    <w:p w14:paraId="19F118C8" w14:textId="77777777" w:rsidR="00CB369F" w:rsidRDefault="00000000">
      <w:pPr>
        <w:pStyle w:val="Ttulo2"/>
        <w:spacing w:before="320" w:after="120"/>
      </w:pPr>
      <w:r>
        <w:t>3.3 Convexidad y su relevancia práctica</w:t>
      </w:r>
    </w:p>
    <w:p w14:paraId="19F118C9" w14:textId="77777777" w:rsidR="00CB369F" w:rsidRDefault="00000000">
      <w:pPr>
        <w:spacing w:before="80" w:after="80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La convexidad corrige el error de la duración para cambios grandes en tasas. Para choques de ±200 bps o más, el error de usar solo duración puede ser significativo:</w:t>
      </w:r>
    </w:p>
    <w:p w14:paraId="19F118CA" w14:textId="77777777" w:rsidR="00CB369F" w:rsidRDefault="00CB369F">
      <w:pPr>
        <w:spacing w:before="80" w:after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369F" w14:paraId="19F118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0" w:space="0" w:color="7D3C00"/>
              <w:left w:val="thick" w:sz="10" w:space="0" w:color="7D3C00"/>
              <w:bottom w:val="single" w:sz="4" w:space="0" w:color="7D3C00"/>
              <w:right w:val="single" w:sz="4" w:space="0" w:color="7D3C00"/>
            </w:tcBorders>
            <w:shd w:val="clear" w:color="FCE4D6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118CB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>ΔPV% ≈ −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 xml:space="preserve"> ×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>Δ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>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 xml:space="preserve">  +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 xml:space="preserve">  ½ ×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>Conv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 xml:space="preserve"> ×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>Δ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>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7D3C00"/>
                <w:sz w:val="22"/>
                <w:szCs w:val="22"/>
              </w:rPr>
              <w:t>)²</w:t>
            </w:r>
            <w:proofErr w:type="gramEnd"/>
          </w:p>
          <w:p w14:paraId="19F118CC" w14:textId="77777777" w:rsidR="00CB369F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Ejemplo: con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D_Mod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=2.0,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Conv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=7.6,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Δr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=+2% → ΔPV% ≈ −4.0% + ½×7.6×0.04 ≈ −3.85% (vs −4.0% con solo duración). La convexidad reduce la caída real del PV.</w:t>
            </w:r>
          </w:p>
        </w:tc>
      </w:tr>
    </w:tbl>
    <w:p w14:paraId="19F118CE" w14:textId="77777777" w:rsidR="00CB369F" w:rsidRDefault="00CB369F">
      <w:pPr>
        <w:spacing w:before="80" w:after="80"/>
        <w:jc w:val="both"/>
      </w:pPr>
    </w:p>
    <w:p w14:paraId="19F118CF" w14:textId="77777777" w:rsidR="00CB369F" w:rsidRDefault="00000000">
      <w:r>
        <w:br w:type="page"/>
      </w:r>
    </w:p>
    <w:p w14:paraId="19F118D0" w14:textId="77777777" w:rsidR="00CB369F" w:rsidRDefault="00000000">
      <w:pPr>
        <w:pStyle w:val="Ttulo1"/>
        <w:spacing w:before="440" w:after="160"/>
      </w:pPr>
      <w:r>
        <w:lastRenderedPageBreak/>
        <w:t>4. Ejemplo Numérico: Auto RC vs Crédito/Caución</w:t>
      </w:r>
    </w:p>
    <w:p w14:paraId="19F118D1" w14:textId="77777777" w:rsidR="00CB369F" w:rsidRDefault="00000000">
      <w:pPr>
        <w:spacing w:before="80" w:after="80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Los siguientes resultados se reproducen en el archivo Excel adjunto. Para auto se usa el patrón empírico de pagos de D'Arcy &amp; Gorvett (2000), PPA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Liability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con tasa de descuento r=5%. Para crédito se usa un patrón de 4 años con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Recovery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Rate del 40% y r=6%.</w:t>
      </w:r>
    </w:p>
    <w:p w14:paraId="19F118D2" w14:textId="77777777" w:rsidR="00CB369F" w:rsidRDefault="00CB369F">
      <w:pPr>
        <w:spacing w:before="80" w:after="80"/>
        <w:jc w:val="both"/>
      </w:pP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100"/>
        <w:gridCol w:w="2100"/>
        <w:gridCol w:w="1440"/>
        <w:gridCol w:w="2340"/>
      </w:tblGrid>
      <w:tr w:rsidR="00CB369F" w14:paraId="19F118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bottom w:val="single" w:sz="4" w:space="0" w:color="CCCCCC"/>
              <w:right w:val="single" w:sz="4" w:space="0" w:color="CCCCCC"/>
            </w:tcBorders>
            <w:shd w:val="clear" w:color="2E6DA4" w:fill="2E6D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D3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Medida</w:t>
            </w:r>
          </w:p>
        </w:tc>
        <w:tc>
          <w:tcPr>
            <w:tcW w:w="2100" w:type="dxa"/>
            <w:tcBorders>
              <w:bottom w:val="single" w:sz="4" w:space="0" w:color="CCCCCC"/>
              <w:right w:val="single" w:sz="4" w:space="0" w:color="CCCCCC"/>
            </w:tcBorders>
            <w:shd w:val="clear" w:color="2E6DA4" w:fill="2E6D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D4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Auto RC Personal (r=5%)</w:t>
            </w:r>
          </w:p>
        </w:tc>
        <w:tc>
          <w:tcPr>
            <w:tcW w:w="2100" w:type="dxa"/>
            <w:tcBorders>
              <w:bottom w:val="single" w:sz="4" w:space="0" w:color="CCCCCC"/>
              <w:right w:val="single" w:sz="4" w:space="0" w:color="CCCCCC"/>
            </w:tcBorders>
            <w:shd w:val="clear" w:color="2E6DA4" w:fill="2E6D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D5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Crédito/Caución (r=6%)</w:t>
            </w:r>
          </w:p>
        </w:tc>
        <w:tc>
          <w:tcPr>
            <w:tcW w:w="1440" w:type="dxa"/>
            <w:tcBorders>
              <w:bottom w:val="single" w:sz="4" w:space="0" w:color="CCCCCC"/>
              <w:right w:val="single" w:sz="4" w:space="0" w:color="CCCCCC"/>
            </w:tcBorders>
            <w:shd w:val="clear" w:color="2E6DA4" w:fill="2E6D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D6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Diferencia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2E6DA4" w:fill="2E6D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D7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Interpretación</w:t>
            </w:r>
          </w:p>
        </w:tc>
      </w:tr>
      <w:tr w:rsidR="00CB369F" w14:paraId="19F118D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D9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Duración de Macaulay</w:t>
            </w:r>
          </w:p>
        </w:tc>
        <w:tc>
          <w:tcPr>
            <w:tcW w:w="21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DA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2.11 años</w:t>
            </w:r>
          </w:p>
        </w:tc>
        <w:tc>
          <w:tcPr>
            <w:tcW w:w="21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DB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1.71 años</w:t>
            </w:r>
          </w:p>
        </w:tc>
        <w:tc>
          <w:tcPr>
            <w:tcW w:w="14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DC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+0.40 años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DD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Auto tiene cola más larga: pagos se extienden hasta año 10</w:t>
            </w:r>
          </w:p>
        </w:tc>
      </w:tr>
      <w:tr w:rsidR="00CB369F" w14:paraId="19F118E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DF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Duración Modificada</w:t>
            </w:r>
          </w:p>
        </w:tc>
        <w:tc>
          <w:tcPr>
            <w:tcW w:w="21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E0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2.01 años</w:t>
            </w:r>
          </w:p>
        </w:tc>
        <w:tc>
          <w:tcPr>
            <w:tcW w:w="21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E1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1.61 años</w:t>
            </w:r>
          </w:p>
        </w:tc>
        <w:tc>
          <w:tcPr>
            <w:tcW w:w="14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E2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+0.40 años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E3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Auto es ~25% más sensible a tasas que crédito</w:t>
            </w:r>
          </w:p>
        </w:tc>
      </w:tr>
      <w:tr w:rsidR="00CB369F" w14:paraId="19F118E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E5" w14:textId="77777777" w:rsidR="00CB369F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D_Ef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ajustada (ρ=40%)</w:t>
            </w:r>
          </w:p>
        </w:tc>
        <w:tc>
          <w:tcPr>
            <w:tcW w:w="21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E6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1.51 años</w:t>
            </w:r>
          </w:p>
        </w:tc>
        <w:tc>
          <w:tcPr>
            <w:tcW w:w="21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E7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1.61 años</w:t>
            </w:r>
          </w:p>
        </w:tc>
        <w:tc>
          <w:tcPr>
            <w:tcW w:w="14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E8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−0.10 años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E9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Ajuste inflacionario reduce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D_Ef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de auto; crédito no se ajusta</w:t>
            </w:r>
          </w:p>
        </w:tc>
      </w:tr>
      <w:tr w:rsidR="00CB369F" w14:paraId="19F118F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EB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Convexidad</w:t>
            </w:r>
          </w:p>
        </w:tc>
        <w:tc>
          <w:tcPr>
            <w:tcW w:w="21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EC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7.62</w:t>
            </w:r>
          </w:p>
        </w:tc>
        <w:tc>
          <w:tcPr>
            <w:tcW w:w="21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ED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4.77</w:t>
            </w:r>
          </w:p>
        </w:tc>
        <w:tc>
          <w:tcPr>
            <w:tcW w:w="14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EE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+2.85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EF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Auto tiene mayor curvatura: beneficia más al caer las tasas</w:t>
            </w:r>
          </w:p>
        </w:tc>
      </w:tr>
      <w:tr w:rsidR="00CB369F" w14:paraId="19F118F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F1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Δ PV por +100 bps</w:t>
            </w:r>
          </w:p>
        </w:tc>
        <w:tc>
          <w:tcPr>
            <w:tcW w:w="21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F2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−1.77%</w:t>
            </w:r>
          </w:p>
        </w:tc>
        <w:tc>
          <w:tcPr>
            <w:tcW w:w="21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F3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−1.49%</w:t>
            </w:r>
          </w:p>
        </w:tc>
        <w:tc>
          <w:tcPr>
            <w:tcW w:w="14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F4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F5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Auto pierde más valor ante alza de tasas</w:t>
            </w:r>
          </w:p>
        </w:tc>
      </w:tr>
      <w:tr w:rsidR="00CB369F" w14:paraId="19F118F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F7" w14:textId="77777777" w:rsidR="00CB369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Δ PV por −100 bps</w:t>
            </w:r>
          </w:p>
        </w:tc>
        <w:tc>
          <w:tcPr>
            <w:tcW w:w="21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F8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+1.84%</w:t>
            </w:r>
          </w:p>
        </w:tc>
        <w:tc>
          <w:tcPr>
            <w:tcW w:w="210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F9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+1.54%</w:t>
            </w:r>
          </w:p>
        </w:tc>
        <w:tc>
          <w:tcPr>
            <w:tcW w:w="14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FA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bottom w:val="single" w:sz="4" w:space="0" w:color="CCCCCC"/>
              <w:right w:val="single" w:sz="4" w:space="0" w:color="CCCCCC"/>
            </w:tcBorders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8FB" w14:textId="77777777" w:rsidR="00CB369F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Auto gana más valor ante baja de tasas</w:t>
            </w:r>
          </w:p>
        </w:tc>
      </w:tr>
    </w:tbl>
    <w:p w14:paraId="19F118FD" w14:textId="77777777" w:rsidR="00CB369F" w:rsidRDefault="00CB369F">
      <w:pPr>
        <w:spacing w:before="80" w:after="80"/>
        <w:jc w:val="both"/>
      </w:pPr>
    </w:p>
    <w:p w14:paraId="19F118FE" w14:textId="77777777" w:rsidR="00CB369F" w:rsidRDefault="00000000">
      <w:pPr>
        <w:spacing w:before="80" w:after="80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La diferencia más importante: para crédito,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D_Efectiva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≈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D_Modificada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porque los flujos de pérdida crediticia no están correlacionados con la inflación. Para auto RC,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D_Efectiva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es materialmente menor que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D_Modificada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porque los juicios y gastos médicos futuros se encarecen junto con la inflación cuando suben las tasas. Usar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D_Modificada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para auto RC sobreestima el Margen de Riesgo en aproximadamente 25%.</w:t>
      </w:r>
    </w:p>
    <w:p w14:paraId="19F118FF" w14:textId="77777777" w:rsidR="00CB369F" w:rsidRDefault="00000000">
      <w:r>
        <w:br w:type="page"/>
      </w:r>
    </w:p>
    <w:p w14:paraId="19F11900" w14:textId="77777777" w:rsidR="00CB369F" w:rsidRDefault="00000000">
      <w:pPr>
        <w:pStyle w:val="Ttulo1"/>
        <w:spacing w:before="440" w:after="160"/>
      </w:pPr>
      <w:r>
        <w:lastRenderedPageBreak/>
        <w:t>5. Bibliografía</w:t>
      </w:r>
    </w:p>
    <w:p w14:paraId="19F11901" w14:textId="77777777" w:rsidR="00CB369F" w:rsidRDefault="00CB369F">
      <w:pPr>
        <w:spacing w:before="80" w:after="80"/>
        <w:jc w:val="both"/>
      </w:pPr>
    </w:p>
    <w:p w14:paraId="19F11902" w14:textId="77777777" w:rsidR="00CB369F" w:rsidRDefault="00000000">
      <w:pPr>
        <w:pStyle w:val="Prrafodelista"/>
        <w:numPr>
          <w:ilvl w:val="0"/>
          <w:numId w:val="1"/>
        </w:numPr>
        <w:spacing w:before="40" w:after="40"/>
        <w:ind w:left="504" w:hanging="316"/>
      </w:pPr>
      <w:r>
        <w:rPr>
          <w:rFonts w:ascii="Calibri" w:eastAsia="Calibri" w:hAnsi="Calibri" w:cs="Calibri"/>
          <w:sz w:val="22"/>
          <w:szCs w:val="22"/>
        </w:rPr>
        <w:t xml:space="preserve">[1] D'Arcy, S.P. &amp; </w:t>
      </w:r>
      <w:proofErr w:type="spellStart"/>
      <w:r>
        <w:rPr>
          <w:rFonts w:ascii="Calibri" w:eastAsia="Calibri" w:hAnsi="Calibri" w:cs="Calibri"/>
          <w:sz w:val="22"/>
          <w:szCs w:val="22"/>
        </w:rPr>
        <w:t>Gorvett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R.W. (2000). The </w:t>
      </w:r>
      <w:proofErr w:type="spellStart"/>
      <w:r>
        <w:rPr>
          <w:rFonts w:ascii="Calibri" w:eastAsia="Calibri" w:hAnsi="Calibri" w:cs="Calibri"/>
          <w:sz w:val="22"/>
          <w:szCs w:val="22"/>
        </w:rPr>
        <w:t>Effective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Duration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Convexity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</w:t>
      </w:r>
      <w:proofErr w:type="spellStart"/>
      <w:r>
        <w:rPr>
          <w:rFonts w:ascii="Calibri" w:eastAsia="Calibri" w:hAnsi="Calibri" w:cs="Calibri"/>
          <w:sz w:val="22"/>
          <w:szCs w:val="22"/>
        </w:rPr>
        <w:t>Liabilities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Property-Liability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Insurers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Stochastic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Interest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Rates. </w:t>
      </w:r>
      <w:proofErr w:type="spellStart"/>
      <w:r>
        <w:rPr>
          <w:rFonts w:ascii="Calibri" w:eastAsia="Calibri" w:hAnsi="Calibri" w:cs="Calibri"/>
          <w:sz w:val="22"/>
          <w:szCs w:val="22"/>
        </w:rPr>
        <w:t>Proceedings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the </w:t>
      </w:r>
      <w:proofErr w:type="spellStart"/>
      <w:r>
        <w:rPr>
          <w:rFonts w:ascii="Calibri" w:eastAsia="Calibri" w:hAnsi="Calibri" w:cs="Calibri"/>
          <w:sz w:val="22"/>
          <w:szCs w:val="22"/>
        </w:rPr>
        <w:t>Casualty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Actuarial </w:t>
      </w:r>
      <w:proofErr w:type="spellStart"/>
      <w:r>
        <w:rPr>
          <w:rFonts w:ascii="Calibri" w:eastAsia="Calibri" w:hAnsi="Calibri" w:cs="Calibri"/>
          <w:sz w:val="22"/>
          <w:szCs w:val="22"/>
        </w:rPr>
        <w:t>Society</w:t>
      </w:r>
      <w:proofErr w:type="spellEnd"/>
      <w:r>
        <w:rPr>
          <w:rFonts w:ascii="Calibri" w:eastAsia="Calibri" w:hAnsi="Calibri" w:cs="Calibri"/>
          <w:sz w:val="22"/>
          <w:szCs w:val="22"/>
        </w:rPr>
        <w:t>, 87, 388-454.</w:t>
      </w:r>
    </w:p>
    <w:p w14:paraId="19F11903" w14:textId="77777777" w:rsidR="00CB369F" w:rsidRDefault="00000000">
      <w:pPr>
        <w:spacing w:before="80" w:after="80"/>
        <w:ind w:left="720"/>
        <w:jc w:val="both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     Fundamento empírico de la distinción entre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D_Modificada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y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D_Efectiva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. Incluye parámetros por ramo y el factor de ajuste por correlación tasas-inflación.</w:t>
      </w:r>
    </w:p>
    <w:p w14:paraId="19F11904" w14:textId="77777777" w:rsidR="00CB369F" w:rsidRDefault="00CB369F">
      <w:pPr>
        <w:spacing w:before="80" w:after="80"/>
        <w:jc w:val="both"/>
      </w:pPr>
    </w:p>
    <w:p w14:paraId="19F11905" w14:textId="77777777" w:rsidR="00CB369F" w:rsidRDefault="00000000">
      <w:pPr>
        <w:pStyle w:val="Prrafodelista"/>
        <w:numPr>
          <w:ilvl w:val="0"/>
          <w:numId w:val="1"/>
        </w:numPr>
        <w:spacing w:before="40" w:after="40"/>
        <w:ind w:left="504" w:hanging="316"/>
      </w:pPr>
      <w:r>
        <w:rPr>
          <w:rFonts w:ascii="Calibri" w:eastAsia="Calibri" w:hAnsi="Calibri" w:cs="Calibri"/>
          <w:sz w:val="22"/>
          <w:szCs w:val="22"/>
        </w:rPr>
        <w:t xml:space="preserve">[2] Hodes, D.M. &amp; </w:t>
      </w:r>
      <w:proofErr w:type="spellStart"/>
      <w:r>
        <w:rPr>
          <w:rFonts w:ascii="Calibri" w:eastAsia="Calibri" w:hAnsi="Calibri" w:cs="Calibri"/>
          <w:sz w:val="22"/>
          <w:szCs w:val="22"/>
        </w:rPr>
        <w:t>Feldblum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S. (1996). </w:t>
      </w:r>
      <w:proofErr w:type="spellStart"/>
      <w:r>
        <w:rPr>
          <w:rFonts w:ascii="Calibri" w:eastAsia="Calibri" w:hAnsi="Calibri" w:cs="Calibri"/>
          <w:sz w:val="22"/>
          <w:szCs w:val="22"/>
        </w:rPr>
        <w:t>Interest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Rate Risk and Capital </w:t>
      </w:r>
      <w:proofErr w:type="spellStart"/>
      <w:r>
        <w:rPr>
          <w:rFonts w:ascii="Calibri" w:eastAsia="Calibri" w:hAnsi="Calibri" w:cs="Calibri"/>
          <w:sz w:val="22"/>
          <w:szCs w:val="22"/>
        </w:rPr>
        <w:t>Requirements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Property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Casualty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Insurance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Companies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Proceedings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the </w:t>
      </w:r>
      <w:proofErr w:type="spellStart"/>
      <w:r>
        <w:rPr>
          <w:rFonts w:ascii="Calibri" w:eastAsia="Calibri" w:hAnsi="Calibri" w:cs="Calibri"/>
          <w:sz w:val="22"/>
          <w:szCs w:val="22"/>
        </w:rPr>
        <w:t>Casualty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Actuarial </w:t>
      </w:r>
      <w:proofErr w:type="spellStart"/>
      <w:r>
        <w:rPr>
          <w:rFonts w:ascii="Calibri" w:eastAsia="Calibri" w:hAnsi="Calibri" w:cs="Calibri"/>
          <w:sz w:val="22"/>
          <w:szCs w:val="22"/>
        </w:rPr>
        <w:t>Society</w:t>
      </w:r>
      <w:proofErr w:type="spellEnd"/>
      <w:r>
        <w:rPr>
          <w:rFonts w:ascii="Calibri" w:eastAsia="Calibri" w:hAnsi="Calibri" w:cs="Calibri"/>
          <w:sz w:val="22"/>
          <w:szCs w:val="22"/>
        </w:rPr>
        <w:t>, 83, 490-562.</w:t>
      </w:r>
    </w:p>
    <w:p w14:paraId="19F11906" w14:textId="77777777" w:rsidR="00CB369F" w:rsidRDefault="00000000">
      <w:pPr>
        <w:spacing w:before="80" w:after="80"/>
        <w:ind w:left="720"/>
        <w:jc w:val="both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     Análisis completo de riesgo de tasa de interés para P&amp;C. Define la metodología de duración por ramo y el impacto en el capital regulatorio.</w:t>
      </w:r>
    </w:p>
    <w:p w14:paraId="19F11907" w14:textId="77777777" w:rsidR="00CB369F" w:rsidRDefault="00CB369F">
      <w:pPr>
        <w:spacing w:before="80" w:after="80"/>
        <w:jc w:val="both"/>
      </w:pPr>
    </w:p>
    <w:p w14:paraId="19F11908" w14:textId="77777777" w:rsidR="00CB369F" w:rsidRDefault="00000000">
      <w:pPr>
        <w:pStyle w:val="Prrafodelista"/>
        <w:numPr>
          <w:ilvl w:val="0"/>
          <w:numId w:val="1"/>
        </w:numPr>
        <w:spacing w:before="40" w:after="40"/>
        <w:ind w:left="504" w:hanging="316"/>
      </w:pPr>
      <w:r>
        <w:rPr>
          <w:rFonts w:ascii="Calibri" w:eastAsia="Calibri" w:hAnsi="Calibri" w:cs="Calibri"/>
          <w:sz w:val="22"/>
          <w:szCs w:val="22"/>
        </w:rPr>
        <w:t xml:space="preserve">[3] Macaulay, F.R. (1938). Some </w:t>
      </w:r>
      <w:proofErr w:type="spellStart"/>
      <w:r>
        <w:rPr>
          <w:rFonts w:ascii="Calibri" w:eastAsia="Calibri" w:hAnsi="Calibri" w:cs="Calibri"/>
          <w:sz w:val="22"/>
          <w:szCs w:val="22"/>
        </w:rPr>
        <w:t>Theoretical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Problems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Suggested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the </w:t>
      </w:r>
      <w:proofErr w:type="spellStart"/>
      <w:r>
        <w:rPr>
          <w:rFonts w:ascii="Calibri" w:eastAsia="Calibri" w:hAnsi="Calibri" w:cs="Calibri"/>
          <w:sz w:val="22"/>
          <w:szCs w:val="22"/>
        </w:rPr>
        <w:t>Movement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</w:t>
      </w:r>
      <w:proofErr w:type="spellStart"/>
      <w:r>
        <w:rPr>
          <w:rFonts w:ascii="Calibri" w:eastAsia="Calibri" w:hAnsi="Calibri" w:cs="Calibri"/>
          <w:sz w:val="22"/>
          <w:szCs w:val="22"/>
        </w:rPr>
        <w:t>Interest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Rates, Bond Yields, and Stock </w:t>
      </w:r>
      <w:proofErr w:type="spellStart"/>
      <w:r>
        <w:rPr>
          <w:rFonts w:ascii="Calibri" w:eastAsia="Calibri" w:hAnsi="Calibri" w:cs="Calibri"/>
          <w:sz w:val="22"/>
          <w:szCs w:val="22"/>
        </w:rPr>
        <w:t>Prices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since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1856. </w:t>
      </w:r>
      <w:proofErr w:type="spellStart"/>
      <w:r>
        <w:rPr>
          <w:rFonts w:ascii="Calibri" w:eastAsia="Calibri" w:hAnsi="Calibri" w:cs="Calibri"/>
          <w:sz w:val="22"/>
          <w:szCs w:val="22"/>
        </w:rPr>
        <w:t>National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Bureau of </w:t>
      </w:r>
      <w:proofErr w:type="spellStart"/>
      <w:r>
        <w:rPr>
          <w:rFonts w:ascii="Calibri" w:eastAsia="Calibri" w:hAnsi="Calibri" w:cs="Calibri"/>
          <w:sz w:val="22"/>
          <w:szCs w:val="22"/>
        </w:rPr>
        <w:t>Economic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Research</w:t>
      </w:r>
      <w:proofErr w:type="spellEnd"/>
      <w:r>
        <w:rPr>
          <w:rFonts w:ascii="Calibri" w:eastAsia="Calibri" w:hAnsi="Calibri" w:cs="Calibri"/>
          <w:sz w:val="22"/>
          <w:szCs w:val="22"/>
        </w:rPr>
        <w:t>, New York.</w:t>
      </w:r>
    </w:p>
    <w:p w14:paraId="19F11909" w14:textId="77777777" w:rsidR="00CB369F" w:rsidRDefault="00000000">
      <w:pPr>
        <w:spacing w:before="80" w:after="80"/>
        <w:ind w:left="720"/>
        <w:jc w:val="both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     Trabajo seminal que define la duración ponderada por valor presente.</w:t>
      </w:r>
    </w:p>
    <w:p w14:paraId="19F1190A" w14:textId="77777777" w:rsidR="00CB369F" w:rsidRDefault="00CB369F">
      <w:pPr>
        <w:spacing w:before="80" w:after="80"/>
        <w:jc w:val="both"/>
      </w:pPr>
    </w:p>
    <w:p w14:paraId="19F1190B" w14:textId="77777777" w:rsidR="00CB369F" w:rsidRDefault="00000000">
      <w:pPr>
        <w:pStyle w:val="Prrafodelista"/>
        <w:numPr>
          <w:ilvl w:val="0"/>
          <w:numId w:val="1"/>
        </w:numPr>
        <w:spacing w:before="40" w:after="40"/>
        <w:ind w:left="504" w:hanging="316"/>
      </w:pPr>
      <w:r>
        <w:rPr>
          <w:rFonts w:ascii="Calibri" w:eastAsia="Calibri" w:hAnsi="Calibri" w:cs="Calibri"/>
          <w:sz w:val="22"/>
          <w:szCs w:val="22"/>
        </w:rPr>
        <w:t xml:space="preserve">[4] D'Arcy, S.P. (1984). </w:t>
      </w:r>
      <w:proofErr w:type="spellStart"/>
      <w:r>
        <w:rPr>
          <w:rFonts w:ascii="Calibri" w:eastAsia="Calibri" w:hAnsi="Calibri" w:cs="Calibri"/>
          <w:sz w:val="22"/>
          <w:szCs w:val="22"/>
        </w:rPr>
        <w:t>Duration</w:t>
      </w:r>
      <w:proofErr w:type="spellEnd"/>
      <w:r>
        <w:rPr>
          <w:rFonts w:ascii="Calibri" w:eastAsia="Calibri" w:hAnsi="Calibri" w:cs="Calibri"/>
          <w:sz w:val="22"/>
          <w:szCs w:val="22"/>
        </w:rPr>
        <w:t>—</w:t>
      </w:r>
      <w:proofErr w:type="spellStart"/>
      <w:r>
        <w:rPr>
          <w:rFonts w:ascii="Calibri" w:eastAsia="Calibri" w:hAnsi="Calibri" w:cs="Calibri"/>
          <w:sz w:val="22"/>
          <w:szCs w:val="22"/>
        </w:rPr>
        <w:t>Discussion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Proceedings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the </w:t>
      </w:r>
      <w:proofErr w:type="spellStart"/>
      <w:r>
        <w:rPr>
          <w:rFonts w:ascii="Calibri" w:eastAsia="Calibri" w:hAnsi="Calibri" w:cs="Calibri"/>
          <w:sz w:val="22"/>
          <w:szCs w:val="22"/>
        </w:rPr>
        <w:t>Casualty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Actuarial </w:t>
      </w:r>
      <w:proofErr w:type="spellStart"/>
      <w:r>
        <w:rPr>
          <w:rFonts w:ascii="Calibri" w:eastAsia="Calibri" w:hAnsi="Calibri" w:cs="Calibri"/>
          <w:sz w:val="22"/>
          <w:szCs w:val="22"/>
        </w:rPr>
        <w:t>Society</w:t>
      </w:r>
      <w:proofErr w:type="spellEnd"/>
      <w:r>
        <w:rPr>
          <w:rFonts w:ascii="Calibri" w:eastAsia="Calibri" w:hAnsi="Calibri" w:cs="Calibri"/>
          <w:sz w:val="22"/>
          <w:szCs w:val="22"/>
        </w:rPr>
        <w:t>, 71, 8-25.</w:t>
      </w:r>
    </w:p>
    <w:p w14:paraId="19F1190C" w14:textId="77777777" w:rsidR="00CB369F" w:rsidRDefault="00000000">
      <w:pPr>
        <w:spacing w:before="80" w:after="80"/>
        <w:ind w:left="720"/>
        <w:jc w:val="both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     Extensión del concepto de duración de bonos a las reservas de seguros P&amp;C.</w:t>
      </w:r>
    </w:p>
    <w:p w14:paraId="19F1190D" w14:textId="77777777" w:rsidR="00CB369F" w:rsidRDefault="00CB369F">
      <w:pPr>
        <w:spacing w:before="80" w:after="80"/>
        <w:jc w:val="both"/>
      </w:pPr>
    </w:p>
    <w:p w14:paraId="19F1190E" w14:textId="77777777" w:rsidR="00CB369F" w:rsidRDefault="00000000">
      <w:pPr>
        <w:pStyle w:val="Prrafodelista"/>
        <w:numPr>
          <w:ilvl w:val="0"/>
          <w:numId w:val="1"/>
        </w:numPr>
        <w:spacing w:before="40" w:after="40"/>
        <w:ind w:left="504" w:hanging="316"/>
      </w:pPr>
      <w:r>
        <w:rPr>
          <w:rFonts w:ascii="Calibri" w:eastAsia="Calibri" w:hAnsi="Calibri" w:cs="Calibri"/>
          <w:sz w:val="22"/>
          <w:szCs w:val="22"/>
        </w:rPr>
        <w:t xml:space="preserve">[5] Noris, P.D. (1985). </w:t>
      </w:r>
      <w:proofErr w:type="spellStart"/>
      <w:r>
        <w:rPr>
          <w:rFonts w:ascii="Calibri" w:eastAsia="Calibri" w:hAnsi="Calibri" w:cs="Calibri"/>
          <w:sz w:val="22"/>
          <w:szCs w:val="22"/>
        </w:rPr>
        <w:t>Asset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Liability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Management </w:t>
      </w:r>
      <w:proofErr w:type="spellStart"/>
      <w:r>
        <w:rPr>
          <w:rFonts w:ascii="Calibri" w:eastAsia="Calibri" w:hAnsi="Calibri" w:cs="Calibri"/>
          <w:sz w:val="22"/>
          <w:szCs w:val="22"/>
        </w:rPr>
        <w:t>Strategies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Property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Casualty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Companies</w:t>
      </w:r>
      <w:proofErr w:type="spellEnd"/>
      <w:r>
        <w:rPr>
          <w:rFonts w:ascii="Calibri" w:eastAsia="Calibri" w:hAnsi="Calibri" w:cs="Calibri"/>
          <w:sz w:val="22"/>
          <w:szCs w:val="22"/>
        </w:rPr>
        <w:t>. Morgan Stanley.</w:t>
      </w:r>
    </w:p>
    <w:p w14:paraId="19F1190F" w14:textId="77777777" w:rsidR="00CB369F" w:rsidRDefault="00000000">
      <w:pPr>
        <w:spacing w:before="80" w:after="80"/>
        <w:ind w:left="720"/>
        <w:jc w:val="both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     Referencia clásica de ALM para aseguradoras P&amp;C. Incluye tratamiento de crédito/caución.</w:t>
      </w:r>
    </w:p>
    <w:p w14:paraId="19F11910" w14:textId="77777777" w:rsidR="00CB369F" w:rsidRDefault="00CB369F">
      <w:pPr>
        <w:spacing w:before="80" w:after="80"/>
        <w:jc w:val="both"/>
      </w:pPr>
    </w:p>
    <w:p w14:paraId="19F11911" w14:textId="77777777" w:rsidR="00CB369F" w:rsidRDefault="00000000">
      <w:pPr>
        <w:pStyle w:val="Prrafodelista"/>
        <w:numPr>
          <w:ilvl w:val="0"/>
          <w:numId w:val="1"/>
        </w:numPr>
        <w:spacing w:before="40" w:after="40"/>
        <w:ind w:left="504" w:hanging="316"/>
      </w:pPr>
      <w:r>
        <w:rPr>
          <w:rFonts w:ascii="Calibri" w:eastAsia="Calibri" w:hAnsi="Calibri" w:cs="Calibri"/>
          <w:sz w:val="22"/>
          <w:szCs w:val="22"/>
        </w:rPr>
        <w:t xml:space="preserve">[6] Campbell, F. (1995). </w:t>
      </w:r>
      <w:proofErr w:type="spellStart"/>
      <w:r>
        <w:rPr>
          <w:rFonts w:ascii="Calibri" w:eastAsia="Calibri" w:hAnsi="Calibri" w:cs="Calibri"/>
          <w:sz w:val="22"/>
          <w:szCs w:val="22"/>
        </w:rPr>
        <w:t>Asset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Liability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Management </w:t>
      </w:r>
      <w:proofErr w:type="spellStart"/>
      <w:r>
        <w:rPr>
          <w:rFonts w:ascii="Calibri" w:eastAsia="Calibri" w:hAnsi="Calibri" w:cs="Calibri"/>
          <w:sz w:val="22"/>
          <w:szCs w:val="22"/>
        </w:rPr>
        <w:t>for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Property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Casualty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Insurers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En: Fabozzi &amp; Fabozzi (eds.), The </w:t>
      </w:r>
      <w:proofErr w:type="spellStart"/>
      <w:r>
        <w:rPr>
          <w:rFonts w:ascii="Calibri" w:eastAsia="Calibri" w:hAnsi="Calibri" w:cs="Calibri"/>
          <w:sz w:val="22"/>
          <w:szCs w:val="22"/>
        </w:rPr>
        <w:t>Handbook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</w:t>
      </w:r>
      <w:proofErr w:type="spellStart"/>
      <w:r>
        <w:rPr>
          <w:rFonts w:ascii="Calibri" w:eastAsia="Calibri" w:hAnsi="Calibri" w:cs="Calibri"/>
          <w:sz w:val="22"/>
          <w:szCs w:val="22"/>
        </w:rPr>
        <w:t>Fixed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Income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Securities</w:t>
      </w:r>
      <w:proofErr w:type="spellEnd"/>
      <w:r>
        <w:rPr>
          <w:rFonts w:ascii="Calibri" w:eastAsia="Calibri" w:hAnsi="Calibri" w:cs="Calibri"/>
          <w:sz w:val="22"/>
          <w:szCs w:val="22"/>
        </w:rPr>
        <w:t>, Cap. 46. Irwin.</w:t>
      </w:r>
    </w:p>
    <w:p w14:paraId="19F11912" w14:textId="77777777" w:rsidR="00CB369F" w:rsidRDefault="00000000">
      <w:pPr>
        <w:spacing w:before="80" w:after="80"/>
        <w:ind w:left="720"/>
        <w:jc w:val="both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     Aplicación práctica de la duración para ALM en seguros no-vida.</w:t>
      </w:r>
    </w:p>
    <w:p w14:paraId="19F11913" w14:textId="77777777" w:rsidR="00CB369F" w:rsidRDefault="00CB369F">
      <w:pPr>
        <w:spacing w:before="80" w:after="80"/>
        <w:jc w:val="both"/>
      </w:pPr>
    </w:p>
    <w:p w14:paraId="19F11914" w14:textId="77777777" w:rsidR="00CB369F" w:rsidRDefault="00000000">
      <w:pPr>
        <w:pStyle w:val="Prrafodelista"/>
        <w:numPr>
          <w:ilvl w:val="0"/>
          <w:numId w:val="1"/>
        </w:numPr>
        <w:spacing w:before="40" w:after="40"/>
        <w:ind w:left="504" w:hanging="316"/>
      </w:pPr>
      <w:r>
        <w:rPr>
          <w:rFonts w:ascii="Calibri" w:eastAsia="Calibri" w:hAnsi="Calibri" w:cs="Calibri"/>
          <w:sz w:val="22"/>
          <w:szCs w:val="22"/>
        </w:rPr>
        <w:t xml:space="preserve">[7] Ferguson, R.E. (1983). </w:t>
      </w:r>
      <w:proofErr w:type="spellStart"/>
      <w:r>
        <w:rPr>
          <w:rFonts w:ascii="Calibri" w:eastAsia="Calibri" w:hAnsi="Calibri" w:cs="Calibri"/>
          <w:sz w:val="22"/>
          <w:szCs w:val="22"/>
        </w:rPr>
        <w:t>Duration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Proceedings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the </w:t>
      </w:r>
      <w:proofErr w:type="spellStart"/>
      <w:r>
        <w:rPr>
          <w:rFonts w:ascii="Calibri" w:eastAsia="Calibri" w:hAnsi="Calibri" w:cs="Calibri"/>
          <w:sz w:val="22"/>
          <w:szCs w:val="22"/>
        </w:rPr>
        <w:t>Casualty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Actuarial </w:t>
      </w:r>
      <w:proofErr w:type="spellStart"/>
      <w:r>
        <w:rPr>
          <w:rFonts w:ascii="Calibri" w:eastAsia="Calibri" w:hAnsi="Calibri" w:cs="Calibri"/>
          <w:sz w:val="22"/>
          <w:szCs w:val="22"/>
        </w:rPr>
        <w:t>Society</w:t>
      </w:r>
      <w:proofErr w:type="spellEnd"/>
      <w:r>
        <w:rPr>
          <w:rFonts w:ascii="Calibri" w:eastAsia="Calibri" w:hAnsi="Calibri" w:cs="Calibri"/>
          <w:sz w:val="22"/>
          <w:szCs w:val="22"/>
        </w:rPr>
        <w:t>, 70, 265-288.</w:t>
      </w:r>
    </w:p>
    <w:p w14:paraId="19F11915" w14:textId="77777777" w:rsidR="00CB369F" w:rsidRDefault="00000000">
      <w:pPr>
        <w:spacing w:before="80" w:after="80"/>
        <w:ind w:left="720"/>
        <w:jc w:val="both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     Discusión original del concepto de duración en el contexto actuarial.</w:t>
      </w:r>
    </w:p>
    <w:p w14:paraId="19F11916" w14:textId="77777777" w:rsidR="00CB369F" w:rsidRDefault="00CB369F">
      <w:pPr>
        <w:spacing w:before="80" w:after="80"/>
        <w:jc w:val="both"/>
      </w:pPr>
    </w:p>
    <w:p w14:paraId="19F11917" w14:textId="77777777" w:rsidR="00CB369F" w:rsidRDefault="00000000">
      <w:pPr>
        <w:pStyle w:val="Prrafodelista"/>
        <w:numPr>
          <w:ilvl w:val="0"/>
          <w:numId w:val="1"/>
        </w:numPr>
        <w:spacing w:before="40" w:after="40"/>
        <w:ind w:left="504" w:hanging="316"/>
      </w:pPr>
      <w:r>
        <w:rPr>
          <w:rFonts w:ascii="Calibri" w:eastAsia="Calibri" w:hAnsi="Calibri" w:cs="Calibri"/>
          <w:sz w:val="22"/>
          <w:szCs w:val="22"/>
        </w:rPr>
        <w:t xml:space="preserve">[8] Babbel, D. (1995). </w:t>
      </w:r>
      <w:proofErr w:type="spellStart"/>
      <w:r>
        <w:rPr>
          <w:rFonts w:ascii="Calibri" w:eastAsia="Calibri" w:hAnsi="Calibri" w:cs="Calibri"/>
          <w:sz w:val="22"/>
          <w:szCs w:val="22"/>
        </w:rPr>
        <w:t>Asset-Liability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Matching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the Life </w:t>
      </w:r>
      <w:proofErr w:type="spellStart"/>
      <w:r>
        <w:rPr>
          <w:rFonts w:ascii="Calibri" w:eastAsia="Calibri" w:hAnsi="Calibri" w:cs="Calibri"/>
          <w:sz w:val="22"/>
          <w:szCs w:val="22"/>
        </w:rPr>
        <w:t>Insurance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Industry. En: Altman &amp; Vanderhoof (eds.), The </w:t>
      </w:r>
      <w:proofErr w:type="spellStart"/>
      <w:r>
        <w:rPr>
          <w:rFonts w:ascii="Calibri" w:eastAsia="Calibri" w:hAnsi="Calibri" w:cs="Calibri"/>
          <w:sz w:val="22"/>
          <w:szCs w:val="22"/>
        </w:rPr>
        <w:t>Financial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Dynamics of the </w:t>
      </w:r>
      <w:proofErr w:type="spellStart"/>
      <w:r>
        <w:rPr>
          <w:rFonts w:ascii="Calibri" w:eastAsia="Calibri" w:hAnsi="Calibri" w:cs="Calibri"/>
          <w:sz w:val="22"/>
          <w:szCs w:val="22"/>
        </w:rPr>
        <w:t>Insurance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Industry. Irwin.</w:t>
      </w:r>
    </w:p>
    <w:p w14:paraId="19F11918" w14:textId="77777777" w:rsidR="00CB369F" w:rsidRDefault="00000000">
      <w:pPr>
        <w:spacing w:before="80" w:after="80"/>
        <w:ind w:left="720"/>
        <w:jc w:val="both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     Marco de ALM para vida con extensión a ramos de larga duración (LTD, anualidades).</w:t>
      </w:r>
    </w:p>
    <w:p w14:paraId="19F11919" w14:textId="77777777" w:rsidR="00CB369F" w:rsidRDefault="00CB369F">
      <w:pPr>
        <w:spacing w:before="80" w:after="80"/>
        <w:jc w:val="both"/>
      </w:pPr>
    </w:p>
    <w:p w14:paraId="19F1191A" w14:textId="77777777" w:rsidR="00CB369F" w:rsidRDefault="00000000">
      <w:pPr>
        <w:pStyle w:val="Prrafodelista"/>
        <w:numPr>
          <w:ilvl w:val="0"/>
          <w:numId w:val="1"/>
        </w:numPr>
        <w:spacing w:before="40" w:after="40"/>
        <w:ind w:left="504" w:hanging="316"/>
      </w:pPr>
      <w:r>
        <w:rPr>
          <w:rFonts w:ascii="Calibri" w:eastAsia="Calibri" w:hAnsi="Calibri" w:cs="Calibri"/>
          <w:sz w:val="22"/>
          <w:szCs w:val="22"/>
        </w:rPr>
        <w:t xml:space="preserve">[9] CIA (2023). </w:t>
      </w:r>
      <w:proofErr w:type="spellStart"/>
      <w:r>
        <w:rPr>
          <w:rFonts w:ascii="Calibri" w:eastAsia="Calibri" w:hAnsi="Calibri" w:cs="Calibri"/>
          <w:sz w:val="22"/>
          <w:szCs w:val="22"/>
        </w:rPr>
        <w:t>Educational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Note: </w:t>
      </w:r>
      <w:proofErr w:type="spellStart"/>
      <w:r>
        <w:rPr>
          <w:rFonts w:ascii="Calibri" w:eastAsia="Calibri" w:hAnsi="Calibri" w:cs="Calibri"/>
          <w:sz w:val="22"/>
          <w:szCs w:val="22"/>
        </w:rPr>
        <w:t>Duration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Considerations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P&amp;C </w:t>
      </w:r>
      <w:proofErr w:type="spellStart"/>
      <w:r>
        <w:rPr>
          <w:rFonts w:ascii="Calibri" w:eastAsia="Calibri" w:hAnsi="Calibri" w:cs="Calibri"/>
          <w:sz w:val="22"/>
          <w:szCs w:val="22"/>
        </w:rPr>
        <w:t>Insurers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Canadian </w:t>
      </w:r>
      <w:proofErr w:type="spellStart"/>
      <w:r>
        <w:rPr>
          <w:rFonts w:ascii="Calibri" w:eastAsia="Calibri" w:hAnsi="Calibri" w:cs="Calibri"/>
          <w:sz w:val="22"/>
          <w:szCs w:val="22"/>
        </w:rPr>
        <w:t>Institute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Actuaries.</w:t>
      </w:r>
    </w:p>
    <w:p w14:paraId="19F1191B" w14:textId="77777777" w:rsidR="00CB369F" w:rsidRDefault="00000000">
      <w:pPr>
        <w:spacing w:before="80" w:after="80"/>
        <w:ind w:left="720"/>
        <w:jc w:val="both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     Nota educativa vigente sobre el cálculo de duración para el MCT (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Canada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). Aplica IFRS 17 y equivalentes de Solvencia II.</w:t>
      </w:r>
    </w:p>
    <w:p w14:paraId="19F1191C" w14:textId="77777777" w:rsidR="00CB369F" w:rsidRDefault="00CB369F">
      <w:pPr>
        <w:spacing w:before="80" w:after="80"/>
        <w:jc w:val="both"/>
      </w:pPr>
    </w:p>
    <w:p w14:paraId="19F1191D" w14:textId="77777777" w:rsidR="00CB369F" w:rsidRDefault="00000000">
      <w:pPr>
        <w:pStyle w:val="Prrafodelista"/>
        <w:numPr>
          <w:ilvl w:val="0"/>
          <w:numId w:val="1"/>
        </w:numPr>
        <w:spacing w:before="40" w:after="40"/>
        <w:ind w:left="504" w:hanging="316"/>
      </w:pPr>
      <w:r>
        <w:rPr>
          <w:rFonts w:ascii="Calibri" w:eastAsia="Calibri" w:hAnsi="Calibri" w:cs="Calibri"/>
          <w:sz w:val="22"/>
          <w:szCs w:val="22"/>
        </w:rPr>
        <w:t xml:space="preserve">[10] IAA (2025). IAA Risk Book: </w:t>
      </w:r>
      <w:proofErr w:type="spellStart"/>
      <w:r>
        <w:rPr>
          <w:rFonts w:ascii="Calibri" w:eastAsia="Calibri" w:hAnsi="Calibri" w:cs="Calibri"/>
          <w:sz w:val="22"/>
          <w:szCs w:val="22"/>
        </w:rPr>
        <w:t>Asset-Liability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Management. International Actuarial </w:t>
      </w:r>
      <w:proofErr w:type="spellStart"/>
      <w:r>
        <w:rPr>
          <w:rFonts w:ascii="Calibri" w:eastAsia="Calibri" w:hAnsi="Calibri" w:cs="Calibri"/>
          <w:sz w:val="22"/>
          <w:szCs w:val="22"/>
        </w:rPr>
        <w:t>Association</w:t>
      </w:r>
      <w:proofErr w:type="spellEnd"/>
      <w:r>
        <w:rPr>
          <w:rFonts w:ascii="Calibri" w:eastAsia="Calibri" w:hAnsi="Calibri" w:cs="Calibri"/>
          <w:sz w:val="22"/>
          <w:szCs w:val="22"/>
        </w:rPr>
        <w:t>, julio 2025.</w:t>
      </w:r>
    </w:p>
    <w:p w14:paraId="19F1191E" w14:textId="77777777" w:rsidR="00CB369F" w:rsidRDefault="00000000">
      <w:pPr>
        <w:spacing w:before="80" w:after="80"/>
        <w:ind w:left="720"/>
        <w:jc w:val="both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     Referencia global más reciente sobre ALM actuarial. Cubre DV01, duración de Macaulay, duración efectiva y convexidad para todos los ramos.</w:t>
      </w:r>
    </w:p>
    <w:p w14:paraId="19F1191F" w14:textId="77777777" w:rsidR="00CB369F" w:rsidRDefault="00CB369F">
      <w:pPr>
        <w:spacing w:before="80" w:after="80"/>
        <w:jc w:val="both"/>
      </w:pPr>
    </w:p>
    <w:p w14:paraId="19F11920" w14:textId="77777777" w:rsidR="00CB369F" w:rsidRDefault="00000000">
      <w:pPr>
        <w:pStyle w:val="Prrafodelista"/>
        <w:numPr>
          <w:ilvl w:val="0"/>
          <w:numId w:val="1"/>
        </w:numPr>
        <w:spacing w:before="40" w:after="40"/>
        <w:ind w:left="504" w:hanging="316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[11] NAIC (2013). </w:t>
      </w:r>
      <w:proofErr w:type="spellStart"/>
      <w:r>
        <w:rPr>
          <w:rFonts w:ascii="Calibri" w:eastAsia="Calibri" w:hAnsi="Calibri" w:cs="Calibri"/>
          <w:sz w:val="22"/>
          <w:szCs w:val="22"/>
        </w:rPr>
        <w:t>Quantifying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Market Risk: </w:t>
      </w:r>
      <w:proofErr w:type="spellStart"/>
      <w:r>
        <w:rPr>
          <w:rFonts w:ascii="Calibri" w:eastAsia="Calibri" w:hAnsi="Calibri" w:cs="Calibri"/>
          <w:sz w:val="22"/>
          <w:szCs w:val="22"/>
        </w:rPr>
        <w:t>Duration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Convexity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Capital </w:t>
      </w:r>
      <w:proofErr w:type="spellStart"/>
      <w:r>
        <w:rPr>
          <w:rFonts w:ascii="Calibri" w:eastAsia="Calibri" w:hAnsi="Calibri" w:cs="Calibri"/>
          <w:sz w:val="22"/>
          <w:szCs w:val="22"/>
        </w:rPr>
        <w:t>Markets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Bureau.</w:t>
      </w:r>
    </w:p>
    <w:p w14:paraId="19F11921" w14:textId="77777777" w:rsidR="00CB369F" w:rsidRDefault="00000000">
      <w:pPr>
        <w:spacing w:before="80" w:after="80"/>
        <w:ind w:left="720"/>
        <w:jc w:val="both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     Datos de industria P&amp;C </w:t>
      </w: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EE.UU.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: duración media de activos 3.9 años (26 compañías P&amp;C, 2013); vida 5.6 años.</w:t>
      </w:r>
    </w:p>
    <w:p w14:paraId="19F11922" w14:textId="77777777" w:rsidR="00CB369F" w:rsidRDefault="00CB369F">
      <w:pPr>
        <w:spacing w:before="80" w:after="80"/>
        <w:jc w:val="both"/>
      </w:pPr>
    </w:p>
    <w:p w14:paraId="19F11923" w14:textId="77777777" w:rsidR="00CB369F" w:rsidRDefault="00000000">
      <w:pPr>
        <w:pStyle w:val="Prrafodelista"/>
        <w:numPr>
          <w:ilvl w:val="0"/>
          <w:numId w:val="1"/>
        </w:numPr>
        <w:spacing w:before="40" w:after="40"/>
        <w:ind w:left="504" w:hanging="316"/>
      </w:pPr>
      <w:r>
        <w:rPr>
          <w:rFonts w:ascii="Calibri" w:eastAsia="Calibri" w:hAnsi="Calibri" w:cs="Calibri"/>
          <w:sz w:val="22"/>
          <w:szCs w:val="22"/>
        </w:rPr>
        <w:t xml:space="preserve">[12] Milliman (2019). Cash Flow </w:t>
      </w:r>
      <w:proofErr w:type="spellStart"/>
      <w:r>
        <w:rPr>
          <w:rFonts w:ascii="Calibri" w:eastAsia="Calibri" w:hAnsi="Calibri" w:cs="Calibri"/>
          <w:sz w:val="22"/>
          <w:szCs w:val="22"/>
        </w:rPr>
        <w:t>Duration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Actuarial </w:t>
      </w:r>
      <w:proofErr w:type="spellStart"/>
      <w:r>
        <w:rPr>
          <w:rFonts w:ascii="Calibri" w:eastAsia="Calibri" w:hAnsi="Calibri" w:cs="Calibri"/>
          <w:sz w:val="22"/>
          <w:szCs w:val="22"/>
        </w:rPr>
        <w:t>Liabilities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Milliman </w:t>
      </w:r>
      <w:proofErr w:type="spellStart"/>
      <w:r>
        <w:rPr>
          <w:rFonts w:ascii="Calibri" w:eastAsia="Calibri" w:hAnsi="Calibri" w:cs="Calibri"/>
          <w:sz w:val="22"/>
          <w:szCs w:val="22"/>
        </w:rPr>
        <w:t>Insight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9F11924" w14:textId="77777777" w:rsidR="00CB369F" w:rsidRDefault="00000000">
      <w:pPr>
        <w:spacing w:before="80" w:after="80"/>
        <w:ind w:left="720"/>
        <w:jc w:val="both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     Aplicación al contexto de pensiones y vida. Comparación entre planes congelados, abiertos y de suma alzada.</w:t>
      </w:r>
    </w:p>
    <w:sectPr w:rsidR="00CB369F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81964"/>
    <w:multiLevelType w:val="hybridMultilevel"/>
    <w:tmpl w:val="B42EBD6C"/>
    <w:lvl w:ilvl="0" w:tplc="6CDCBF2C">
      <w:start w:val="1"/>
      <w:numFmt w:val="bullet"/>
      <w:lvlText w:val="●"/>
      <w:lvlJc w:val="left"/>
      <w:pPr>
        <w:ind w:left="720" w:hanging="360"/>
      </w:pPr>
    </w:lvl>
    <w:lvl w:ilvl="1" w:tplc="915C121A">
      <w:start w:val="1"/>
      <w:numFmt w:val="bullet"/>
      <w:lvlText w:val="○"/>
      <w:lvlJc w:val="left"/>
      <w:pPr>
        <w:ind w:left="1440" w:hanging="360"/>
      </w:pPr>
    </w:lvl>
    <w:lvl w:ilvl="2" w:tplc="F3361906">
      <w:start w:val="1"/>
      <w:numFmt w:val="bullet"/>
      <w:lvlText w:val="■"/>
      <w:lvlJc w:val="left"/>
      <w:pPr>
        <w:ind w:left="2160" w:hanging="360"/>
      </w:pPr>
    </w:lvl>
    <w:lvl w:ilvl="3" w:tplc="4F5C0F06">
      <w:start w:val="1"/>
      <w:numFmt w:val="bullet"/>
      <w:lvlText w:val="●"/>
      <w:lvlJc w:val="left"/>
      <w:pPr>
        <w:ind w:left="2880" w:hanging="360"/>
      </w:pPr>
    </w:lvl>
    <w:lvl w:ilvl="4" w:tplc="D828116E">
      <w:start w:val="1"/>
      <w:numFmt w:val="bullet"/>
      <w:lvlText w:val="○"/>
      <w:lvlJc w:val="left"/>
      <w:pPr>
        <w:ind w:left="3600" w:hanging="360"/>
      </w:pPr>
    </w:lvl>
    <w:lvl w:ilvl="5" w:tplc="0644D346">
      <w:start w:val="1"/>
      <w:numFmt w:val="bullet"/>
      <w:lvlText w:val="■"/>
      <w:lvlJc w:val="left"/>
      <w:pPr>
        <w:ind w:left="4320" w:hanging="360"/>
      </w:pPr>
    </w:lvl>
    <w:lvl w:ilvl="6" w:tplc="B3C05CC8">
      <w:start w:val="1"/>
      <w:numFmt w:val="bullet"/>
      <w:lvlText w:val="●"/>
      <w:lvlJc w:val="left"/>
      <w:pPr>
        <w:ind w:left="5040" w:hanging="360"/>
      </w:pPr>
    </w:lvl>
    <w:lvl w:ilvl="7" w:tplc="C5F4DAD8">
      <w:start w:val="1"/>
      <w:numFmt w:val="bullet"/>
      <w:lvlText w:val="●"/>
      <w:lvlJc w:val="left"/>
      <w:pPr>
        <w:ind w:left="5760" w:hanging="360"/>
      </w:pPr>
    </w:lvl>
    <w:lvl w:ilvl="8" w:tplc="2746F27A">
      <w:start w:val="1"/>
      <w:numFmt w:val="bullet"/>
      <w:lvlText w:val="●"/>
      <w:lvlJc w:val="left"/>
      <w:pPr>
        <w:ind w:left="6480" w:hanging="360"/>
      </w:pPr>
    </w:lvl>
  </w:abstractNum>
  <w:num w:numId="1" w16cid:durableId="17139203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69F"/>
    <w:rsid w:val="00084765"/>
    <w:rsid w:val="00AB00F2"/>
    <w:rsid w:val="00CB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182D"/>
  <w15:docId w15:val="{A5B29A2C-21CB-4B89-9C19-BD59D3C2A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rFonts w:ascii="Calibri" w:eastAsia="Calibri" w:hAnsi="Calibri" w:cs="Calibri"/>
      <w:b/>
      <w:bCs/>
      <w:color w:val="1E3A5F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rFonts w:ascii="Calibri" w:eastAsia="Calibri" w:hAnsi="Calibri" w:cs="Calibri"/>
      <w:b/>
      <w:bCs/>
      <w:color w:val="2E6DA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alibri" w:eastAsia="Calibri" w:hAnsi="Calibri" w:cs="Calibri"/>
      <w:b/>
      <w:bCs/>
      <w:color w:val="2E6DA4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2119</Words>
  <Characters>11655</Characters>
  <Application>Microsoft Office Word</Application>
  <DocSecurity>0</DocSecurity>
  <Lines>97</Lines>
  <Paragraphs>27</Paragraphs>
  <ScaleCrop>false</ScaleCrop>
  <Company/>
  <LinksUpToDate>false</LinksUpToDate>
  <CharactersWithSpaces>13747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Karla Eugenia Medina Diaz</cp:lastModifiedBy>
  <cp:revision>2</cp:revision>
  <dcterms:created xsi:type="dcterms:W3CDTF">2026-08-29T16:53:00Z</dcterms:created>
  <dcterms:modified xsi:type="dcterms:W3CDTF">2026-09-03T01:12:00Z</dcterms:modified>
</cp:coreProperties>
</file>