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D33E0" w14:textId="58E8FF7B" w:rsidR="00F36639" w:rsidRPr="00BD4D3E" w:rsidRDefault="00000000">
      <w:pPr>
        <w:pStyle w:val="Title"/>
        <w:rPr>
          <w:sz w:val="44"/>
          <w:szCs w:val="44"/>
        </w:rPr>
      </w:pPr>
      <w:r w:rsidRPr="00BD4D3E">
        <w:rPr>
          <w:sz w:val="44"/>
          <w:szCs w:val="44"/>
        </w:rPr>
        <w:t>Kenya Maize Report</w:t>
      </w:r>
    </w:p>
    <w:p w14:paraId="41EC07CB" w14:textId="77777777" w:rsidR="00F36639" w:rsidRDefault="00000000">
      <w:pPr>
        <w:pStyle w:val="Heading1"/>
      </w:pPr>
      <w:r>
        <w:t>Executive Summary</w:t>
      </w:r>
    </w:p>
    <w:p w14:paraId="16F3D469" w14:textId="77777777" w:rsidR="00F36639" w:rsidRDefault="00000000">
      <w:r>
        <w:t>Maize remains Kenya’s staple crop, integral to food security and rural livelihoods. Despite being the dominant cereal, the sector faces persistent challenges such as erratic rainfall, low yields, regional disparities, and volatile prices. This integrated report consolidates production data, supply-demand analysis, price trends, and productivity constraints to inform strategic planning and policy direction.</w:t>
      </w:r>
      <w:r>
        <w:br/>
      </w:r>
      <w:r>
        <w:br/>
        <w:t>From 2012–2024, maize production has fluctuated between 3.2 to 4.5 million tonnes, with notable dips during drought years (e.g., 2017, 2024). Although Kenya experienced a modest surplus in 2023, demand is projected to rise to over 4.5 million tonnes by 2030. Addressing structural bottlenecks—particularly low yields (1.5–2.0 MT/ha vs. 5–6 MT/ha potential), weak market systems, and climate variability—is essential for food security.</w:t>
      </w:r>
    </w:p>
    <w:p w14:paraId="23287592" w14:textId="77777777" w:rsidR="00F36639" w:rsidRDefault="00000000">
      <w:pPr>
        <w:pStyle w:val="Heading1"/>
      </w:pPr>
      <w:r>
        <w:t>1. Production Trends and Spatial Distribution</w:t>
      </w:r>
    </w:p>
    <w:p w14:paraId="62332912" w14:textId="77777777" w:rsidR="00F36639" w:rsidRDefault="00000000">
      <w:r>
        <w:t>- National Production: From 2012 to 2020, production ranged between 3.2–3.9 million MT. By 2023, it reached 4.38 million MT but dropped 6% in 2024 due to rainfall irregularities.</w:t>
      </w:r>
    </w:p>
    <w:p w14:paraId="5FBB78DF" w14:textId="77777777" w:rsidR="00F36639" w:rsidRDefault="00000000">
      <w:r>
        <w:t>- Top Producing Counties: Trans Nzoia, Uasin Gishu, Bungoma, Kakamega, and Nandi consistently lead output, contributing over 40% of national maize.</w:t>
      </w:r>
    </w:p>
    <w:p w14:paraId="3618DAFA" w14:textId="77777777" w:rsidR="00F36639" w:rsidRDefault="00000000">
      <w:r>
        <w:t>- Low-Performing Regions: ASALs such as Turkana, Wajir, and Garissa produce minimal maize and depend on inter-regional or cross-border imports.</w:t>
      </w:r>
    </w:p>
    <w:p w14:paraId="72958C19" w14:textId="77777777" w:rsidR="00F36639" w:rsidRDefault="00000000">
      <w:pPr>
        <w:pStyle w:val="Heading1"/>
      </w:pPr>
      <w:r>
        <w:t>2. Yield and Productivity Dynamics</w:t>
      </w:r>
    </w:p>
    <w:p w14:paraId="6E2C8EC5" w14:textId="77777777" w:rsidR="00F36639" w:rsidRDefault="00000000">
      <w:r>
        <w:t>- National Yield Average: Stagnates at 1.5–1.8 MT/ha, well below the agro-ecological potential of 5–6 MT/ha.</w:t>
      </w:r>
    </w:p>
    <w:p w14:paraId="3E6E06CA" w14:textId="77777777" w:rsidR="00F36639" w:rsidRDefault="00000000">
      <w:r>
        <w:t>- Constraints:</w:t>
      </w:r>
    </w:p>
    <w:p w14:paraId="1E074A87" w14:textId="77777777" w:rsidR="00F36639" w:rsidRDefault="00000000">
      <w:r>
        <w:t xml:space="preserve">  - Low adoption of certified seeds and proper fertilization (under 50% usage).</w:t>
      </w:r>
    </w:p>
    <w:p w14:paraId="18C2DA0A" w14:textId="77777777" w:rsidR="00F36639" w:rsidRDefault="00000000">
      <w:r>
        <w:t xml:space="preserve">  - Climate shocks: droughts, floods, and erratic rainfall.</w:t>
      </w:r>
    </w:p>
    <w:p w14:paraId="06335F91" w14:textId="77777777" w:rsidR="00F36639" w:rsidRDefault="00000000">
      <w:r>
        <w:t xml:space="preserve">  - Pests: Fall Armyworm and Maize Lethal Necrosis Disease.</w:t>
      </w:r>
    </w:p>
    <w:p w14:paraId="7BE5FE69" w14:textId="77777777" w:rsidR="00F36639" w:rsidRDefault="00000000">
      <w:r>
        <w:t xml:space="preserve">  - Post-harvest losses: 20–30% due to inadequate storage.</w:t>
      </w:r>
    </w:p>
    <w:p w14:paraId="415DFFF3" w14:textId="77777777" w:rsidR="00F36639" w:rsidRDefault="00000000">
      <w:r>
        <w:t>- Opportunities:</w:t>
      </w:r>
    </w:p>
    <w:p w14:paraId="4E30E637" w14:textId="77777777" w:rsidR="00F36639" w:rsidRDefault="00000000">
      <w:r>
        <w:t xml:space="preserve">  - Irrigation (currently &lt;4% coverage).</w:t>
      </w:r>
    </w:p>
    <w:p w14:paraId="44FCBD1F" w14:textId="77777777" w:rsidR="00F36639" w:rsidRDefault="00000000">
      <w:r>
        <w:lastRenderedPageBreak/>
        <w:t xml:space="preserve">  - Climate-smart varieties and conservation agriculture.</w:t>
      </w:r>
    </w:p>
    <w:p w14:paraId="2EF032BE" w14:textId="77777777" w:rsidR="00F36639" w:rsidRDefault="00000000">
      <w:r>
        <w:t xml:space="preserve">  - Training and extension services to disseminate agronomic best practices.</w:t>
      </w:r>
    </w:p>
    <w:p w14:paraId="4FD76CC1" w14:textId="77777777" w:rsidR="00F36639" w:rsidRDefault="00000000">
      <w:pPr>
        <w:pStyle w:val="Heading1"/>
      </w:pPr>
      <w:r>
        <w:t>3. Supply and Demand Analysis</w:t>
      </w:r>
    </w:p>
    <w:p w14:paraId="1673F7C4" w14:textId="77777777" w:rsidR="00F36639" w:rsidRDefault="00000000">
      <w:r>
        <w:t>- Current Balance: Despite a recent production dip in 2024, Kenya maintained a surplus—consuming ~3.3–3.5 million MT while producing ~4.3–4.5 million MT.</w:t>
      </w:r>
    </w:p>
    <w:p w14:paraId="79F4D0E6" w14:textId="77777777" w:rsidR="00F36639" w:rsidRDefault="00000000">
      <w:r>
        <w:t>- Consumption Trends:</w:t>
      </w:r>
    </w:p>
    <w:p w14:paraId="3FFEF852" w14:textId="77777777" w:rsidR="00F36639" w:rsidRDefault="00000000">
      <w:r>
        <w:t xml:space="preserve">  - 70% household (mainly ugali).</w:t>
      </w:r>
    </w:p>
    <w:p w14:paraId="338949DE" w14:textId="77777777" w:rsidR="00F36639" w:rsidRDefault="00000000">
      <w:r>
        <w:t xml:space="preserve">  - 20% animal feed.</w:t>
      </w:r>
    </w:p>
    <w:p w14:paraId="34E38897" w14:textId="77777777" w:rsidR="00F36639" w:rsidRDefault="00000000">
      <w:r>
        <w:t xml:space="preserve">  - 10% industrial uses (brewing, starch).</w:t>
      </w:r>
    </w:p>
    <w:p w14:paraId="17FBD283" w14:textId="77777777" w:rsidR="00F36639" w:rsidRDefault="00000000">
      <w:r>
        <w:t>- Growth Projection:</w:t>
      </w:r>
    </w:p>
    <w:p w14:paraId="32C7B445" w14:textId="77777777" w:rsidR="00F36639" w:rsidRDefault="00000000">
      <w:r>
        <w:t xml:space="preserve">  - Per capita demand: 100–120 kg/year.</w:t>
      </w:r>
    </w:p>
    <w:p w14:paraId="325B9C40" w14:textId="77777777" w:rsidR="00F36639" w:rsidRDefault="00000000">
      <w:r>
        <w:t xml:space="preserve">  - Population-driven demand expected to reach 4.5 million MT by 2030.</w:t>
      </w:r>
    </w:p>
    <w:p w14:paraId="7F860D47" w14:textId="77777777" w:rsidR="00F36639" w:rsidRDefault="00000000">
      <w:pPr>
        <w:pStyle w:val="Heading1"/>
      </w:pPr>
      <w:r>
        <w:t>4. Price and Market Dynamics</w:t>
      </w:r>
    </w:p>
    <w:p w14:paraId="54B84850" w14:textId="77777777" w:rsidR="00F36639" w:rsidRDefault="00000000">
      <w:r>
        <w:t>- Seasonal Patterns:</w:t>
      </w:r>
    </w:p>
    <w:p w14:paraId="3CBB1814" w14:textId="77777777" w:rsidR="00F36639" w:rsidRDefault="00000000">
      <w:r>
        <w:t xml:space="preserve">  - Peak Prices: March–May and September–October (pre-harvest).</w:t>
      </w:r>
    </w:p>
    <w:p w14:paraId="70978A22" w14:textId="77777777" w:rsidR="00F36639" w:rsidRDefault="00000000">
      <w:r>
        <w:t xml:space="preserve">  - Low Prices: October–December (post-harvest).</w:t>
      </w:r>
    </w:p>
    <w:p w14:paraId="009B3683" w14:textId="77777777" w:rsidR="00F36639" w:rsidRDefault="00000000">
      <w:r>
        <w:t>- Regional Disparities:</w:t>
      </w:r>
    </w:p>
    <w:p w14:paraId="5D86F251" w14:textId="77777777" w:rsidR="00F36639" w:rsidRDefault="00000000">
      <w:r>
        <w:t xml:space="preserve">  - Rift Valley (Eldoret, Kitale): KSh 25–45/kg during harvest.</w:t>
      </w:r>
    </w:p>
    <w:p w14:paraId="1D0AE625" w14:textId="77777777" w:rsidR="00F36639" w:rsidRDefault="00000000">
      <w:r>
        <w:t xml:space="preserve">  - Nairobi, ASALs: up to KSh 60–90/kg, reflecting transport and scarcity.</w:t>
      </w:r>
    </w:p>
    <w:p w14:paraId="462BDAC7" w14:textId="77777777" w:rsidR="00F36639" w:rsidRDefault="00000000">
      <w:r>
        <w:t>- Price Trends:</w:t>
      </w:r>
    </w:p>
    <w:p w14:paraId="1B74ED1F" w14:textId="77777777" w:rsidR="00F36639" w:rsidRDefault="00000000">
      <w:r>
        <w:t xml:space="preserve">  - Upward trend over past decade.</w:t>
      </w:r>
    </w:p>
    <w:p w14:paraId="6FB97628" w14:textId="77777777" w:rsidR="00F36639" w:rsidRDefault="00000000">
      <w:r>
        <w:t xml:space="preserve">  - Interventions like subsidies and Strategic Grain Reserves have limited but not eliminated volatility.</w:t>
      </w:r>
    </w:p>
    <w:p w14:paraId="38F6C9B4" w14:textId="77777777" w:rsidR="00F36639" w:rsidRDefault="00000000">
      <w:pPr>
        <w:pStyle w:val="Heading1"/>
      </w:pPr>
      <w:r>
        <w:t>5. Data and Analytical Gaps</w:t>
      </w:r>
    </w:p>
    <w:p w14:paraId="6EA4CAE4" w14:textId="77777777" w:rsidR="00F36639" w:rsidRDefault="00000000">
      <w:r>
        <w:t>- Data Quality: Disparities in county data and missing variables (e.g., input types, weather, pest incidence) complicate productivity analysis.</w:t>
      </w:r>
    </w:p>
    <w:p w14:paraId="43087820" w14:textId="77777777" w:rsidR="00F36639" w:rsidRDefault="00000000">
      <w:r>
        <w:lastRenderedPageBreak/>
        <w:t>- Technology Use:</w:t>
      </w:r>
    </w:p>
    <w:p w14:paraId="36F541A9" w14:textId="77777777" w:rsidR="00F36639" w:rsidRDefault="00000000">
      <w:r>
        <w:t xml:space="preserve">  - Emerging digital tools (weather apps, SMS advisories).</w:t>
      </w:r>
    </w:p>
    <w:p w14:paraId="79E4C8A8" w14:textId="77777777" w:rsidR="00F36639" w:rsidRDefault="00000000">
      <w:r>
        <w:t xml:space="preserve">  - Remote sensing and satellite mapping for production forecasting.</w:t>
      </w:r>
    </w:p>
    <w:p w14:paraId="7C143168" w14:textId="77777777" w:rsidR="00BD4D3E" w:rsidRDefault="00BD4D3E"/>
    <w:p w14:paraId="68B5CEFF" w14:textId="2B9A77E4" w:rsidR="00BD4D3E" w:rsidRDefault="00BD4D3E" w:rsidP="00BD4D3E">
      <w:pPr>
        <w:pStyle w:val="Heading1"/>
      </w:pPr>
      <w:r>
        <w:t>6</w:t>
      </w:r>
      <w:r>
        <w:t xml:space="preserve">. </w:t>
      </w:r>
      <w:r w:rsidRPr="00A20F8D">
        <w:t>Productivity Challenges</w:t>
      </w:r>
    </w:p>
    <w:p w14:paraId="1554CB5F" w14:textId="77777777" w:rsidR="00BD4D3E" w:rsidRPr="00A20F8D" w:rsidRDefault="00BD4D3E" w:rsidP="00BD4D3E">
      <w:pPr>
        <w:rPr>
          <w:b/>
          <w:bCs/>
        </w:rPr>
      </w:pPr>
      <w:r w:rsidRPr="00A20F8D">
        <w:rPr>
          <w:b/>
          <w:bCs/>
        </w:rPr>
        <w:t>Key Productivity Constraints</w:t>
      </w:r>
    </w:p>
    <w:p w14:paraId="710ACA7C" w14:textId="77777777" w:rsidR="00BD4D3E" w:rsidRPr="00A20F8D" w:rsidRDefault="00BD4D3E" w:rsidP="00BD4D3E">
      <w:r w:rsidRPr="00A20F8D">
        <w:t>Several factors constrain maize productivity among smallholder farmers:</w:t>
      </w:r>
    </w:p>
    <w:p w14:paraId="4606E21F" w14:textId="77777777" w:rsidR="00BD4D3E" w:rsidRPr="00A20F8D" w:rsidRDefault="00BD4D3E" w:rsidP="00BD4D3E">
      <w:pPr>
        <w:numPr>
          <w:ilvl w:val="0"/>
          <w:numId w:val="10"/>
        </w:numPr>
        <w:spacing w:after="160" w:line="278" w:lineRule="auto"/>
      </w:pPr>
      <w:r w:rsidRPr="00A20F8D">
        <w:rPr>
          <w:b/>
          <w:bCs/>
        </w:rPr>
        <w:t>Limited Access to Quality Inputs</w:t>
      </w:r>
      <w:r w:rsidRPr="00A20F8D">
        <w:t xml:space="preserve">: </w:t>
      </w:r>
    </w:p>
    <w:p w14:paraId="111D8878" w14:textId="77777777" w:rsidR="00BD4D3E" w:rsidRPr="00A20F8D" w:rsidRDefault="00BD4D3E" w:rsidP="00BD4D3E">
      <w:pPr>
        <w:numPr>
          <w:ilvl w:val="1"/>
          <w:numId w:val="10"/>
        </w:numPr>
        <w:spacing w:after="160" w:line="278" w:lineRule="auto"/>
      </w:pPr>
      <w:r w:rsidRPr="00A20F8D">
        <w:t>Only 55-60% of farmers use certified seeds</w:t>
      </w:r>
    </w:p>
    <w:p w14:paraId="350928D4" w14:textId="77777777" w:rsidR="00BD4D3E" w:rsidRPr="00A20F8D" w:rsidRDefault="00BD4D3E" w:rsidP="00BD4D3E">
      <w:pPr>
        <w:numPr>
          <w:ilvl w:val="1"/>
          <w:numId w:val="10"/>
        </w:numPr>
        <w:spacing w:after="160" w:line="278" w:lineRule="auto"/>
      </w:pPr>
      <w:r w:rsidRPr="00A20F8D">
        <w:t>Less than 40% apply recommended fertilizer rates</w:t>
      </w:r>
    </w:p>
    <w:p w14:paraId="3B702090" w14:textId="77777777" w:rsidR="00BD4D3E" w:rsidRPr="00A20F8D" w:rsidRDefault="00BD4D3E" w:rsidP="00BD4D3E">
      <w:pPr>
        <w:numPr>
          <w:ilvl w:val="1"/>
          <w:numId w:val="10"/>
        </w:numPr>
        <w:spacing w:after="160" w:line="278" w:lineRule="auto"/>
      </w:pPr>
      <w:r w:rsidRPr="00A20F8D">
        <w:t>Limited access to credit for input purchases</w:t>
      </w:r>
    </w:p>
    <w:p w14:paraId="579DFC18" w14:textId="77777777" w:rsidR="00BD4D3E" w:rsidRPr="00A20F8D" w:rsidRDefault="00BD4D3E" w:rsidP="00BD4D3E">
      <w:pPr>
        <w:numPr>
          <w:ilvl w:val="0"/>
          <w:numId w:val="10"/>
        </w:numPr>
        <w:spacing w:after="160" w:line="278" w:lineRule="auto"/>
      </w:pPr>
      <w:r w:rsidRPr="00A20F8D">
        <w:rPr>
          <w:b/>
          <w:bCs/>
        </w:rPr>
        <w:t>Climate Variability and Change</w:t>
      </w:r>
      <w:r w:rsidRPr="00A20F8D">
        <w:t xml:space="preserve">: </w:t>
      </w:r>
    </w:p>
    <w:p w14:paraId="62DCFF01" w14:textId="77777777" w:rsidR="00BD4D3E" w:rsidRPr="00A20F8D" w:rsidRDefault="00BD4D3E" w:rsidP="00BD4D3E">
      <w:pPr>
        <w:numPr>
          <w:ilvl w:val="1"/>
          <w:numId w:val="10"/>
        </w:numPr>
        <w:spacing w:after="160" w:line="278" w:lineRule="auto"/>
      </w:pPr>
      <w:r w:rsidRPr="00A20F8D">
        <w:t>Unpredictable rainfall patterns affecting planting decisions</w:t>
      </w:r>
    </w:p>
    <w:p w14:paraId="532FC4D8" w14:textId="77777777" w:rsidR="00BD4D3E" w:rsidRPr="00A20F8D" w:rsidRDefault="00BD4D3E" w:rsidP="00BD4D3E">
      <w:pPr>
        <w:numPr>
          <w:ilvl w:val="1"/>
          <w:numId w:val="10"/>
        </w:numPr>
        <w:spacing w:after="160" w:line="278" w:lineRule="auto"/>
      </w:pPr>
      <w:r w:rsidRPr="00A20F8D">
        <w:t>Increasing frequency of droughts and floods</w:t>
      </w:r>
    </w:p>
    <w:p w14:paraId="6A9F797E" w14:textId="77777777" w:rsidR="00BD4D3E" w:rsidRPr="00A20F8D" w:rsidRDefault="00BD4D3E" w:rsidP="00BD4D3E">
      <w:pPr>
        <w:numPr>
          <w:ilvl w:val="1"/>
          <w:numId w:val="10"/>
        </w:numPr>
        <w:spacing w:after="160" w:line="278" w:lineRule="auto"/>
      </w:pPr>
      <w:r w:rsidRPr="00A20F8D">
        <w:t>Rising temperatures affecting crop development</w:t>
      </w:r>
    </w:p>
    <w:p w14:paraId="0304CD9D" w14:textId="77777777" w:rsidR="00BD4D3E" w:rsidRPr="00A20F8D" w:rsidRDefault="00BD4D3E" w:rsidP="00BD4D3E">
      <w:pPr>
        <w:numPr>
          <w:ilvl w:val="1"/>
          <w:numId w:val="10"/>
        </w:numPr>
        <w:spacing w:after="160" w:line="278" w:lineRule="auto"/>
      </w:pPr>
      <w:r w:rsidRPr="00A20F8D">
        <w:t>Limited adoption of irrigation (less than 3% of maize is irrigated)</w:t>
      </w:r>
    </w:p>
    <w:p w14:paraId="6A50B6A8" w14:textId="77777777" w:rsidR="00BD4D3E" w:rsidRPr="00A20F8D" w:rsidRDefault="00BD4D3E" w:rsidP="00BD4D3E">
      <w:pPr>
        <w:numPr>
          <w:ilvl w:val="0"/>
          <w:numId w:val="10"/>
        </w:numPr>
        <w:spacing w:after="160" w:line="278" w:lineRule="auto"/>
      </w:pPr>
      <w:r w:rsidRPr="00A20F8D">
        <w:rPr>
          <w:b/>
          <w:bCs/>
        </w:rPr>
        <w:t>Pest and Disease Challenges</w:t>
      </w:r>
      <w:r w:rsidRPr="00A20F8D">
        <w:t xml:space="preserve">: </w:t>
      </w:r>
    </w:p>
    <w:p w14:paraId="357C34D5" w14:textId="77777777" w:rsidR="00BD4D3E" w:rsidRPr="00A20F8D" w:rsidRDefault="00BD4D3E" w:rsidP="00BD4D3E">
      <w:pPr>
        <w:numPr>
          <w:ilvl w:val="1"/>
          <w:numId w:val="10"/>
        </w:numPr>
        <w:spacing w:after="160" w:line="278" w:lineRule="auto"/>
      </w:pPr>
      <w:r w:rsidRPr="00A20F8D">
        <w:t>Fall Armyworm infestation has become a major threat since 2017</w:t>
      </w:r>
    </w:p>
    <w:p w14:paraId="7903AC23" w14:textId="77777777" w:rsidR="00BD4D3E" w:rsidRPr="00A20F8D" w:rsidRDefault="00BD4D3E" w:rsidP="00BD4D3E">
      <w:pPr>
        <w:numPr>
          <w:ilvl w:val="1"/>
          <w:numId w:val="10"/>
        </w:numPr>
        <w:spacing w:after="160" w:line="278" w:lineRule="auto"/>
      </w:pPr>
      <w:r w:rsidRPr="00A20F8D">
        <w:t>Maize Lethal Necrosis Disease (MLND) affects yields in parts of Kenya</w:t>
      </w:r>
    </w:p>
    <w:p w14:paraId="1CEFB5F9" w14:textId="77777777" w:rsidR="00BD4D3E" w:rsidRPr="00A20F8D" w:rsidRDefault="00BD4D3E" w:rsidP="00BD4D3E">
      <w:pPr>
        <w:numPr>
          <w:ilvl w:val="1"/>
          <w:numId w:val="10"/>
        </w:numPr>
        <w:spacing w:after="160" w:line="278" w:lineRule="auto"/>
      </w:pPr>
      <w:r w:rsidRPr="00A20F8D">
        <w:t>Post-harvest losses estimated at 20-30% due to poor storage</w:t>
      </w:r>
    </w:p>
    <w:p w14:paraId="3324E3A8" w14:textId="77777777" w:rsidR="00BD4D3E" w:rsidRPr="00A20F8D" w:rsidRDefault="00BD4D3E" w:rsidP="00BD4D3E">
      <w:pPr>
        <w:numPr>
          <w:ilvl w:val="0"/>
          <w:numId w:val="10"/>
        </w:numPr>
        <w:spacing w:after="160" w:line="278" w:lineRule="auto"/>
      </w:pPr>
      <w:r w:rsidRPr="00A20F8D">
        <w:rPr>
          <w:b/>
          <w:bCs/>
        </w:rPr>
        <w:t>Limited Extension Services</w:t>
      </w:r>
      <w:r w:rsidRPr="00A20F8D">
        <w:t xml:space="preserve">: </w:t>
      </w:r>
    </w:p>
    <w:p w14:paraId="293E6179" w14:textId="77777777" w:rsidR="00BD4D3E" w:rsidRPr="00A20F8D" w:rsidRDefault="00BD4D3E" w:rsidP="00BD4D3E">
      <w:pPr>
        <w:numPr>
          <w:ilvl w:val="1"/>
          <w:numId w:val="10"/>
        </w:numPr>
        <w:spacing w:after="160" w:line="278" w:lineRule="auto"/>
      </w:pPr>
      <w:r w:rsidRPr="00A20F8D">
        <w:t>Insufficient agricultural advisory services</w:t>
      </w:r>
    </w:p>
    <w:p w14:paraId="592E36B2" w14:textId="77777777" w:rsidR="00BD4D3E" w:rsidRPr="00A20F8D" w:rsidRDefault="00BD4D3E" w:rsidP="00BD4D3E">
      <w:pPr>
        <w:numPr>
          <w:ilvl w:val="1"/>
          <w:numId w:val="10"/>
        </w:numPr>
        <w:spacing w:after="160" w:line="278" w:lineRule="auto"/>
      </w:pPr>
      <w:r w:rsidRPr="00A20F8D">
        <w:t>Low farmer-to-extension officer ratio</w:t>
      </w:r>
    </w:p>
    <w:p w14:paraId="5CF53F67" w14:textId="77777777" w:rsidR="00BD4D3E" w:rsidRPr="00A20F8D" w:rsidRDefault="00BD4D3E" w:rsidP="00BD4D3E">
      <w:pPr>
        <w:numPr>
          <w:ilvl w:val="1"/>
          <w:numId w:val="10"/>
        </w:numPr>
        <w:spacing w:after="160" w:line="278" w:lineRule="auto"/>
      </w:pPr>
      <w:r w:rsidRPr="00A20F8D">
        <w:t>Limited knowledge of modern farming practices</w:t>
      </w:r>
    </w:p>
    <w:p w14:paraId="478E2C1B" w14:textId="77777777" w:rsidR="00BD4D3E" w:rsidRPr="00A20F8D" w:rsidRDefault="00BD4D3E" w:rsidP="00BD4D3E">
      <w:pPr>
        <w:rPr>
          <w:b/>
          <w:bCs/>
        </w:rPr>
      </w:pPr>
      <w:r w:rsidRPr="00A20F8D">
        <w:rPr>
          <w:b/>
          <w:bCs/>
        </w:rPr>
        <w:t>Technology Adoption</w:t>
      </w:r>
    </w:p>
    <w:p w14:paraId="343EF1E8" w14:textId="77777777" w:rsidR="00BD4D3E" w:rsidRPr="00A20F8D" w:rsidRDefault="00BD4D3E" w:rsidP="00BD4D3E">
      <w:r w:rsidRPr="00A20F8D">
        <w:t>Technology adoption remains mixed across different regions:</w:t>
      </w:r>
    </w:p>
    <w:p w14:paraId="6DD332E9" w14:textId="77777777" w:rsidR="00BD4D3E" w:rsidRPr="00A20F8D" w:rsidRDefault="00BD4D3E" w:rsidP="00BD4D3E">
      <w:pPr>
        <w:numPr>
          <w:ilvl w:val="0"/>
          <w:numId w:val="11"/>
        </w:numPr>
        <w:spacing w:after="160" w:line="278" w:lineRule="auto"/>
      </w:pPr>
      <w:r w:rsidRPr="00A20F8D">
        <w:rPr>
          <w:b/>
          <w:bCs/>
        </w:rPr>
        <w:lastRenderedPageBreak/>
        <w:t>Improved Seeds</w:t>
      </w:r>
      <w:r w:rsidRPr="00A20F8D">
        <w:t>: Approximately 60% of farmers use improved varieties, though usage varies significantly by region (80% in high-potential areas vs. 20% in semi-arid regions).</w:t>
      </w:r>
    </w:p>
    <w:p w14:paraId="5A55087B" w14:textId="77777777" w:rsidR="00BD4D3E" w:rsidRPr="00A20F8D" w:rsidRDefault="00BD4D3E" w:rsidP="00BD4D3E">
      <w:pPr>
        <w:numPr>
          <w:ilvl w:val="0"/>
          <w:numId w:val="11"/>
        </w:numPr>
        <w:spacing w:after="160" w:line="278" w:lineRule="auto"/>
      </w:pPr>
      <w:r w:rsidRPr="00A20F8D">
        <w:rPr>
          <w:b/>
          <w:bCs/>
        </w:rPr>
        <w:t>Mechanization</w:t>
      </w:r>
      <w:r w:rsidRPr="00A20F8D">
        <w:t>: Limited use of machinery for land preparation, planting, and harvesting, with less than 30% of maize farmers using tractors.</w:t>
      </w:r>
    </w:p>
    <w:p w14:paraId="0B334FFF" w14:textId="77777777" w:rsidR="00BD4D3E" w:rsidRPr="00A20F8D" w:rsidRDefault="00BD4D3E" w:rsidP="00BD4D3E">
      <w:pPr>
        <w:numPr>
          <w:ilvl w:val="0"/>
          <w:numId w:val="11"/>
        </w:numPr>
        <w:spacing w:after="160" w:line="278" w:lineRule="auto"/>
      </w:pPr>
      <w:r w:rsidRPr="00A20F8D">
        <w:rPr>
          <w:b/>
          <w:bCs/>
        </w:rPr>
        <w:t>Climate-Smart Technologies</w:t>
      </w:r>
      <w:r w:rsidRPr="00A20F8D">
        <w:t xml:space="preserve">: </w:t>
      </w:r>
    </w:p>
    <w:p w14:paraId="4A90A009" w14:textId="77777777" w:rsidR="00BD4D3E" w:rsidRPr="00A20F8D" w:rsidRDefault="00BD4D3E" w:rsidP="00BD4D3E">
      <w:pPr>
        <w:numPr>
          <w:ilvl w:val="1"/>
          <w:numId w:val="11"/>
        </w:numPr>
        <w:spacing w:after="160" w:line="278" w:lineRule="auto"/>
      </w:pPr>
      <w:r w:rsidRPr="00A20F8D">
        <w:t>Drought-tolerant varieties: Increasing adoption, particularly in semi-arid areas</w:t>
      </w:r>
    </w:p>
    <w:p w14:paraId="29584E2A" w14:textId="77777777" w:rsidR="00BD4D3E" w:rsidRDefault="00BD4D3E" w:rsidP="00BD4D3E">
      <w:pPr>
        <w:numPr>
          <w:ilvl w:val="1"/>
          <w:numId w:val="11"/>
        </w:numPr>
        <w:spacing w:after="160" w:line="278" w:lineRule="auto"/>
      </w:pPr>
      <w:r w:rsidRPr="00A20F8D">
        <w:t>Conservation agriculture practices: Limited but growing adoption</w:t>
      </w:r>
    </w:p>
    <w:p w14:paraId="23EC44EC" w14:textId="77777777" w:rsidR="003A48BB" w:rsidRDefault="003A48BB" w:rsidP="003A48BB">
      <w:pPr>
        <w:spacing w:after="160" w:line="278" w:lineRule="auto"/>
      </w:pPr>
    </w:p>
    <w:p w14:paraId="6895DBE2" w14:textId="419DB535" w:rsidR="003A48BB" w:rsidRDefault="003A48BB" w:rsidP="003A48BB">
      <w:pPr>
        <w:pStyle w:val="Heading1"/>
      </w:pPr>
      <w:r>
        <w:t>7</w:t>
      </w:r>
      <w:r>
        <w:t xml:space="preserve">. </w:t>
      </w:r>
      <w:r>
        <w:t>Data Challenges</w:t>
      </w:r>
    </w:p>
    <w:p w14:paraId="3FE833E3" w14:textId="77777777" w:rsidR="003A48BB" w:rsidRPr="003A48BB" w:rsidRDefault="003A48BB" w:rsidP="003A48BB"/>
    <w:p w14:paraId="0B2AB695" w14:textId="77777777" w:rsidR="003A48BB" w:rsidRPr="003A48BB" w:rsidRDefault="003A48BB" w:rsidP="003A48BB">
      <w:pPr>
        <w:spacing w:after="160" w:line="278" w:lineRule="auto"/>
      </w:pPr>
      <w:r w:rsidRPr="003A48BB">
        <w:t>a. Data Inconsistencies and Structure</w:t>
      </w:r>
    </w:p>
    <w:p w14:paraId="00AB3173" w14:textId="7424A5D6" w:rsidR="003A48BB" w:rsidRPr="003A48BB" w:rsidRDefault="003A48BB" w:rsidP="003A48BB">
      <w:pPr>
        <w:spacing w:after="160" w:line="278" w:lineRule="auto"/>
      </w:pPr>
      <w:r w:rsidRPr="003A48BB">
        <w:t xml:space="preserve">- The raw dataset </w:t>
      </w:r>
      <w:r>
        <w:t>acquired was</w:t>
      </w:r>
      <w:r w:rsidRPr="003A48BB">
        <w:t xml:space="preserve"> in a wide format requiring extensive reshaping.</w:t>
      </w:r>
      <w:r w:rsidRPr="003A48BB">
        <w:br/>
        <w:t>- County names in spatial data (GeoJSON) did not always align with those in the CSV, causing merge difficulties.</w:t>
      </w:r>
    </w:p>
    <w:p w14:paraId="4294A88C" w14:textId="77777777" w:rsidR="003A48BB" w:rsidRPr="003A48BB" w:rsidRDefault="003A48BB" w:rsidP="003A48BB">
      <w:pPr>
        <w:spacing w:after="160" w:line="278" w:lineRule="auto"/>
      </w:pPr>
      <w:r w:rsidRPr="003A48BB">
        <w:t>b. Missing and Outlier Data</w:t>
      </w:r>
    </w:p>
    <w:p w14:paraId="5C12DD4C" w14:textId="77777777" w:rsidR="003A48BB" w:rsidRPr="003A48BB" w:rsidRDefault="003A48BB" w:rsidP="003A48BB">
      <w:pPr>
        <w:spacing w:after="160" w:line="278" w:lineRule="auto"/>
      </w:pPr>
      <w:r w:rsidRPr="003A48BB">
        <w:t>- Several counties had years with missing values, potentially distorting trend or yield analysis.</w:t>
      </w:r>
      <w:r w:rsidRPr="003A48BB">
        <w:br/>
        <w:t>- Outlier values were detected (e.g., very high yields in low-harvest counties), indicating potential recording or entry issues.</w:t>
      </w:r>
    </w:p>
    <w:p w14:paraId="5AC09B21" w14:textId="77777777" w:rsidR="003A48BB" w:rsidRPr="003A48BB" w:rsidRDefault="003A48BB" w:rsidP="003A48BB">
      <w:pPr>
        <w:spacing w:after="160" w:line="278" w:lineRule="auto"/>
      </w:pPr>
      <w:r w:rsidRPr="003A48BB">
        <w:t>c. Limited Scope of Variables</w:t>
      </w:r>
    </w:p>
    <w:p w14:paraId="14727E0A" w14:textId="6515CECA" w:rsidR="00BD4D3E" w:rsidRDefault="003A48BB" w:rsidP="003A48BB">
      <w:pPr>
        <w:spacing w:after="160" w:line="278" w:lineRule="auto"/>
      </w:pPr>
      <w:r w:rsidRPr="003A48BB">
        <w:t>- The dataset focused only on harvested area, production, and yield.</w:t>
      </w:r>
      <w:r w:rsidRPr="003A48BB">
        <w:br/>
        <w:t>- Missing contextual drivers such as input usage, seed type, rainfall, or pest incidence constrained productivity diagnosis.</w:t>
      </w:r>
    </w:p>
    <w:p w14:paraId="58F2D42F" w14:textId="03A17BC4" w:rsidR="00F36639" w:rsidRDefault="003A48BB">
      <w:pPr>
        <w:pStyle w:val="Heading1"/>
      </w:pPr>
      <w:r>
        <w:t>8</w:t>
      </w:r>
      <w:r w:rsidR="00000000">
        <w:t>. Strategic Recommendations and Roadmap</w:t>
      </w:r>
    </w:p>
    <w:p w14:paraId="76C2F25A" w14:textId="77777777" w:rsidR="00F36639" w:rsidRDefault="00000000">
      <w:r>
        <w:t>Short-Term (0–1 Year):</w:t>
      </w:r>
    </w:p>
    <w:p w14:paraId="2FD85A63" w14:textId="77777777" w:rsidR="00F36639" w:rsidRDefault="00000000">
      <w:r>
        <w:t>- Standardize agricultural data collection across counties.</w:t>
      </w:r>
    </w:p>
    <w:p w14:paraId="1A104CD4" w14:textId="77777777" w:rsidR="00F36639" w:rsidRDefault="00000000">
      <w:r>
        <w:t>- Launch targeted input subsidy schemes (seeds, fertilizer).</w:t>
      </w:r>
    </w:p>
    <w:p w14:paraId="7E6011B7" w14:textId="77777777" w:rsidR="00F36639" w:rsidRDefault="00000000">
      <w:r>
        <w:t>- Improve pest and drought monitoring systems.</w:t>
      </w:r>
    </w:p>
    <w:p w14:paraId="46949C3B" w14:textId="77777777" w:rsidR="00F36639" w:rsidRDefault="00000000">
      <w:r>
        <w:t>Mid-Term (1–3 Years):</w:t>
      </w:r>
    </w:p>
    <w:p w14:paraId="4E3A5BEC" w14:textId="77777777" w:rsidR="00F36639" w:rsidRDefault="00000000">
      <w:r>
        <w:lastRenderedPageBreak/>
        <w:t>- Expand extension services with mobile and localized content.</w:t>
      </w:r>
    </w:p>
    <w:p w14:paraId="2FE55A6E" w14:textId="77777777" w:rsidR="00F36639" w:rsidRDefault="00000000">
      <w:r>
        <w:t>- Roll out irrigation pilots in ASALs and transition zones.</w:t>
      </w:r>
    </w:p>
    <w:p w14:paraId="0CCB04CE" w14:textId="77777777" w:rsidR="00F36639" w:rsidRDefault="00000000">
      <w:r>
        <w:t>- Promote mechanization services (e.g., tractor hire).</w:t>
      </w:r>
    </w:p>
    <w:p w14:paraId="63841A51" w14:textId="77777777" w:rsidR="00F36639" w:rsidRDefault="00000000">
      <w:r>
        <w:t>Long-Term (3–5 Years):</w:t>
      </w:r>
    </w:p>
    <w:p w14:paraId="5DF27A34" w14:textId="77777777" w:rsidR="00F36639" w:rsidRDefault="00000000">
      <w:r>
        <w:t>- Develop structured trade and aggregation centers.</w:t>
      </w:r>
    </w:p>
    <w:p w14:paraId="3A47027E" w14:textId="77777777" w:rsidR="00F36639" w:rsidRDefault="00000000">
      <w:r>
        <w:t>- Scale climate-resilient maize value chains and storage infrastructure.</w:t>
      </w:r>
    </w:p>
    <w:p w14:paraId="5137814D" w14:textId="77777777" w:rsidR="00F36639" w:rsidRDefault="00000000">
      <w:r>
        <w:t>- Link maize farming with feed, ethanol, and starch industries to diversify demand.</w:t>
      </w:r>
    </w:p>
    <w:p w14:paraId="59684588" w14:textId="77777777" w:rsidR="00F36639" w:rsidRDefault="00000000">
      <w:pPr>
        <w:pStyle w:val="Heading1"/>
      </w:pPr>
      <w:r>
        <w:t>Conclusion</w:t>
      </w:r>
    </w:p>
    <w:p w14:paraId="10405517" w14:textId="77777777" w:rsidR="00F36639" w:rsidRDefault="00000000">
      <w:r>
        <w:t>Kenya’s maize sector stands at a critical juncture. While it has the potential to meet domestic demand through yield improvements and better market integration, this requires a coordinated national effort focused on productivity, resilience, and market efficiency. Implementing the above roadmap can help Kenya achieve maize self-sufficiency and safeguard farmer incomes by 2030.</w:t>
      </w:r>
    </w:p>
    <w:sectPr w:rsidR="00F366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B07713"/>
    <w:multiLevelType w:val="multilevel"/>
    <w:tmpl w:val="B97C6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47343B"/>
    <w:multiLevelType w:val="multilevel"/>
    <w:tmpl w:val="D3481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5114">
    <w:abstractNumId w:val="8"/>
  </w:num>
  <w:num w:numId="2" w16cid:durableId="228927545">
    <w:abstractNumId w:val="6"/>
  </w:num>
  <w:num w:numId="3" w16cid:durableId="756710672">
    <w:abstractNumId w:val="5"/>
  </w:num>
  <w:num w:numId="4" w16cid:durableId="1117870835">
    <w:abstractNumId w:val="4"/>
  </w:num>
  <w:num w:numId="5" w16cid:durableId="731659273">
    <w:abstractNumId w:val="7"/>
  </w:num>
  <w:num w:numId="6" w16cid:durableId="1940066839">
    <w:abstractNumId w:val="3"/>
  </w:num>
  <w:num w:numId="7" w16cid:durableId="1793136383">
    <w:abstractNumId w:val="2"/>
  </w:num>
  <w:num w:numId="8" w16cid:durableId="1933782454">
    <w:abstractNumId w:val="1"/>
  </w:num>
  <w:num w:numId="9" w16cid:durableId="579019114">
    <w:abstractNumId w:val="0"/>
  </w:num>
  <w:num w:numId="10" w16cid:durableId="205066867">
    <w:abstractNumId w:val="10"/>
  </w:num>
  <w:num w:numId="11" w16cid:durableId="13324859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48BB"/>
    <w:rsid w:val="00AA1D8D"/>
    <w:rsid w:val="00B47730"/>
    <w:rsid w:val="00BD4D3E"/>
    <w:rsid w:val="00CB0664"/>
    <w:rsid w:val="00DF13D3"/>
    <w:rsid w:val="00F36639"/>
    <w:rsid w:val="00F639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032CAC"/>
  <w14:defaultImageDpi w14:val="300"/>
  <w15:docId w15:val="{8553948E-EF36-4DE4-8579-7DE410D9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Silas Mwandikwa</cp:lastModifiedBy>
  <cp:revision>4</cp:revision>
  <dcterms:created xsi:type="dcterms:W3CDTF">2013-12-23T23:15:00Z</dcterms:created>
  <dcterms:modified xsi:type="dcterms:W3CDTF">2025-05-13T12:34:00Z</dcterms:modified>
  <cp:category/>
</cp:coreProperties>
</file>