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72492965"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w:t>
      </w:r>
      <w:r w:rsidR="00D571D3">
        <w:rPr>
          <w:color w:val="000000" w:themeColor="text1"/>
        </w:rPr>
        <w:t>8</w:t>
      </w:r>
      <w:r w:rsidR="00F21C31" w:rsidRPr="00EA2714">
        <w:rPr>
          <w:color w:val="000000" w:themeColor="text1"/>
        </w:rPr>
        <w:t>/</w:t>
      </w:r>
      <w:r w:rsidR="00D571D3">
        <w:rPr>
          <w:color w:val="000000" w:themeColor="text1"/>
        </w:rPr>
        <w:t>0</w:t>
      </w:r>
      <w:r w:rsidR="00556C05">
        <w:rPr>
          <w:color w:val="000000" w:themeColor="text1"/>
        </w:rPr>
        <w:t>5</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2CDFBF15"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69FDA2B6" w14:textId="7FFFD577" w:rsidR="00631134" w:rsidRDefault="007F05F6">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425806B2" w14:textId="50C0F818" w:rsidR="00631134" w:rsidRDefault="007F05F6">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5E6874">
              <w:rPr>
                <w:noProof/>
                <w:webHidden/>
              </w:rPr>
              <w:t>4</w:t>
            </w:r>
            <w:r w:rsidR="00631134">
              <w:rPr>
                <w:noProof/>
                <w:webHidden/>
              </w:rPr>
              <w:fldChar w:fldCharType="end"/>
            </w:r>
          </w:hyperlink>
        </w:p>
        <w:p w14:paraId="4605A7B1" w14:textId="4635520C" w:rsidR="00631134" w:rsidRDefault="007F05F6">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61FF00A6" w14:textId="4552DEA4" w:rsidR="00631134" w:rsidRDefault="007F05F6">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0EC8C7DC" w14:textId="45860E46" w:rsidR="00631134" w:rsidRDefault="007F05F6">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5E6874">
              <w:rPr>
                <w:noProof/>
                <w:webHidden/>
              </w:rPr>
              <w:t>7</w:t>
            </w:r>
            <w:r w:rsidR="00631134">
              <w:rPr>
                <w:noProof/>
                <w:webHidden/>
              </w:rPr>
              <w:fldChar w:fldCharType="end"/>
            </w:r>
          </w:hyperlink>
        </w:p>
        <w:p w14:paraId="47A7F772" w14:textId="69F8E2E6" w:rsidR="00631134" w:rsidRDefault="007F05F6">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5E6874">
              <w:rPr>
                <w:noProof/>
                <w:webHidden/>
              </w:rPr>
              <w:t>15</w:t>
            </w:r>
            <w:r w:rsidR="00631134">
              <w:rPr>
                <w:noProof/>
                <w:webHidden/>
              </w:rPr>
              <w:fldChar w:fldCharType="end"/>
            </w:r>
          </w:hyperlink>
        </w:p>
        <w:p w14:paraId="11CCB6EB" w14:textId="18137420" w:rsidR="00631134" w:rsidRDefault="007F05F6">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5E6874">
              <w:rPr>
                <w:noProof/>
                <w:webHidden/>
              </w:rPr>
              <w:t>26</w:t>
            </w:r>
            <w:r w:rsidR="00631134">
              <w:rPr>
                <w:noProof/>
                <w:webHidden/>
              </w:rPr>
              <w:fldChar w:fldCharType="end"/>
            </w:r>
          </w:hyperlink>
        </w:p>
        <w:p w14:paraId="75921B6D" w14:textId="5BD36FB9" w:rsidR="00631134" w:rsidRDefault="007F05F6">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5E6874">
              <w:rPr>
                <w:noProof/>
                <w:webHidden/>
              </w:rPr>
              <w:t>29</w:t>
            </w:r>
            <w:r w:rsidR="00631134">
              <w:rPr>
                <w:noProof/>
                <w:webHidden/>
              </w:rPr>
              <w:fldChar w:fldCharType="end"/>
            </w:r>
          </w:hyperlink>
        </w:p>
        <w:p w14:paraId="01331E6F" w14:textId="05DA5AC3" w:rsidR="00631134" w:rsidRDefault="007F05F6">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2123494A" w14:textId="25977717" w:rsidR="00631134" w:rsidRDefault="007F05F6">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7999083"/>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4"/>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5"/>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Pr="00EA2714"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5D1802C9"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FD52F5">
        <w:rPr>
          <w:color w:val="000000" w:themeColor="text1"/>
        </w:rPr>
        <w:t>3</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lastRenderedPageBreak/>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7999086"/>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7999088"/>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7F6022CC" w14:textId="4F90180C"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Auto Card capture interface without initialization</w:t>
      </w:r>
    </w:p>
    <w:p w14:paraId="2623DBE7"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48B8070E" w14:textId="77777777" w:rsidR="00BF06BE" w:rsidRPr="00EA2714" w:rsidRDefault="00BF06BE" w:rsidP="00BF06BE">
      <w:pPr>
        <w:rPr>
          <w:color w:val="000000" w:themeColor="text1"/>
        </w:rPr>
      </w:pPr>
    </w:p>
    <w:p w14:paraId="56F391A1" w14:textId="55AE2313"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showAutoCameraInterfaceInViewController:self</w:t>
      </w:r>
      <w:proofErr w:type="gramEnd"/>
      <w:r w:rsidRPr="00EA2714">
        <w:rPr>
          <w:color w:val="000000" w:themeColor="text1"/>
          <w:sz w:val="22"/>
          <w:szCs w:val="22"/>
        </w:rPr>
        <w:t xml:space="preserve"> delegate:self cardType:_cardType];</w:t>
      </w: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w:t>
      </w:r>
      <w:proofErr w:type="gramStart"/>
      <w:r w:rsidRPr="00C37551">
        <w:rPr>
          <w:color w:val="000000" w:themeColor="text1"/>
          <w:sz w:val="22"/>
          <w:szCs w:val="22"/>
        </w:rPr>
        <w:t>showCameraInterface{</w:t>
      </w:r>
      <w:proofErr w:type="gramEnd"/>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if(_</w:t>
      </w:r>
      <w:proofErr w:type="gramStart"/>
      <w:r w:rsidRPr="00C37551">
        <w:rPr>
          <w:color w:val="000000" w:themeColor="text1"/>
          <w:sz w:val="22"/>
          <w:szCs w:val="22"/>
        </w:rPr>
        <w:t>instance.isAssureIDAllowed</w:t>
      </w:r>
      <w:proofErr w:type="gramEnd"/>
      <w:r w:rsidRPr="00C37551">
        <w:rPr>
          <w:color w:val="000000" w:themeColor="text1"/>
          <w:sz w:val="22"/>
          <w:szCs w:val="22"/>
        </w:rPr>
        <w:t xml:space="preserve">){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proofErr w:type="gramStart"/>
      <w:r w:rsidRPr="00C37551">
        <w:rPr>
          <w:color w:val="000000" w:themeColor="text1"/>
          <w:sz w:val="22"/>
          <w:szCs w:val="22"/>
        </w:rPr>
        <w:t>}else</w:t>
      </w:r>
      <w:proofErr w:type="gramEnd"/>
      <w:r w:rsidRPr="00C37551">
        <w:rPr>
          <w:color w:val="000000" w:themeColor="text1"/>
          <w:sz w:val="22"/>
          <w:szCs w:val="22"/>
        </w:rPr>
        <w:t>{</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setWidth:1250</w:t>
      </w:r>
      <w:proofErr w:type="gramStart"/>
      <w:r w:rsidRPr="00C37551">
        <w:rPr>
          <w:color w:val="000000" w:themeColor="text1"/>
          <w:sz w:val="22"/>
          <w:szCs w:val="22"/>
        </w:rPr>
        <w:t xml:space="preserve">];   </w:t>
      </w:r>
      <w:proofErr w:type="gramEnd"/>
      <w:r w:rsidRPr="00C37551">
        <w:rPr>
          <w:color w:val="000000" w:themeColor="text1"/>
          <w:sz w:val="22"/>
          <w:szCs w:val="22"/>
        </w:rPr>
        <w:t xml:space="preserve">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lastRenderedPageBreak/>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lastRenderedPageBreak/>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lastRenderedPageBreak/>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7999089"/>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lastRenderedPageBreak/>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w:t>
      </w:r>
      <w:r w:rsidRPr="00EA2714">
        <w:rPr>
          <w:color w:val="000000" w:themeColor="text1"/>
          <w:sz w:val="22"/>
          <w:szCs w:val="22"/>
        </w:rPr>
        <w:lastRenderedPageBreak/>
        <w:t>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 xml:space="preserve">message =[NSString stringWithFormat:@"First Name - %@ \nMiddle Name - %@ \nLast Name - %@ \nAuthentication Result - %@ \nAunthentication Summary - %@ \nPassport Number - %@ \nPersonal </w:t>
      </w:r>
      <w:r w:rsidR="003E4457" w:rsidRPr="003E4457">
        <w:rPr>
          <w:color w:val="000000" w:themeColor="text1"/>
          <w:sz w:val="22"/>
          <w:szCs w:val="22"/>
        </w:rPr>
        <w:lastRenderedPageBreak/>
        <w:t>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Note : For Driving license and Passport , i</w:t>
      </w:r>
      <w:r w:rsidRPr="00D400E7">
        <w:rPr>
          <w:color w:val="000000" w:themeColor="text1"/>
          <w:sz w:val="22"/>
          <w:szCs w:val="22"/>
        </w:rPr>
        <w:t xml:space="preserve">n order to see AssureID results, please look for these two fields </w:t>
      </w:r>
      <w:r>
        <w:rPr>
          <w:color w:val="000000" w:themeColor="text1"/>
          <w:sz w:val="22"/>
          <w:szCs w:val="22"/>
        </w:rPr>
        <w:t>:</w:t>
      </w:r>
      <w:bookmarkStart w:id="7" w:name="_GoBack"/>
      <w:bookmarkEnd w:id="7"/>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“AuthenticationResult” can have either of the following values: </w:t>
      </w:r>
      <w:proofErr w:type="gramStart"/>
      <w:r w:rsidRPr="00D400E7">
        <w:rPr>
          <w:color w:val="000000" w:themeColor="text1"/>
          <w:sz w:val="22"/>
          <w:szCs w:val="22"/>
        </w:rPr>
        <w:t>Success</w:t>
      </w:r>
      <w:r>
        <w:rPr>
          <w:color w:val="000000" w:themeColor="text1"/>
          <w:sz w:val="22"/>
          <w:szCs w:val="22"/>
        </w:rPr>
        <w:t xml:space="preserve"> ,</w:t>
      </w:r>
      <w:proofErr w:type="gramEnd"/>
      <w:r>
        <w:rPr>
          <w:color w:val="000000" w:themeColor="text1"/>
          <w:sz w:val="22"/>
          <w:szCs w:val="22"/>
        </w:rPr>
        <w:t xml:space="preserve">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lastRenderedPageBreak/>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8" w:name="_Toc457999090"/>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8"/>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w:t>
      </w:r>
      <w:proofErr w:type="gramStart"/>
      <w:r w:rsidRPr="00EA2714">
        <w:rPr>
          <w:color w:val="000000" w:themeColor="text1"/>
          <w:sz w:val="22"/>
          <w:szCs w:val="22"/>
        </w:rPr>
        <w:t>*)image</w:t>
      </w:r>
      <w:proofErr w:type="gramEnd"/>
      <w:r w:rsidRPr="00EA2714">
        <w:rPr>
          <w:color w:val="000000" w:themeColor="text1"/>
          <w:sz w:val="22"/>
          <w:szCs w:val="22"/>
        </w:rPr>
        <w:t>;</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w:t>
      </w:r>
      <w:proofErr w:type="gramStart"/>
      <w:r w:rsidR="00951259" w:rsidRPr="00EA2714">
        <w:rPr>
          <w:color w:val="000000" w:themeColor="text1"/>
          <w:sz w:val="22"/>
          <w:szCs w:val="22"/>
        </w:rPr>
        <w:t>&gt;)delegate</w:t>
      </w:r>
      <w:proofErr w:type="gramEnd"/>
      <w:r w:rsidR="00951259" w:rsidRPr="00EA2714">
        <w:rPr>
          <w:color w:val="000000" w:themeColor="text1"/>
          <w:sz w:val="22"/>
          <w:szCs w:val="22"/>
        </w:rPr>
        <w:t xml:space="preserv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w:t>
      </w:r>
      <w:proofErr w:type="gramStart"/>
      <w:r w:rsidRPr="00EA2714">
        <w:rPr>
          <w:color w:val="000000" w:themeColor="text1"/>
          <w:sz w:val="22"/>
          <w:szCs w:val="22"/>
        </w:rPr>
        <w:t>*)message</w:t>
      </w:r>
      <w:proofErr w:type="gramEnd"/>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inRect:(</w:t>
      </w:r>
      <w:proofErr w:type="gramStart"/>
      <w:r w:rsidRPr="00EA2714">
        <w:rPr>
          <w:color w:val="000000" w:themeColor="text1"/>
          <w:sz w:val="22"/>
          <w:szCs w:val="22"/>
        </w:rPr>
        <w:t>CGRect)rect</w:t>
      </w:r>
      <w:proofErr w:type="gramEnd"/>
      <w:r w:rsidRPr="00EA2714">
        <w:rPr>
          <w:color w:val="000000" w:themeColor="text1"/>
          <w:sz w:val="22"/>
          <w:szCs w:val="22"/>
        </w:rPr>
        <w:t xml:space="preserve">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w:t>
      </w:r>
      <w:proofErr w:type="gramStart"/>
      <w:r w:rsidRPr="00EA2714">
        <w:rPr>
          <w:color w:val="000000" w:themeColor="text1"/>
          <w:sz w:val="22"/>
          <w:szCs w:val="22"/>
        </w:rPr>
        <w:t>NSUInteger)size</w:t>
      </w:r>
      <w:proofErr w:type="gramEnd"/>
      <w:r w:rsidRPr="00EA2714">
        <w:rPr>
          <w:color w:val="000000" w:themeColor="text1"/>
          <w:sz w:val="22"/>
          <w:szCs w:val="22"/>
        </w:rPr>
        <w:t>;</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w:t>
      </w:r>
      <w:proofErr w:type="gramStart"/>
      <w:r w:rsidRPr="00EA2714">
        <w:rPr>
          <w:color w:val="000000" w:themeColor="text1"/>
          <w:sz w:val="22"/>
          <w:szCs w:val="22"/>
        </w:rPr>
        <w:t>&gt;)delegate</w:t>
      </w:r>
      <w:proofErr w:type="gramEnd"/>
      <w:r w:rsidRPr="00EA2714">
        <w:rPr>
          <w:color w:val="000000" w:themeColor="text1"/>
          <w:sz w:val="22"/>
          <w:szCs w:val="22"/>
        </w:rPr>
        <w:t xml:space="preserv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w:t>
      </w:r>
      <w:proofErr w:type="gramStart"/>
      <w:r w:rsidRPr="00EA2714">
        <w:rPr>
          <w:color w:val="000000" w:themeColor="text1"/>
          <w:sz w:val="22"/>
          <w:szCs w:val="22"/>
        </w:rPr>
        <w:t>*)parentVC</w:t>
      </w:r>
      <w:proofErr w:type="gramEnd"/>
      <w:r w:rsidRPr="00EA2714">
        <w:rPr>
          <w:color w:val="000000" w:themeColor="text1"/>
          <w:sz w:val="22"/>
          <w:szCs w:val="22"/>
        </w:rPr>
        <w:t xml:space="preserve">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(BOOL)</w:t>
      </w:r>
      <w:proofErr w:type="gramStart"/>
      <w:r w:rsidRPr="00EA2714">
        <w:rPr>
          <w:color w:val="000000" w:themeColor="text1"/>
          <w:sz w:val="22"/>
          <w:szCs w:val="22"/>
        </w:rPr>
        <w:t>cancelVisible :</w:t>
      </w:r>
      <w:proofErr w:type="gramEnd"/>
      <w:r w:rsidRPr="00EA2714">
        <w:rPr>
          <w:color w:val="000000" w:themeColor="text1"/>
          <w:sz w:val="22"/>
          <w:szCs w:val="22"/>
        </w:rPr>
        <w:t xml:space="preserve">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 )watermarkText</w:t>
      </w:r>
      <w:proofErr w:type="gramEnd"/>
      <w:r w:rsidRPr="00EA2714">
        <w:rPr>
          <w:color w:val="000000" w:themeColor="text1"/>
          <w:sz w:val="22"/>
          <w:szCs w:val="22"/>
        </w:rPr>
        <w:t xml:space="preserve">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*)message</w:t>
      </w:r>
      <w:proofErr w:type="gramEnd"/>
      <w:r w:rsidRPr="00EA2714">
        <w:rPr>
          <w:color w:val="000000" w:themeColor="text1"/>
          <w:sz w:val="22"/>
          <w:szCs w:val="22"/>
        </w:rPr>
        <w:t xml:space="preserv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rect :</w:t>
      </w:r>
      <w:proofErr w:type="gramEnd"/>
      <w:r w:rsidRPr="00EA2714">
        <w:rPr>
          <w:color w:val="000000" w:themeColor="text1"/>
          <w:sz w:val="22"/>
          <w:szCs w:val="22"/>
        </w:rPr>
        <w:t xml:space="preserve">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w:t>
      </w:r>
      <w:proofErr w:type="gramStart"/>
      <w:r w:rsidRPr="00EA2714">
        <w:rPr>
          <w:color w:val="000000" w:themeColor="text1"/>
          <w:sz w:val="22"/>
          <w:szCs w:val="22"/>
        </w:rPr>
        <w:t>size :</w:t>
      </w:r>
      <w:proofErr w:type="gramEnd"/>
      <w:r w:rsidRPr="00EA2714">
        <w:rPr>
          <w:color w:val="000000" w:themeColor="text1"/>
          <w:sz w:val="22"/>
          <w:szCs w:val="22"/>
        </w:rPr>
        <w:t xml:space="preserve">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w:t>
      </w:r>
      <w:proofErr w:type="gramStart"/>
      <w:r w:rsidRPr="00EA2714">
        <w:rPr>
          <w:color w:val="000000" w:themeColor="text1"/>
          <w:sz w:val="22"/>
          <w:szCs w:val="22"/>
        </w:rPr>
        <w:t>defaultRequestOptionsForCardType:AcuantCardType</w:t>
      </w:r>
      <w:r w:rsidR="00202AF5" w:rsidRPr="00EA2714">
        <w:rPr>
          <w:color w:val="000000" w:themeColor="text1"/>
          <w:sz w:val="22"/>
          <w:szCs w:val="22"/>
        </w:rPr>
        <w:t>Facial</w:t>
      </w:r>
      <w:proofErr w:type="gramEnd"/>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roofErr w:type="gramStart"/>
      <w:r w:rsidRPr="00EA2714">
        <w:rPr>
          <w:color w:val="000000" w:themeColor="text1"/>
          <w:sz w:val="22"/>
          <w:szCs w:val="22"/>
        </w:rPr>
        <w:t>self.instance</w:t>
      </w:r>
      <w:proofErr w:type="gramEnd"/>
      <w:r w:rsidRPr="00EA2714">
        <w:rPr>
          <w:color w:val="000000" w:themeColor="text1"/>
          <w:sz w:val="22"/>
          <w:szCs w:val="22"/>
        </w:rPr>
        <w:t xml:space="preserv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BackCardImage:faceImage</w:t>
      </w:r>
      <w:proofErr w:type="gramEnd"/>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w:t>
      </w:r>
      <w:proofErr w:type="gramStart"/>
      <w:r w:rsidR="00883D69" w:rsidRPr="00EA2714">
        <w:rPr>
          <w:color w:val="000000" w:themeColor="text1"/>
          <w:sz w:val="22"/>
          <w:szCs w:val="22"/>
        </w:rPr>
        <w:t>*)image</w:t>
      </w:r>
      <w:proofErr w:type="gramEnd"/>
      <w:r w:rsidR="00883D69" w:rsidRPr="00EA2714">
        <w:rPr>
          <w:color w:val="000000" w:themeColor="text1"/>
          <w:sz w:val="22"/>
          <w:szCs w:val="22"/>
        </w:rPr>
        <w:t>;</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w:t>
      </w:r>
      <w:proofErr w:type="gramStart"/>
      <w:r w:rsidRPr="00EA2714">
        <w:rPr>
          <w:color w:val="000000" w:themeColor="text1"/>
          <w:sz w:val="22"/>
          <w:szCs w:val="22"/>
        </w:rPr>
        <w:t>*)result</w:t>
      </w:r>
      <w:proofErr w:type="gramEnd"/>
      <w:r w:rsidRPr="00EA2714">
        <w:rPr>
          <w:color w:val="000000" w:themeColor="text1"/>
          <w:sz w:val="22"/>
          <w:szCs w:val="22"/>
        </w:rPr>
        <w: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w:t>
      </w:r>
      <w:proofErr w:type="gramStart"/>
      <w:r w:rsidRPr="00EA2714">
        <w:rPr>
          <w:color w:val="000000" w:themeColor="text1"/>
          <w:sz w:val="22"/>
          <w:szCs w:val="22"/>
        </w:rPr>
        <w:t>*)cardResult</w:t>
      </w:r>
      <w:proofErr w:type="gramEnd"/>
      <w:r w:rsidRPr="00EA2714">
        <w:rPr>
          <w:color w:val="000000" w:themeColor="text1"/>
          <w:sz w:val="22"/>
          <w:szCs w:val="22"/>
        </w:rPr>
        <w: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w:t>
      </w:r>
      <w:proofErr w:type="gramStart"/>
      <w:r w:rsidRPr="00EA2714">
        <w:rPr>
          <w:color w:val="000000" w:themeColor="text1"/>
          <w:sz w:val="22"/>
          <w:szCs w:val="22"/>
        </w:rPr>
        <w:t>*)cardResult</w:t>
      </w:r>
      <w:proofErr w:type="gramEnd"/>
      <w:r w:rsidRPr="00EA2714">
        <w:rPr>
          <w:color w:val="000000" w:themeColor="text1"/>
          <w:sz w:val="22"/>
          <w:szCs w:val="22"/>
        </w:rPr>
        <w: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isMatch</w:t>
      </w:r>
      <w:proofErr w:type="gramEnd"/>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isFacialEnabled</w:t>
      </w:r>
      <w:proofErr w:type="gramEnd"/>
      <w:r w:rsidRPr="00EA2714">
        <w:rPr>
          <w:color w:val="000000" w:themeColor="text1"/>
          <w:sz w:val="22"/>
          <w:szCs w:val="22"/>
        </w:rPr>
        <w:t>;//</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faceLivelinessDetection</w:t>
      </w:r>
      <w:proofErr w:type="gramEnd"/>
      <w:r w:rsidRPr="00EA2714">
        <w:rPr>
          <w:color w:val="000000" w:themeColor="text1"/>
          <w:sz w:val="22"/>
          <w:szCs w:val="22"/>
        </w:rPr>
        <w:t>;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9" w:name="_Toc450139892"/>
      <w:bookmarkStart w:id="10" w:name="_Toc315960438"/>
      <w:bookmarkStart w:id="11" w:name="_Toc457999091"/>
      <w:bookmarkEnd w:id="9"/>
      <w:r w:rsidRPr="00EA2714">
        <w:rPr>
          <w:rFonts w:ascii="Times New Roman" w:hAnsi="Times New Roman" w:cs="Times New Roman"/>
          <w:color w:val="000000" w:themeColor="text1"/>
        </w:rPr>
        <w:t>Error Types</w:t>
      </w:r>
      <w:bookmarkEnd w:id="10"/>
      <w:bookmarkEnd w:id="11"/>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2" w:name="_Toc457999092"/>
      <w:r w:rsidRPr="00EA2714">
        <w:rPr>
          <w:rFonts w:ascii="Times New Roman" w:hAnsi="Times New Roman" w:cs="Times New Roman"/>
          <w:color w:val="000000" w:themeColor="text1"/>
        </w:rPr>
        <w:t>Miscellaneous</w:t>
      </w:r>
      <w:bookmarkEnd w:id="12"/>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3" w:name="_Toc457999093"/>
      <w:r w:rsidRPr="00EA2714">
        <w:rPr>
          <w:rFonts w:ascii="Times New Roman" w:hAnsi="Times New Roman" w:cs="Times New Roman"/>
          <w:color w:val="000000" w:themeColor="text1"/>
        </w:rPr>
        <w:t>Change Log</w:t>
      </w:r>
      <w:bookmarkEnd w:id="13"/>
    </w:p>
    <w:p w14:paraId="2F399988" w14:textId="77777777" w:rsidR="00642321" w:rsidRPr="00EA2714" w:rsidRDefault="00642321" w:rsidP="00127797">
      <w:pPr>
        <w:rPr>
          <w:color w:val="000000" w:themeColor="text1"/>
        </w:rPr>
      </w:pPr>
    </w:p>
    <w:p w14:paraId="58975E9F" w14:textId="7D2FB7F3"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w:t>
      </w:r>
      <w:r w:rsidR="00FD52F5">
        <w:rPr>
          <w:color w:val="000000" w:themeColor="text1"/>
        </w:rPr>
        <w:t>3</w:t>
      </w:r>
    </w:p>
    <w:p w14:paraId="7AF1C332" w14:textId="77777777" w:rsidR="007073E3" w:rsidRPr="00EA2714" w:rsidRDefault="007073E3" w:rsidP="00127797">
      <w:pPr>
        <w:rPr>
          <w:color w:val="000000" w:themeColor="text1"/>
        </w:rPr>
      </w:pPr>
    </w:p>
    <w:p w14:paraId="3F03E989" w14:textId="77777777" w:rsidR="00075835" w:rsidRPr="00075835" w:rsidRDefault="00075835" w:rsidP="00075835">
      <w:pPr>
        <w:rPr>
          <w:color w:val="000000" w:themeColor="text1"/>
        </w:rPr>
      </w:pPr>
      <w:r w:rsidRPr="00075835">
        <w:rPr>
          <w:color w:val="000000" w:themeColor="text1"/>
        </w:rPr>
        <w:t>Changes:</w:t>
      </w:r>
    </w:p>
    <w:p w14:paraId="4B22B9D1" w14:textId="77777777" w:rsidR="00B441D2" w:rsidRPr="008F306E" w:rsidRDefault="00B441D2" w:rsidP="008F306E">
      <w:pPr>
        <w:pStyle w:val="ListParagraph"/>
        <w:rPr>
          <w:color w:val="000000" w:themeColor="text1"/>
        </w:rPr>
      </w:pPr>
    </w:p>
    <w:p w14:paraId="7F2E422B" w14:textId="602C8852" w:rsidR="00FD69B6" w:rsidRPr="008F306E" w:rsidRDefault="00FD52F5" w:rsidP="008F306E">
      <w:pPr>
        <w:pStyle w:val="ListParagraph"/>
        <w:numPr>
          <w:ilvl w:val="0"/>
          <w:numId w:val="37"/>
        </w:numPr>
        <w:rPr>
          <w:color w:val="000000" w:themeColor="text1"/>
        </w:rPr>
      </w:pPr>
      <w:r>
        <w:rPr>
          <w:color w:val="000000" w:themeColor="text1"/>
        </w:rPr>
        <w:t>Image cropping improvements.</w:t>
      </w:r>
      <w:r w:rsidR="008650AB" w:rsidRPr="008F306E">
        <w:rPr>
          <w:color w:val="000000" w:themeColor="text1"/>
        </w:rPr>
        <w:t xml:space="preserve"> </w:t>
      </w:r>
    </w:p>
    <w:sectPr w:rsidR="00FD69B6" w:rsidRPr="008F306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BEF79" w14:textId="77777777" w:rsidR="007F05F6" w:rsidRDefault="007F05F6" w:rsidP="0091722F">
      <w:r>
        <w:separator/>
      </w:r>
    </w:p>
  </w:endnote>
  <w:endnote w:type="continuationSeparator" w:id="0">
    <w:p w14:paraId="5F5A2318" w14:textId="77777777" w:rsidR="007F05F6" w:rsidRDefault="007F05F6"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altName w:val="Arial"/>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0D2965" w:rsidRDefault="000D296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D2965" w:rsidRDefault="000D29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2D00D" w14:textId="77777777" w:rsidR="007F05F6" w:rsidRDefault="007F05F6" w:rsidP="0091722F">
      <w:r>
        <w:separator/>
      </w:r>
    </w:p>
  </w:footnote>
  <w:footnote w:type="continuationSeparator" w:id="0">
    <w:p w14:paraId="54D100BB" w14:textId="77777777" w:rsidR="007F05F6" w:rsidRDefault="007F05F6"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0D2965" w:rsidRDefault="000D296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D2965" w:rsidRDefault="000D29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6896C64"/>
    <w:multiLevelType w:val="hybridMultilevel"/>
    <w:tmpl w:val="FD76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6">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9">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5">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11"/>
  </w:num>
  <w:num w:numId="4">
    <w:abstractNumId w:val="17"/>
  </w:num>
  <w:num w:numId="5">
    <w:abstractNumId w:val="20"/>
  </w:num>
  <w:num w:numId="6">
    <w:abstractNumId w:val="3"/>
  </w:num>
  <w:num w:numId="7">
    <w:abstractNumId w:val="8"/>
  </w:num>
  <w:num w:numId="8">
    <w:abstractNumId w:val="22"/>
  </w:num>
  <w:num w:numId="9">
    <w:abstractNumId w:val="5"/>
  </w:num>
  <w:num w:numId="10">
    <w:abstractNumId w:val="10"/>
  </w:num>
  <w:num w:numId="11">
    <w:abstractNumId w:val="9"/>
  </w:num>
  <w:num w:numId="12">
    <w:abstractNumId w:val="23"/>
  </w:num>
  <w:num w:numId="13">
    <w:abstractNumId w:val="13"/>
  </w:num>
  <w:num w:numId="14">
    <w:abstractNumId w:val="1"/>
  </w:num>
  <w:num w:numId="15">
    <w:abstractNumId w:val="25"/>
  </w:num>
  <w:num w:numId="16">
    <w:abstractNumId w:val="2"/>
  </w:num>
  <w:num w:numId="17">
    <w:abstractNumId w:val="26"/>
  </w:num>
  <w:num w:numId="18">
    <w:abstractNumId w:val="28"/>
  </w:num>
  <w:num w:numId="19">
    <w:abstractNumId w:val="24"/>
  </w:num>
  <w:num w:numId="20">
    <w:abstractNumId w:val="36"/>
  </w:num>
  <w:num w:numId="21">
    <w:abstractNumId w:val="15"/>
  </w:num>
  <w:num w:numId="22">
    <w:abstractNumId w:val="16"/>
  </w:num>
  <w:num w:numId="23">
    <w:abstractNumId w:val="6"/>
  </w:num>
  <w:num w:numId="24">
    <w:abstractNumId w:val="30"/>
  </w:num>
  <w:num w:numId="25">
    <w:abstractNumId w:val="34"/>
  </w:num>
  <w:num w:numId="26">
    <w:abstractNumId w:val="32"/>
  </w:num>
  <w:num w:numId="27">
    <w:abstractNumId w:val="7"/>
  </w:num>
  <w:num w:numId="28">
    <w:abstractNumId w:val="12"/>
  </w:num>
  <w:num w:numId="29">
    <w:abstractNumId w:val="21"/>
  </w:num>
  <w:num w:numId="30">
    <w:abstractNumId w:val="19"/>
  </w:num>
  <w:num w:numId="31">
    <w:abstractNumId w:val="0"/>
  </w:num>
  <w:num w:numId="32">
    <w:abstractNumId w:val="29"/>
  </w:num>
  <w:num w:numId="33">
    <w:abstractNumId w:val="14"/>
  </w:num>
  <w:num w:numId="34">
    <w:abstractNumId w:val="33"/>
  </w:num>
  <w:num w:numId="35">
    <w:abstractNumId w:val="27"/>
  </w:num>
  <w:num w:numId="36">
    <w:abstractNumId w:val="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7421C"/>
    <w:rsid w:val="00075835"/>
    <w:rsid w:val="00080703"/>
    <w:rsid w:val="00082400"/>
    <w:rsid w:val="00085A56"/>
    <w:rsid w:val="0009267C"/>
    <w:rsid w:val="0009454D"/>
    <w:rsid w:val="000A5636"/>
    <w:rsid w:val="000B6F4D"/>
    <w:rsid w:val="000C3330"/>
    <w:rsid w:val="000C6C99"/>
    <w:rsid w:val="000D1566"/>
    <w:rsid w:val="000D2059"/>
    <w:rsid w:val="000D2965"/>
    <w:rsid w:val="000D66E7"/>
    <w:rsid w:val="000E0186"/>
    <w:rsid w:val="000E1896"/>
    <w:rsid w:val="000E434D"/>
    <w:rsid w:val="000E6585"/>
    <w:rsid w:val="000F18C1"/>
    <w:rsid w:val="000F5FCD"/>
    <w:rsid w:val="000F62AA"/>
    <w:rsid w:val="00103E75"/>
    <w:rsid w:val="00120B0E"/>
    <w:rsid w:val="00120FAE"/>
    <w:rsid w:val="001260A5"/>
    <w:rsid w:val="001265BA"/>
    <w:rsid w:val="00127797"/>
    <w:rsid w:val="0013757D"/>
    <w:rsid w:val="00141C15"/>
    <w:rsid w:val="001421D9"/>
    <w:rsid w:val="00142F3B"/>
    <w:rsid w:val="00145484"/>
    <w:rsid w:val="001466B3"/>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7567"/>
    <w:rsid w:val="00207FF3"/>
    <w:rsid w:val="00215C05"/>
    <w:rsid w:val="0021605C"/>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C600D"/>
    <w:rsid w:val="002D0D20"/>
    <w:rsid w:val="002D4358"/>
    <w:rsid w:val="002D4FF6"/>
    <w:rsid w:val="002D6BB4"/>
    <w:rsid w:val="002E046A"/>
    <w:rsid w:val="002F2FFA"/>
    <w:rsid w:val="002F5571"/>
    <w:rsid w:val="002F6539"/>
    <w:rsid w:val="002F79F0"/>
    <w:rsid w:val="0030105D"/>
    <w:rsid w:val="003029EA"/>
    <w:rsid w:val="00304046"/>
    <w:rsid w:val="00312FAC"/>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2C77"/>
    <w:rsid w:val="003933F8"/>
    <w:rsid w:val="00394D82"/>
    <w:rsid w:val="003A2F28"/>
    <w:rsid w:val="003A3948"/>
    <w:rsid w:val="003B0D5B"/>
    <w:rsid w:val="003B1256"/>
    <w:rsid w:val="003B3DA4"/>
    <w:rsid w:val="003B3E6B"/>
    <w:rsid w:val="003B60A3"/>
    <w:rsid w:val="003C269C"/>
    <w:rsid w:val="003C26CC"/>
    <w:rsid w:val="003C7D0F"/>
    <w:rsid w:val="003D2426"/>
    <w:rsid w:val="003D7DEF"/>
    <w:rsid w:val="003E0AA2"/>
    <w:rsid w:val="003E4457"/>
    <w:rsid w:val="003F07F1"/>
    <w:rsid w:val="00402541"/>
    <w:rsid w:val="00403649"/>
    <w:rsid w:val="00407003"/>
    <w:rsid w:val="00413199"/>
    <w:rsid w:val="0043045B"/>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D74C0"/>
    <w:rsid w:val="005E4A33"/>
    <w:rsid w:val="005E6585"/>
    <w:rsid w:val="005E6874"/>
    <w:rsid w:val="005F2618"/>
    <w:rsid w:val="005F407E"/>
    <w:rsid w:val="006004B9"/>
    <w:rsid w:val="006043E2"/>
    <w:rsid w:val="00606451"/>
    <w:rsid w:val="00607A78"/>
    <w:rsid w:val="00607BB1"/>
    <w:rsid w:val="00612162"/>
    <w:rsid w:val="00623659"/>
    <w:rsid w:val="006244C9"/>
    <w:rsid w:val="00627645"/>
    <w:rsid w:val="00631134"/>
    <w:rsid w:val="00632BBF"/>
    <w:rsid w:val="006355DE"/>
    <w:rsid w:val="00637F66"/>
    <w:rsid w:val="00642321"/>
    <w:rsid w:val="00644DE9"/>
    <w:rsid w:val="006474E0"/>
    <w:rsid w:val="00652EB2"/>
    <w:rsid w:val="006559C3"/>
    <w:rsid w:val="006571E7"/>
    <w:rsid w:val="00663278"/>
    <w:rsid w:val="00664DAC"/>
    <w:rsid w:val="00665B19"/>
    <w:rsid w:val="00670BF3"/>
    <w:rsid w:val="006758B0"/>
    <w:rsid w:val="00687E18"/>
    <w:rsid w:val="006A2961"/>
    <w:rsid w:val="006A4968"/>
    <w:rsid w:val="006A688F"/>
    <w:rsid w:val="006B27D0"/>
    <w:rsid w:val="006B53E8"/>
    <w:rsid w:val="006D730A"/>
    <w:rsid w:val="007073E3"/>
    <w:rsid w:val="007107D2"/>
    <w:rsid w:val="0071185E"/>
    <w:rsid w:val="00712B45"/>
    <w:rsid w:val="00712D4A"/>
    <w:rsid w:val="00742F0F"/>
    <w:rsid w:val="00745742"/>
    <w:rsid w:val="0075702F"/>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05F6"/>
    <w:rsid w:val="007F3EA7"/>
    <w:rsid w:val="007F5B23"/>
    <w:rsid w:val="00800657"/>
    <w:rsid w:val="00806C25"/>
    <w:rsid w:val="00807A66"/>
    <w:rsid w:val="008137AF"/>
    <w:rsid w:val="00814AE5"/>
    <w:rsid w:val="00825A06"/>
    <w:rsid w:val="008319E7"/>
    <w:rsid w:val="00840E81"/>
    <w:rsid w:val="00845094"/>
    <w:rsid w:val="00846463"/>
    <w:rsid w:val="00851E67"/>
    <w:rsid w:val="0085594F"/>
    <w:rsid w:val="008650AB"/>
    <w:rsid w:val="0086799E"/>
    <w:rsid w:val="0087422C"/>
    <w:rsid w:val="00877A01"/>
    <w:rsid w:val="00877D7D"/>
    <w:rsid w:val="00883D69"/>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6CDB"/>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B4FB7"/>
    <w:rsid w:val="00AC30D6"/>
    <w:rsid w:val="00AC65EF"/>
    <w:rsid w:val="00AD0DF9"/>
    <w:rsid w:val="00AD712B"/>
    <w:rsid w:val="00AE1991"/>
    <w:rsid w:val="00AE30C5"/>
    <w:rsid w:val="00AE32B7"/>
    <w:rsid w:val="00AE52A7"/>
    <w:rsid w:val="00AE75FA"/>
    <w:rsid w:val="00AE7AE5"/>
    <w:rsid w:val="00AF5851"/>
    <w:rsid w:val="00B00C7E"/>
    <w:rsid w:val="00B02C35"/>
    <w:rsid w:val="00B21374"/>
    <w:rsid w:val="00B246EF"/>
    <w:rsid w:val="00B24E87"/>
    <w:rsid w:val="00B25200"/>
    <w:rsid w:val="00B30C97"/>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BF5B6A"/>
    <w:rsid w:val="00C00E76"/>
    <w:rsid w:val="00C0321F"/>
    <w:rsid w:val="00C0397A"/>
    <w:rsid w:val="00C06A40"/>
    <w:rsid w:val="00C10FE0"/>
    <w:rsid w:val="00C166CA"/>
    <w:rsid w:val="00C206EC"/>
    <w:rsid w:val="00C37551"/>
    <w:rsid w:val="00C41718"/>
    <w:rsid w:val="00C42C1B"/>
    <w:rsid w:val="00C574B9"/>
    <w:rsid w:val="00C60939"/>
    <w:rsid w:val="00C67C97"/>
    <w:rsid w:val="00C72A4B"/>
    <w:rsid w:val="00C765AD"/>
    <w:rsid w:val="00C76D3E"/>
    <w:rsid w:val="00C83C26"/>
    <w:rsid w:val="00C85818"/>
    <w:rsid w:val="00C95CFD"/>
    <w:rsid w:val="00CA11DA"/>
    <w:rsid w:val="00CA2CDA"/>
    <w:rsid w:val="00CA5B79"/>
    <w:rsid w:val="00CB3332"/>
    <w:rsid w:val="00CB3BC0"/>
    <w:rsid w:val="00CB3F5E"/>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0E7"/>
    <w:rsid w:val="00D40692"/>
    <w:rsid w:val="00D434F9"/>
    <w:rsid w:val="00D50B75"/>
    <w:rsid w:val="00D51CA0"/>
    <w:rsid w:val="00D53435"/>
    <w:rsid w:val="00D55C41"/>
    <w:rsid w:val="00D56939"/>
    <w:rsid w:val="00D571D3"/>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52F5"/>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25EB2-3474-D24F-9713-008F4A395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30</Pages>
  <Words>8002</Words>
  <Characters>45615</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33</cp:revision>
  <cp:lastPrinted>2016-08-03T21:51:00Z</cp:lastPrinted>
  <dcterms:created xsi:type="dcterms:W3CDTF">2016-06-28T15:49:00Z</dcterms:created>
  <dcterms:modified xsi:type="dcterms:W3CDTF">2016-08-05T17:29:00Z</dcterms:modified>
</cp:coreProperties>
</file>