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72"/>
          <w:szCs w:val="72"/>
        </w:rPr>
        <w:t xml:space="preserve">PARTHENON</w:t>
      </w:r>
    </w:p>
    <w:p>
      <w:pPr>
        <w:spacing w:after="100"/>
        <w:jc w:val="center"/>
      </w:pPr>
      <w:r>
        <w:rPr>
          <w:rFonts w:ascii="Arial" w:cs="Arial" w:eastAsia="Arial" w:hAnsi="Arial"/>
          <w:color w:val="2E5E8E"/>
          <w:sz w:val="36"/>
          <w:szCs w:val="36"/>
        </w:rPr>
        <w:t xml:space="preserve">The Ultimate Outcomes Research Platform</w:t>
      </w:r>
    </w:p>
    <w:p>
      <w:pPr>
        <w:pBdr>
          <w:bottom w:val="single" w:color="1B3A5C" w:sz="6" w:space="8"/>
        </w:pBdr>
        <w:spacing w:after="600"/>
        <w:jc w:val="center"/>
      </w:pPr>
      <w:r>
        <w:rPr>
          <w:rFonts w:ascii="Arial" w:cs="Arial" w:eastAsia="Arial" w:hAnsi="Arial"/>
          <w:color w:val="3B7DBD"/>
          <w:sz w:val="28"/>
          <w:szCs w:val="28"/>
        </w:rPr>
        <w:t xml:space="preserve">Molecular Diagnostics &amp; Cancer Genomics Enhancement Plan</w:t>
      </w:r>
    </w:p>
    <w:p>
      <w:pPr>
        <w:spacing w:before="400"/>
        <w:jc w:val="center"/>
      </w:pPr>
      <w:r>
        <w:rPr>
          <w:rFonts w:ascii="Arial" w:cs="Arial" w:eastAsia="Arial" w:hAnsi="Arial"/>
          <w:i/>
          <w:iCs/>
          <w:color w:val="555555"/>
          <w:sz w:val="28"/>
          <w:szCs w:val="28"/>
        </w:rPr>
        <w:t xml:space="preserve">Accelerating Evidence to Bedside</w:t>
      </w:r>
    </w:p>
    <w:p>
      <w:pPr>
        <w:spacing w:before="100"/>
        <w:jc w:val="center"/>
      </w:pPr>
      <w:r>
        <w:rPr>
          <w:rFonts w:ascii="Arial" w:cs="Arial" w:eastAsia="Arial" w:hAnsi="Arial"/>
          <w:color w:val="555555"/>
          <w:sz w:val="24"/>
          <w:szCs w:val="24"/>
        </w:rPr>
        <w:t xml:space="preserve">Closing the 17-Year Research-to-Practice Gap</w:t>
      </w:r>
    </w:p>
    <w:p>
      <w:pPr>
        <w:spacing w:before="800"/>
        <w:jc w:val="center"/>
      </w:pPr>
      <w:r>
        <w:rPr>
          <w:rFonts w:ascii="Arial" w:cs="Arial" w:eastAsia="Arial" w:hAnsi="Arial"/>
          <w:color w:val="333333"/>
          <w:sz w:val="22"/>
          <w:szCs w:val="22"/>
        </w:rPr>
        <w:t xml:space="preserve">Prepared by: Sanjay Udoshi, MD, CMIO</w:t>
      </w:r>
    </w:p>
    <w:p>
      <w:pPr>
        <w:jc w:val="center"/>
      </w:pPr>
      <w:r>
        <w:rPr>
          <w:rFonts w:ascii="Arial" w:cs="Arial" w:eastAsia="Arial" w:hAnsi="Arial"/>
          <w:color w:val="333333"/>
          <w:sz w:val="22"/>
          <w:szCs w:val="22"/>
        </w:rPr>
        <w:t xml:space="preserve">Acumenus Data Sciences / Wellstack.ai</w:t>
      </w:r>
    </w:p>
    <w:p>
      <w:pPr>
        <w:jc w:val="center"/>
      </w:pPr>
      <w:r>
        <w:rPr>
          <w:rFonts w:ascii="Arial" w:cs="Arial" w:eastAsia="Arial" w:hAnsi="Arial"/>
          <w:color w:val="333333"/>
          <w:sz w:val="22"/>
          <w:szCs w:val="22"/>
        </w:rPr>
        <w:t xml:space="preserve">March 2026</w:t>
      </w:r>
    </w:p>
    <w:p>
      <w:r>
        <w:br w:type="page"/>
      </w:r>
    </w:p>
    <w:p>
      <w:pPr>
        <w:pStyle w:val="Heading1"/>
      </w:pPr>
      <w:r>
        <w:rPr>
          <w:rFonts w:ascii="Arial" w:cs="Arial" w:eastAsia="Arial" w:hAnsi="Arial"/>
        </w:rPr>
        <w:t xml:space="preserve">Executive Summary</w:t>
      </w:r>
    </w:p>
    <w:p>
      <w:pPr>
        <w:spacing w:after="160" w:line="276"/>
      </w:pPr>
      <w:r>
        <w:rPr>
          <w:rFonts w:ascii="Arial" w:cs="Arial" w:eastAsia="Arial" w:hAnsi="Arial"/>
          <w:sz w:val="22"/>
          <w:szCs w:val="22"/>
        </w:rPr>
        <w:t xml:space="preserve">It takes an average of </w:t>
      </w:r>
      <w:r>
        <w:rPr>
          <w:rFonts w:ascii="Arial" w:cs="Arial" w:eastAsia="Arial" w:hAnsi="Arial"/>
          <w:b/>
          <w:bCs/>
          <w:sz w:val="22"/>
          <w:szCs w:val="22"/>
        </w:rPr>
        <w:t xml:space="preserve">17 years</w:t>
      </w:r>
      <w:r>
        <w:rPr>
          <w:rFonts w:ascii="Arial" w:cs="Arial" w:eastAsia="Arial" w:hAnsi="Arial"/>
          <w:sz w:val="22"/>
          <w:szCs w:val="22"/>
        </w:rPr>
        <w:t xml:space="preserve"> for validated medical evidence to reach routine clinical practice. In oncology and precision medicine, where molecular diagnostics are reshaping treatment paradigms monthly, this translational lag is not merely an inefficiency—it is a cause of preventable morbidity and mortality. The OHDSI community, with over 544 databases worldwide mapped to the OMOP Common Data Model, represents the most powerful infrastructure for generating real-world evidence at scale. Yet the ecosystem remains deeply fragmented: genomic data representation is immature, tooling is scattered across Java, R, Python, .NET, and Knockout.js, and the evidence-to-practice loop remains broken.</w:t>
      </w:r>
    </w:p>
    <w:p>
      <w:pPr>
        <w:spacing w:after="160" w:line="276"/>
      </w:pPr>
      <w:r>
        <w:rPr>
          <w:rFonts w:ascii="Arial" w:cs="Arial" w:eastAsia="Arial" w:hAnsi="Arial"/>
          <w:b/>
          <w:bCs/>
          <w:sz w:val="22"/>
          <w:szCs w:val="22"/>
        </w:rPr>
        <w:t xml:space="preserve">Parthenon</w:t>
      </w:r>
      <w:r>
        <w:rPr>
          <w:rFonts w:ascii="Arial" w:cs="Arial" w:eastAsia="Arial" w:hAnsi="Arial"/>
          <w:sz w:val="22"/>
          <w:szCs w:val="22"/>
        </w:rPr>
        <w:t xml:space="preserve"> already unifies the fragmented OHDSI toolchain into a modern, AI-powered platform (Laravel 11 + React 19 + TypeScript). This document presents a comprehensive plan to extend Parthenon into the definitive platform for molecular diagnostics outcomes research—one that natively integrates cancer genomics, surgical outcomes, perioperative data, and multi-domain clinical evidence, all powered by AI that converts raw observational data into actionable, computable knowledge at the point of care.</w:t>
      </w:r>
    </w:p>
    <w:p>
      <w:pPr>
        <w:spacing w:after="160" w:line="276"/>
      </w:pPr>
      <w:r>
        <w:rPr>
          <w:rFonts w:ascii="Arial" w:cs="Arial" w:eastAsia="Arial" w:hAnsi="Arial"/>
          <w:sz w:val="22"/>
          <w:szCs w:val="22"/>
        </w:rPr>
        <w:t xml:space="preserve">This plan is grounded in deep analysis of current OHDSI initiatives: the OMOP Oncology Extension (Episode/Episode_Event tables, HemOnc ontology, NAACCR integration), the Genomic CDM (G-CDM) extension tables, the OMOP Genomic Vocabulary (COSMIC, ClinVar, HGVS nomenclature), the KOIOS VCF-to-OMOP converter, the emerging GA4GH Variation Representation Specification (VRS) framework, and the active working groups in Surgery &amp; Perioperative Medicine, Rare Disease, Medical Devices, and Medical Imaging. Parthenon will synthesize all of these into a single platform that moves from data harmonization through evidence generation to clinical action.</w:t>
      </w:r>
    </w:p>
    <w:p>
      <w:r>
        <w:br w:type="page"/>
      </w:r>
    </w:p>
    <w:p>
      <w:pPr>
        <w:pStyle w:val="Heading1"/>
      </w:pPr>
      <w:r>
        <w:rPr>
          <w:rFonts w:ascii="Arial" w:cs="Arial" w:eastAsia="Arial" w:hAnsi="Arial"/>
        </w:rPr>
        <w:t xml:space="preserve">1. Landscape Analysis: OMOP and Molecular Diagnostics Today</w:t>
      </w:r>
    </w:p>
    <w:p>
      <w:pPr>
        <w:pStyle w:val="Heading2"/>
      </w:pPr>
      <w:r>
        <w:rPr>
          <w:rFonts w:ascii="Arial" w:cs="Arial" w:eastAsia="Arial" w:hAnsi="Arial"/>
        </w:rPr>
        <w:t xml:space="preserve">1.1 The OMOP Oncology Extension</w:t>
      </w:r>
    </w:p>
    <w:p>
      <w:pPr>
        <w:spacing w:after="160" w:line="276"/>
      </w:pPr>
      <w:r>
        <w:rPr>
          <w:rFonts w:ascii="Arial" w:cs="Arial" w:eastAsia="Arial" w:hAnsi="Arial"/>
          <w:sz w:val="22"/>
          <w:szCs w:val="22"/>
        </w:rPr>
        <w:t xml:space="preserve">The OHDSI Oncology Working Group (led by Asieh Golozar, with contributions from Memorial Sloan Kettering, Northwestern, and Tufts) has made significant progress in extending the OMOP CDM to support cancer research. Their work has produced several foundational components that Parthenon must natively support.</w:t>
      </w:r>
    </w:p>
    <w:p>
      <w:pPr>
        <w:pStyle w:val="Heading3"/>
      </w:pPr>
      <w:r>
        <w:rPr>
          <w:rFonts w:ascii="Arial" w:cs="Arial" w:eastAsia="Arial" w:hAnsi="Arial"/>
        </w:rPr>
        <w:t xml:space="preserve">Episode and Episode_Event Tables</w:t>
      </w:r>
    </w:p>
    <w:p>
      <w:pPr>
        <w:spacing w:after="160" w:line="276"/>
      </w:pPr>
      <w:r>
        <w:rPr>
          <w:rFonts w:ascii="Arial" w:cs="Arial" w:eastAsia="Arial" w:hAnsi="Arial"/>
          <w:sz w:val="22"/>
          <w:szCs w:val="22"/>
        </w:rPr>
        <w:t xml:space="preserve">Introduced in OMOP CDM v5.4, these tables represent the cancer patient journey through disease states and treatment episodes—diagnosis, first-line therapy, progression, second-line therapy, and outcomes. Episodes can be nested (a treatment regimen episode containing individual cycle episodes), linked to underlying clinical events through Episode_Event, and annotated with modifiers for stage, grade, and histology. This abstraction layer is essential because cancer outcomes research requires understanding the sequence of disease states, not just individual clinical events.</w:t>
      </w:r>
    </w:p>
    <w:p>
      <w:pPr>
        <w:pStyle w:val="Heading3"/>
      </w:pPr>
      <w:r>
        <w:rPr>
          <w:rFonts w:ascii="Arial" w:cs="Arial" w:eastAsia="Arial" w:hAnsi="Arial"/>
        </w:rPr>
        <w:t xml:space="preserve">HemOnc Ontology Integration</w:t>
      </w:r>
    </w:p>
    <w:p>
      <w:pPr>
        <w:spacing w:after="160" w:line="276"/>
      </w:pPr>
      <w:r>
        <w:rPr>
          <w:rFonts w:ascii="Arial" w:cs="Arial" w:eastAsia="Arial" w:hAnsi="Arial"/>
          <w:sz w:val="22"/>
          <w:szCs w:val="22"/>
        </w:rPr>
        <w:t xml:space="preserve">The HemOnc ontology has been adopted as the OMOP standard vocabulary for chemotherapy regimens. This enables algorithmic derivation of treatment regimens from individual drug administration records—a critical capability since regimen-level data is rarely coded explicitly in EHR systems. The Drug Regimen Algorithm (currently at V2.0) and the ARTEMIS tool use temporal pattern matching against HemOnc-defined regimen components to reconstruct treatment episodes.</w:t>
      </w:r>
    </w:p>
    <w:p>
      <w:pPr>
        <w:pStyle w:val="Heading3"/>
      </w:pPr>
      <w:r>
        <w:rPr>
          <w:rFonts w:ascii="Arial" w:cs="Arial" w:eastAsia="Arial" w:hAnsi="Arial"/>
        </w:rPr>
        <w:t xml:space="preserve">Cancer Diagnosis Vocabulary</w:t>
      </w:r>
    </w:p>
    <w:p>
      <w:pPr>
        <w:spacing w:after="160" w:line="276"/>
      </w:pPr>
      <w:r>
        <w:rPr>
          <w:rFonts w:ascii="Arial" w:cs="Arial" w:eastAsia="Arial" w:hAnsi="Arial"/>
          <w:sz w:val="22"/>
          <w:szCs w:val="22"/>
        </w:rPr>
        <w:t xml:space="preserve">ICD-O-3 (morphology/topography) has been integrated into the SNOMED hierarchy, and cancer modifiers (metastasis, stage, grade, dimension, histological type) have been standardized through the Cancer Modifier vocabulary authored by the Oncology WG. NAACCR data dictionary integration enables automated ETL of US Tumor Registry data into the OMOP CDM. Over 20 data partners are at various stages of conversion to the Oncology Extension.</w:t>
      </w:r>
    </w:p>
    <w:p>
      <w:pPr>
        <w:pStyle w:val="Heading2"/>
      </w:pPr>
      <w:r>
        <w:rPr>
          <w:rFonts w:ascii="Arial" w:cs="Arial" w:eastAsia="Arial" w:hAnsi="Arial"/>
        </w:rPr>
        <w:t xml:space="preserve">1.2 The Genomic Vocabulary and G-CDM</w:t>
      </w:r>
    </w:p>
    <w:p>
      <w:pPr>
        <w:spacing w:after="160" w:line="276"/>
      </w:pPr>
      <w:r>
        <w:rPr>
          <w:rFonts w:ascii="Arial" w:cs="Arial" w:eastAsia="Arial" w:hAnsi="Arial"/>
          <w:sz w:val="22"/>
          <w:szCs w:val="22"/>
        </w:rPr>
        <w:t xml:space="preserve">The representation of granular genomic variants in OMOP remains an area of active development—and the single largest gap in the ecosystem. Multiple parallel efforts are underway:</w:t>
      </w:r>
    </w:p>
    <w:p>
      <w:pPr>
        <w:pStyle w:val="Heading3"/>
      </w:pPr>
      <w:r>
        <w:rPr>
          <w:rFonts w:ascii="Arial" w:cs="Arial" w:eastAsia="Arial" w:hAnsi="Arial"/>
        </w:rPr>
        <w:t xml:space="preserve">OMOP Genomic Vocabulary</w:t>
      </w:r>
    </w:p>
    <w:p>
      <w:pPr>
        <w:spacing w:after="160" w:line="276"/>
      </w:pPr>
      <w:r>
        <w:rPr>
          <w:rFonts w:ascii="Arial" w:cs="Arial" w:eastAsia="Arial" w:hAnsi="Arial"/>
          <w:sz w:val="22"/>
          <w:szCs w:val="22"/>
        </w:rPr>
        <w:t xml:space="preserve">Developed by the Oncology WG Genomic Subgroup (meeting biweekly on 2nd and 4th Tuesdays), this vocabulary currently focuses on clinically relevant cancer variants. COSMIC (Catalog of Somatic Mutations in Cancer) terminology has been designed for ingestion but is designated as not yet generally available. The vocabulary uses HGVS nomenclature (Human Genome Variation Society) as the primary identifier system, with concept synonyms supporting both transcript-level (HGVSc) and protein-level (HGVSp) notation.</w:t>
      </w:r>
    </w:p>
    <w:p>
      <w:pPr>
        <w:pStyle w:val="Heading3"/>
      </w:pPr>
      <w:r>
        <w:rPr>
          <w:rFonts w:ascii="Arial" w:cs="Arial" w:eastAsia="Arial" w:hAnsi="Arial"/>
        </w:rPr>
        <w:t xml:space="preserve">The Ajou G-CDM (2019)</w:t>
      </w:r>
    </w:p>
    <w:p>
      <w:pPr>
        <w:spacing w:after="160" w:line="276"/>
      </w:pPr>
      <w:r>
        <w:rPr>
          <w:rFonts w:ascii="Arial" w:cs="Arial" w:eastAsia="Arial" w:hAnsi="Arial"/>
          <w:sz w:val="22"/>
          <w:szCs w:val="22"/>
        </w:rPr>
        <w:t xml:space="preserve">The first systematic attempt to extend OMOP for genomics. Proposed four extension tables linked to standard OMOP tables: TARGET_GENE, VARIANT_OCCURRENCE, VARIANT_ANNOTATION, and SPECIMEN_GENOMIC. Validated against The Cancer Genome Atlas (TCGA) data. Produced the GeneProfiler tool for descriptive genomic analyses. Limitation: requires modification of standard OHDSI tools, which follow strict OMOP CDM structure.</w:t>
      </w:r>
    </w:p>
    <w:p>
      <w:pPr>
        <w:pStyle w:val="Heading3"/>
      </w:pPr>
      <w:r>
        <w:rPr>
          <w:rFonts w:ascii="Arial" w:cs="Arial" w:eastAsia="Arial" w:hAnsi="Arial"/>
        </w:rPr>
        <w:t xml:space="preserve">KOIOS: VCF-to-OMOP Converter</w:t>
      </w:r>
    </w:p>
    <w:p>
      <w:pPr>
        <w:spacing w:after="160" w:line="276"/>
      </w:pPr>
      <w:r>
        <w:rPr>
          <w:rFonts w:ascii="Arial" w:cs="Arial" w:eastAsia="Arial" w:hAnsi="Arial"/>
          <w:sz w:val="22"/>
          <w:szCs w:val="22"/>
        </w:rPr>
        <w:t xml:space="preserve">An R package developed by Odysseus Data Services (maintained at github.com/OHDSI/Koios) that maps patient-level VCF files to OMOP Genomic Vocabulary concept IDs. Supports VCF, HGVSc/HGVSp transcript data, and gene fusion data from cBioPortal. Uses ClinGen variant registrations for reference genome detection and HGVS normalization. Currently the primary recommended tool for getting sequencing data into OMOP.</w:t>
      </w:r>
    </w:p>
    <w:p>
      <w:pPr>
        <w:pStyle w:val="Heading3"/>
      </w:pPr>
      <w:r>
        <w:rPr>
          <w:rFonts w:ascii="Arial" w:cs="Arial" w:eastAsia="Arial" w:hAnsi="Arial"/>
        </w:rPr>
        <w:t xml:space="preserve">KOIOS-VRS Pipeline (February 2026)</w:t>
      </w:r>
    </w:p>
    <w:p>
      <w:pPr>
        <w:spacing w:after="160" w:line="276"/>
      </w:pPr>
      <w:r>
        <w:rPr>
          <w:rFonts w:ascii="Arial" w:cs="Arial" w:eastAsia="Arial" w:hAnsi="Arial"/>
          <w:sz w:val="22"/>
          <w:szCs w:val="22"/>
        </w:rPr>
        <w:t xml:space="preserve">The most recent advancement—a preprint from just weeks ago—proposes integrating the GA4GH Variation Representation Specification (VRS) with OMOP. VRS provides </w:t>
      </w:r>
      <w:r>
        <w:rPr>
          <w:rFonts w:ascii="Arial" w:cs="Arial" w:eastAsia="Arial" w:hAnsi="Arial"/>
          <w:b/>
          <w:bCs/>
          <w:sz w:val="22"/>
          <w:szCs w:val="22"/>
        </w:rPr>
        <w:t xml:space="preserve">computed, globally unique identifiers</w:t>
      </w:r>
      <w:r>
        <w:rPr>
          <w:rFonts w:ascii="Arial" w:cs="Arial" w:eastAsia="Arial" w:hAnsi="Arial"/>
          <w:sz w:val="22"/>
          <w:szCs w:val="22"/>
        </w:rPr>
        <w:t xml:space="preserve"> for genomic variants through a SHA-512 digest algorithm, enabling federated identification without prior coordination between institutions. The KOIOS-VRS pipeline automates conversion of VCF files into OMOP-compatible format with VRS identifiers, storing variants in the MEASUREMENT table using LOINC codes for biomarker encoding. Critically, this approach works </w:t>
      </w:r>
      <w:r>
        <w:rPr>
          <w:rFonts w:ascii="Arial" w:cs="Arial" w:eastAsia="Arial" w:hAnsi="Arial"/>
          <w:b/>
          <w:bCs/>
          <w:sz w:val="22"/>
          <w:szCs w:val="22"/>
        </w:rPr>
        <w:t xml:space="preserve">without introducing custom tables or non-standard extensions</w:t>
      </w:r>
      <w:r>
        <w:rPr>
          <w:rFonts w:ascii="Arial" w:cs="Arial" w:eastAsia="Arial" w:hAnsi="Arial"/>
          <w:sz w:val="22"/>
          <w:szCs w:val="22"/>
        </w:rPr>
        <w:t xml:space="preserve">—a significant advantage for interoperability.</w:t>
      </w:r>
    </w:p>
    <w:p>
      <w:pPr>
        <w:pStyle w:val="Heading3"/>
      </w:pPr>
      <w:r>
        <w:rPr>
          <w:rFonts w:ascii="Arial" w:cs="Arial" w:eastAsia="Arial" w:hAnsi="Arial"/>
        </w:rPr>
        <w:t xml:space="preserve">ODmapper and Vocabulary Enrichment (January 2025)</w:t>
      </w:r>
    </w:p>
    <w:p>
      <w:pPr>
        <w:spacing w:after="160" w:line="276"/>
      </w:pPr>
      <w:r>
        <w:rPr>
          <w:rFonts w:ascii="Arial" w:cs="Arial" w:eastAsia="Arial" w:hAnsi="Arial"/>
          <w:sz w:val="22"/>
          <w:szCs w:val="22"/>
        </w:rPr>
        <w:t xml:space="preserve">Presented at the 2025 OHDSI Symposium, this work by Erwin Tantoso and colleagues addresses the gap in non-cancer genomic data. They developed a Django REST API framework for querying OMOP Genomic Concept IDs (ODmapper), enriched the genomic vocabulary to improve coverage of ACMG v3.2 genes, and built a VCF-to-OMOP CDM converter for cohort-level data. Their key finding: there remains a significant gap in interoperable genomic data standards, making OMOP/GA4GH interoperability strategically essential.</w:t>
      </w:r>
    </w:p>
    <w:p>
      <w:pPr>
        <w:pStyle w:val="Heading2"/>
      </w:pPr>
      <w:r>
        <w:rPr>
          <w:rFonts w:ascii="Arial" w:cs="Arial" w:eastAsia="Arial" w:hAnsi="Arial"/>
        </w:rPr>
        <w:t xml:space="preserve">1.3 Adjacent Domain Extensions</w:t>
      </w:r>
    </w:p>
    <w:p>
      <w:pPr>
        <w:pStyle w:val="Heading3"/>
      </w:pPr>
      <w:r>
        <w:rPr>
          <w:rFonts w:ascii="Arial" w:cs="Arial" w:eastAsia="Arial" w:hAnsi="Arial"/>
        </w:rPr>
        <w:t xml:space="preserve">Surgery &amp; Perioperative Medicine WG</w:t>
      </w:r>
    </w:p>
    <w:p>
      <w:pPr>
        <w:spacing w:after="160" w:line="276"/>
      </w:pPr>
      <w:r>
        <w:rPr>
          <w:rFonts w:ascii="Arial" w:cs="Arial" w:eastAsia="Arial" w:hAnsi="Arial"/>
          <w:sz w:val="22"/>
          <w:szCs w:val="22"/>
        </w:rPr>
        <w:t xml:space="preserve">Led by Evan Minty, this working group focuses on generating real-world evidence for surgical patient care. Recent work includes harmonizing perioperative open datasets (INSPIRE, MOVER) to OMOP CDM, with active research on intraoperative vitals, events, and outcomes. The perioperative domain shares critical data modeling challenges with oncology: temporal relationships between interventions and outcomes, episode-based abstraction of complex procedures, and the need for high-resolution physiological data.</w:t>
      </w:r>
    </w:p>
    <w:p>
      <w:pPr>
        <w:pStyle w:val="Heading3"/>
      </w:pPr>
      <w:r>
        <w:rPr>
          <w:rFonts w:ascii="Arial" w:cs="Arial" w:eastAsia="Arial" w:hAnsi="Arial"/>
        </w:rPr>
        <w:t xml:space="preserve">Medical Imaging Extension</w:t>
      </w:r>
    </w:p>
    <w:p>
      <w:pPr>
        <w:spacing w:after="160" w:line="276"/>
      </w:pPr>
      <w:r>
        <w:rPr>
          <w:rFonts w:ascii="Arial" w:cs="Arial" w:eastAsia="Arial" w:hAnsi="Arial"/>
          <w:sz w:val="22"/>
          <w:szCs w:val="22"/>
        </w:rPr>
        <w:t xml:space="preserve">A reference implementation of an imaging extension to OMOP CDM is being shared at the 2025 symposium. This is directly relevant to cancer genomics research, where imaging findings (tumor size, response assessment) are tightly coupled with molecular profiling and treatment decisions.</w:t>
      </w:r>
    </w:p>
    <w:p>
      <w:pPr>
        <w:pStyle w:val="Heading3"/>
      </w:pPr>
      <w:r>
        <w:rPr>
          <w:rFonts w:ascii="Arial" w:cs="Arial" w:eastAsia="Arial" w:hAnsi="Arial"/>
        </w:rPr>
        <w:t xml:space="preserve">Medical Devices WG</w:t>
      </w:r>
    </w:p>
    <w:p>
      <w:pPr>
        <w:spacing w:after="160" w:line="276"/>
      </w:pPr>
      <w:r>
        <w:rPr>
          <w:rFonts w:ascii="Arial" w:cs="Arial" w:eastAsia="Arial" w:hAnsi="Arial"/>
          <w:sz w:val="22"/>
          <w:szCs w:val="22"/>
        </w:rPr>
        <w:t xml:space="preserve">Working on OMOP extensions for device-related real-world evidence research—relevant to surgical outcomes and implantable device tracking in cancer patients (ports, pumps, surgical mesh, etc.).</w:t>
      </w:r>
    </w:p>
    <w:p>
      <w:pPr>
        <w:pStyle w:val="Heading3"/>
      </w:pPr>
      <w:r>
        <w:rPr>
          <w:rFonts w:ascii="Arial" w:cs="Arial" w:eastAsia="Arial" w:hAnsi="Arial"/>
        </w:rPr>
        <w:t xml:space="preserve">FHIR-to-OMOP Interoperability</w:t>
      </w:r>
    </w:p>
    <w:p>
      <w:pPr>
        <w:spacing w:after="160" w:line="276"/>
      </w:pPr>
      <w:r>
        <w:rPr>
          <w:rFonts w:ascii="Arial" w:cs="Arial" w:eastAsia="Arial" w:hAnsi="Arial"/>
          <w:sz w:val="22"/>
          <w:szCs w:val="22"/>
        </w:rPr>
        <w:t xml:space="preserve">The FHIR+OMOP WG (co-led by Davera Gabriel) is developing standard transformation specifications between HL7 FHIR and OMOP CDM. This is critical infrastructure for Parthenon because molecular diagnostics data increasingly flows through FHIR-based interfaces (SMART on FHIR Genomics, HL7 FHIR Genomics Reporting IG), and real-time EHR integration requires bidirectional FHIR capability.</w:t>
      </w:r>
    </w:p>
    <w:p>
      <w:r>
        <w:br w:type="page"/>
      </w:r>
    </w:p>
    <w:p>
      <w:pPr>
        <w:pStyle w:val="Heading1"/>
      </w:pPr>
      <w:r>
        <w:rPr>
          <w:rFonts w:ascii="Arial" w:cs="Arial" w:eastAsia="Arial" w:hAnsi="Arial"/>
        </w:rPr>
        <w:t xml:space="preserve">2. Critical Gap Analysis</w:t>
      </w:r>
    </w:p>
    <w:p>
      <w:pPr>
        <w:spacing w:after="160" w:line="276"/>
      </w:pPr>
      <w:r>
        <w:rPr>
          <w:rFonts w:ascii="Arial" w:cs="Arial" w:eastAsia="Arial" w:hAnsi="Arial"/>
          <w:sz w:val="22"/>
          <w:szCs w:val="22"/>
        </w:rPr>
        <w:t xml:space="preserve">Despite significant progress, the OHDSI ecosystem has fundamental gaps that prevent it from serving as a true outcomes research platform for precision medicine. These gaps represent Parthenon’s opportunity.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460"/>
        <w:gridCol w:w="34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Gap Domain</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Current State</w:t>
            </w:r>
          </w:p>
        </w:tc>
        <w:tc>
          <w:tcPr>
            <w:tcW w:type="dxa" w:w="3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What Parthenon Must Solve</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Genomic Data Ingestion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KOIOS (R only), vcf2omop (Java), manual HGVS matching. No unified pipeline.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AI-powered multi-format genomic data ingestion: VCF, FASTQ annotations, panel reports (PDF/HL7), FHIR Genomics, cBioPortal MAF format.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Variant-Outcome Linkage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Variants stored in MEASUREMENT table, but no native tooling to link variants to treatment response, survival, or adverse events.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Built-in variant-outcome correlation engine that links specific mutations to treatment episodes, response assessment, and survival curves.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Biomarker-Driven Cohort Definition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Atlas cohort builder has no genomic concept support. Must use raw SQL.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Visual cohort builder with native support for genomic criteria: gene, variant, pathogenicity, TMB, MSI status, fusion events.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Real-Time Evidence at Point of Care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OHDSI is strictly retrospective. No mechanisms for real-time clinical decision support.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AI-powered evidence synthesis that generates computable recommendations from OMOP observational data for clinical integration.</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Multi-Domain Integration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Oncology, Surgery, Devices, Imaging WGs work in silos with separate extension proposals.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Unified data model supporting cross-domain queries: genomics + surgery + imaging + devices + perioperative in a single analytic environment.</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Federated Genomic Analysis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No federated analysis tooling for genomic data across OHDSI network.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Federated variant frequency analysis, treatment-variant association, and survival analysis across Parthenon nodes using GA4GH VRS identifiers.</w:t>
            </w:r>
          </w:p>
        </w:tc>
      </w:tr>
      <w:tr>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NLP for Molecular Reports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OHDSI NLP WG exists but has no genomics-specific extractors.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AI/LLM-powered extraction of structured genomic data from free-text pathology and molecular diagnostics reports.</w:t>
            </w:r>
          </w:p>
        </w:tc>
      </w:tr>
    </w:tbl>
    <w:p>
      <w:pPr>
        <w:spacing w:after="200" w:before="200"/>
      </w:pPr>
    </w:p>
    <w:p>
      <w:r>
        <w:br w:type="page"/>
      </w:r>
    </w:p>
    <w:p>
      <w:pPr>
        <w:pStyle w:val="Heading1"/>
      </w:pPr>
      <w:r>
        <w:rPr>
          <w:rFonts w:ascii="Arial" w:cs="Arial" w:eastAsia="Arial" w:hAnsi="Arial"/>
        </w:rPr>
        <w:t xml:space="preserve">3. Parthenon Enhancement Plan: Four Phases</w:t>
      </w:r>
    </w:p>
    <w:p>
      <w:pPr>
        <w:spacing w:after="160" w:line="276"/>
      </w:pPr>
      <w:r>
        <w:rPr>
          <w:rFonts w:ascii="Arial" w:cs="Arial" w:eastAsia="Arial" w:hAnsi="Arial"/>
          <w:sz w:val="22"/>
          <w:szCs w:val="22"/>
        </w:rPr>
        <w:t xml:space="preserve">The enhancement follows a four-phase roadmap, each phase delivering standalone value while building toward the complete vision. The architecture leverages Parthenon’s existing strengths—Laravel 11 backend, React 19 frontend, AI service layer (Python FastAPI + MedGemma), R Plumber analytics sidecar—and extends them with genomics-native capabilities.</w:t>
      </w:r>
    </w:p>
    <w:p>
      <w:pPr>
        <w:pStyle w:val="Heading2"/>
      </w:pPr>
      <w:r>
        <w:rPr>
          <w:rFonts w:ascii="Arial" w:cs="Arial" w:eastAsia="Arial" w:hAnsi="Arial"/>
        </w:rPr>
        <w:t xml:space="preserve">Phase I: Genomic Data Foundation (Months 1–4)</w:t>
      </w:r>
    </w:p>
    <w:p>
      <w:pPr>
        <w:spacing w:after="160" w:line="276"/>
      </w:pPr>
      <w:r>
        <w:rPr>
          <w:rFonts w:ascii="Arial" w:cs="Arial" w:eastAsia="Arial" w:hAnsi="Arial"/>
          <w:sz w:val="22"/>
          <w:szCs w:val="22"/>
        </w:rPr>
        <w:t xml:space="preserve">Objective: Make Parthenon the easiest path from raw molecular diagnostics data to OMOP-compliant genomic records.</w:t>
      </w:r>
    </w:p>
    <w:p>
      <w:pPr>
        <w:pStyle w:val="Heading3"/>
      </w:pPr>
      <w:r>
        <w:rPr>
          <w:rFonts w:ascii="Arial" w:cs="Arial" w:eastAsia="Arial" w:hAnsi="Arial"/>
        </w:rPr>
        <w:t xml:space="preserve">3.1 OMOP Oncology Extension Native Support</w:t>
      </w:r>
    </w:p>
    <w:p>
      <w:pPr>
        <w:spacing w:after="160" w:line="276"/>
      </w:pPr>
      <w:r>
        <w:rPr>
          <w:rFonts w:ascii="Arial" w:cs="Arial" w:eastAsia="Arial" w:hAnsi="Arial"/>
          <w:sz w:val="22"/>
          <w:szCs w:val="22"/>
        </w:rPr>
        <w:t xml:space="preserve">Implement full support for the OMOP Oncology Extension tables as first-class entities in Parthenon’s data model and UI: </w:t>
      </w:r>
      <w:r>
        <w:rPr>
          <w:rFonts w:ascii="Arial" w:cs="Arial" w:eastAsia="Arial" w:hAnsi="Arial"/>
          <w:b/>
          <w:bCs/>
          <w:sz w:val="22"/>
          <w:szCs w:val="22"/>
        </w:rPr>
        <w:t xml:space="preserve">EPISODE</w:t>
      </w:r>
      <w:r>
        <w:rPr>
          <w:rFonts w:ascii="Arial" w:cs="Arial" w:eastAsia="Arial" w:hAnsi="Arial"/>
          <w:sz w:val="22"/>
          <w:szCs w:val="22"/>
        </w:rPr>
        <w:t xml:space="preserve"> and </w:t>
      </w:r>
      <w:r>
        <w:rPr>
          <w:rFonts w:ascii="Arial" w:cs="Arial" w:eastAsia="Arial" w:hAnsi="Arial"/>
          <w:b/>
          <w:bCs/>
          <w:sz w:val="22"/>
          <w:szCs w:val="22"/>
        </w:rPr>
        <w:t xml:space="preserve">EPISODE_EVENT</w:t>
      </w:r>
      <w:r>
        <w:rPr>
          <w:rFonts w:ascii="Arial" w:cs="Arial" w:eastAsia="Arial" w:hAnsi="Arial"/>
          <w:sz w:val="22"/>
          <w:szCs w:val="22"/>
        </w:rPr>
        <w:t xml:space="preserve"> tables with visual timeline rendering; Cancer Modifier concepts (stage, grade, histology, metastasis) with validated vocabulary lookups; HemOnc-based regimen representation with the Drug Regimen Algorithm V2.0; NAACCR Tumor Registry data ETL support through AI-powered field mapping.</w:t>
      </w:r>
    </w:p>
    <w:p>
      <w:pPr>
        <w:pStyle w:val="Heading3"/>
      </w:pPr>
      <w:r>
        <w:rPr>
          <w:rFonts w:ascii="Arial" w:cs="Arial" w:eastAsia="Arial" w:hAnsi="Arial"/>
        </w:rPr>
        <w:t xml:space="preserve">3.2 Genomic Data Ingestion Pipeline</w:t>
      </w:r>
    </w:p>
    <w:p>
      <w:pPr>
        <w:spacing w:after="160" w:line="276"/>
      </w:pPr>
      <w:r>
        <w:rPr>
          <w:rFonts w:ascii="Arial" w:cs="Arial" w:eastAsia="Arial" w:hAnsi="Arial"/>
          <w:sz w:val="22"/>
          <w:szCs w:val="22"/>
        </w:rPr>
        <w:t xml:space="preserve">Build a unified genomic data ingestion service in the Python FastAPI AI layer that accepts multiple input formats and normalizes them to OMOP Genomic Vocabulary concept IDs:</w:t>
      </w:r>
    </w:p>
    <w:p>
      <w:pPr>
        <w:pStyle w:val="ListParagraph"/>
        <w:numPr>
          <w:ilvl w:val="0"/>
          <w:numId w:val="2"/>
        </w:numPr>
        <w:spacing w:after="80"/>
      </w:pPr>
      <w:r>
        <w:rPr>
          <w:rFonts w:ascii="Arial" w:cs="Arial" w:eastAsia="Arial" w:hAnsi="Arial"/>
          <w:b/>
          <w:bCs/>
          <w:sz w:val="22"/>
          <w:szCs w:val="22"/>
        </w:rPr>
        <w:t xml:space="preserve">VCF/gVCF Files: </w:t>
      </w:r>
      <w:r>
        <w:rPr>
          <w:rFonts w:ascii="Arial" w:cs="Arial" w:eastAsia="Arial" w:hAnsi="Arial"/>
          <w:sz w:val="22"/>
          <w:szCs w:val="22"/>
        </w:rPr>
        <w:t xml:space="preserve">Port KOIOS logic from R to Python, add VRS identifier generation using the GA4GH vrs-python library. Support both single-sample and multi-sample VCF, with reference genome auto-detection.</w:t>
      </w:r>
    </w:p>
    <w:p>
      <w:pPr>
        <w:pStyle w:val="ListParagraph"/>
        <w:numPr>
          <w:ilvl w:val="0"/>
          <w:numId w:val="2"/>
        </w:numPr>
        <w:spacing w:after="80"/>
      </w:pPr>
      <w:r>
        <w:rPr>
          <w:rFonts w:ascii="Arial" w:cs="Arial" w:eastAsia="Arial" w:hAnsi="Arial"/>
          <w:b/>
          <w:bCs/>
          <w:sz w:val="22"/>
          <w:szCs w:val="22"/>
        </w:rPr>
        <w:t xml:space="preserve">Panel Reports (PDF): </w:t>
      </w:r>
      <w:r>
        <w:rPr>
          <w:rFonts w:ascii="Arial" w:cs="Arial" w:eastAsia="Arial" w:hAnsi="Arial"/>
          <w:sz w:val="22"/>
          <w:szCs w:val="22"/>
        </w:rPr>
        <w:t xml:space="preserve">LLM-powered extraction from commercial molecular diagnostics reports (Foundation Medicine, Tempus, Guardant, Caris). Train extraction templates for each vendor using MedGemma fine-tuning.</w:t>
      </w:r>
    </w:p>
    <w:p>
      <w:pPr>
        <w:pStyle w:val="ListParagraph"/>
        <w:numPr>
          <w:ilvl w:val="0"/>
          <w:numId w:val="2"/>
        </w:numPr>
        <w:spacing w:after="80"/>
      </w:pPr>
      <w:r>
        <w:rPr>
          <w:rFonts w:ascii="Arial" w:cs="Arial" w:eastAsia="Arial" w:hAnsi="Arial"/>
          <w:b/>
          <w:bCs/>
          <w:sz w:val="22"/>
          <w:szCs w:val="22"/>
        </w:rPr>
        <w:t xml:space="preserve">HL7 v2 / FHIR Genomics: </w:t>
      </w:r>
      <w:r>
        <w:rPr>
          <w:rFonts w:ascii="Arial" w:cs="Arial" w:eastAsia="Arial" w:hAnsi="Arial"/>
          <w:sz w:val="22"/>
          <w:szCs w:val="22"/>
        </w:rPr>
        <w:t xml:space="preserve">Parse HL7 OBX segments carrying molecular results. Map FHIR Genomics Reporting IG resources (DiagnosticReport, Observation, MolecularSequence) to OMOP MEASUREMENT records.</w:t>
      </w:r>
    </w:p>
    <w:p>
      <w:pPr>
        <w:pStyle w:val="ListParagraph"/>
        <w:numPr>
          <w:ilvl w:val="0"/>
          <w:numId w:val="2"/>
        </w:numPr>
        <w:spacing w:after="80"/>
      </w:pPr>
      <w:r>
        <w:rPr>
          <w:rFonts w:ascii="Arial" w:cs="Arial" w:eastAsia="Arial" w:hAnsi="Arial"/>
          <w:b/>
          <w:bCs/>
          <w:sz w:val="22"/>
          <w:szCs w:val="22"/>
        </w:rPr>
        <w:t xml:space="preserve">cBioPortal MAF/Fusion/CNA: </w:t>
      </w:r>
      <w:r>
        <w:rPr>
          <w:rFonts w:ascii="Arial" w:cs="Arial" w:eastAsia="Arial" w:hAnsi="Arial"/>
          <w:sz w:val="22"/>
          <w:szCs w:val="22"/>
        </w:rPr>
        <w:t xml:space="preserve">Direct import from cBioPortal data formats for integration with TCGA and institutional genomic repositories.</w:t>
      </w:r>
    </w:p>
    <w:p>
      <w:pPr>
        <w:pStyle w:val="ListParagraph"/>
        <w:numPr>
          <w:ilvl w:val="0"/>
          <w:numId w:val="2"/>
        </w:numPr>
        <w:spacing w:after="160"/>
      </w:pPr>
      <w:r>
        <w:rPr>
          <w:rFonts w:ascii="Arial" w:cs="Arial" w:eastAsia="Arial" w:hAnsi="Arial"/>
          <w:b/>
          <w:bCs/>
          <w:sz w:val="22"/>
          <w:szCs w:val="22"/>
        </w:rPr>
        <w:t xml:space="preserve">GA4GH VRS Integration: </w:t>
      </w:r>
      <w:r>
        <w:rPr>
          <w:rFonts w:ascii="Arial" w:cs="Arial" w:eastAsia="Arial" w:hAnsi="Arial"/>
          <w:sz w:val="22"/>
          <w:szCs w:val="22"/>
        </w:rPr>
        <w:t xml:space="preserve">Generate and store VRS computed identifiers for every ingested variant, enabling federated cross-institutional variant identification without prior coordination.</w:t>
      </w:r>
    </w:p>
    <w:p>
      <w:pPr>
        <w:pStyle w:val="Heading3"/>
      </w:pPr>
      <w:r>
        <w:rPr>
          <w:rFonts w:ascii="Arial" w:cs="Arial" w:eastAsia="Arial" w:hAnsi="Arial"/>
        </w:rPr>
        <w:t xml:space="preserve">3.3 Genomic Vocabulary Management</w:t>
      </w:r>
    </w:p>
    <w:p>
      <w:pPr>
        <w:spacing w:after="160" w:line="276"/>
      </w:pPr>
      <w:r>
        <w:rPr>
          <w:rFonts w:ascii="Arial" w:cs="Arial" w:eastAsia="Arial" w:hAnsi="Arial"/>
          <w:sz w:val="22"/>
          <w:szCs w:val="22"/>
        </w:rPr>
        <w:t xml:space="preserve">Extend Parthenon’s AI-powered concept mapper (which replaces Usagi) to handle genomic terminology: HGVS notation parsing and normalization (genomic, transcript, and protein level); Gene symbol resolution via HGNC; ClinVar pathogenicity classification integration; COSMIC somatic variant cross-referencing; PharmGKB pharmacogenomic annotation linking; Actionability classification (OncoKB, CIViC) as concept relationships.</w:t>
      </w:r>
    </w:p>
    <w:p>
      <w:pPr>
        <w:pStyle w:val="Heading3"/>
      </w:pPr>
      <w:r>
        <w:rPr>
          <w:rFonts w:ascii="Arial" w:cs="Arial" w:eastAsia="Arial" w:hAnsi="Arial"/>
        </w:rPr>
        <w:t xml:space="preserve">3.4 Database Schema Extensions</w:t>
      </w:r>
    </w:p>
    <w:p>
      <w:pPr>
        <w:spacing w:after="160" w:line="276"/>
      </w:pPr>
      <w:r>
        <w:rPr>
          <w:rFonts w:ascii="Arial" w:cs="Arial" w:eastAsia="Arial" w:hAnsi="Arial"/>
          <w:sz w:val="22"/>
          <w:szCs w:val="22"/>
        </w:rPr>
        <w:t xml:space="preserve">Implement the following as PostgreSQL schema extensions to the OMOP CDM v5.4 core, maintaining full backward compatibility:</w:t>
      </w:r>
    </w:p>
    <w:p>
      <w:pPr>
        <w:pStyle w:val="ListParagraph"/>
        <w:numPr>
          <w:ilvl w:val="0"/>
          <w:numId w:val="2"/>
        </w:numPr>
        <w:spacing w:after="80"/>
      </w:pPr>
      <w:r>
        <w:rPr>
          <w:rFonts w:ascii="Arial" w:cs="Arial" w:eastAsia="Arial" w:hAnsi="Arial"/>
          <w:b/>
          <w:bCs/>
          <w:sz w:val="22"/>
          <w:szCs w:val="22"/>
        </w:rPr>
        <w:t xml:space="preserve">genomic_test: </w:t>
      </w:r>
      <w:r>
        <w:rPr>
          <w:rFonts w:ascii="Arial" w:cs="Arial" w:eastAsia="Arial" w:hAnsi="Arial"/>
          <w:sz w:val="22"/>
          <w:szCs w:val="22"/>
        </w:rPr>
        <w:t xml:space="preserve">Links a MEASUREMENT record to test metadata: panel name, sequencing platform, coverage depth, tumor purity, reference genome build.</w:t>
      </w:r>
    </w:p>
    <w:p>
      <w:pPr>
        <w:pStyle w:val="ListParagraph"/>
        <w:numPr>
          <w:ilvl w:val="0"/>
          <w:numId w:val="2"/>
        </w:numPr>
        <w:spacing w:after="80"/>
      </w:pPr>
      <w:r>
        <w:rPr>
          <w:rFonts w:ascii="Arial" w:cs="Arial" w:eastAsia="Arial" w:hAnsi="Arial"/>
          <w:b/>
          <w:bCs/>
          <w:sz w:val="22"/>
          <w:szCs w:val="22"/>
        </w:rPr>
        <w:t xml:space="preserve">variant_annotation: </w:t>
      </w:r>
      <w:r>
        <w:rPr>
          <w:rFonts w:ascii="Arial" w:cs="Arial" w:eastAsia="Arial" w:hAnsi="Arial"/>
          <w:sz w:val="22"/>
          <w:szCs w:val="22"/>
        </w:rPr>
        <w:t xml:space="preserve">Stores per-variant computed annotations: VRS identifier, allele frequency (gnomAD, ExAC), functional prediction scores (SIFT, PolyPhen, CADD), clinical significance (ClinVar), and actionability tier.</w:t>
      </w:r>
    </w:p>
    <w:p>
      <w:pPr>
        <w:pStyle w:val="ListParagraph"/>
        <w:numPr>
          <w:ilvl w:val="0"/>
          <w:numId w:val="2"/>
        </w:numPr>
        <w:spacing w:after="160"/>
      </w:pPr>
      <w:r>
        <w:rPr>
          <w:rFonts w:ascii="Arial" w:cs="Arial" w:eastAsia="Arial" w:hAnsi="Arial"/>
          <w:b/>
          <w:bCs/>
          <w:sz w:val="22"/>
          <w:szCs w:val="22"/>
        </w:rPr>
        <w:t xml:space="preserve">specimen_molecular: </w:t>
      </w:r>
      <w:r>
        <w:rPr>
          <w:rFonts w:ascii="Arial" w:cs="Arial" w:eastAsia="Arial" w:hAnsi="Arial"/>
          <w:sz w:val="22"/>
          <w:szCs w:val="22"/>
        </w:rPr>
        <w:t xml:space="preserve">Extends SPECIMEN with molecular-specific attributes: tumor percentage, DNA/RNA extraction method, library preparation, and QC metrics.</w:t>
      </w:r>
    </w:p>
    <w:p>
      <w:pPr>
        <w:pStyle w:val="Heading2"/>
      </w:pPr>
      <w:r>
        <w:rPr>
          <w:rFonts w:ascii="Arial" w:cs="Arial" w:eastAsia="Arial" w:hAnsi="Arial"/>
        </w:rPr>
        <w:t xml:space="preserve">Phase II: Outcomes Research Engine (Months 3–8)</w:t>
      </w:r>
    </w:p>
    <w:p>
      <w:pPr>
        <w:spacing w:after="160" w:line="276"/>
      </w:pPr>
      <w:r>
        <w:rPr>
          <w:rFonts w:ascii="Arial" w:cs="Arial" w:eastAsia="Arial" w:hAnsi="Arial"/>
          <w:sz w:val="22"/>
          <w:szCs w:val="22"/>
        </w:rPr>
        <w:t xml:space="preserve">Objective: Enable researchers to ask and answer precision medicine questions directly in Parthenon without writing code.</w:t>
      </w:r>
    </w:p>
    <w:p>
      <w:pPr>
        <w:pStyle w:val="Heading3"/>
      </w:pPr>
      <w:r>
        <w:rPr>
          <w:rFonts w:ascii="Arial" w:cs="Arial" w:eastAsia="Arial" w:hAnsi="Arial"/>
        </w:rPr>
        <w:t xml:space="preserve">3.5 Genomics-Aware Cohort Builder</w:t>
      </w:r>
    </w:p>
    <w:p>
      <w:pPr>
        <w:spacing w:after="160" w:line="276"/>
      </w:pPr>
      <w:r>
        <w:rPr>
          <w:rFonts w:ascii="Arial" w:cs="Arial" w:eastAsia="Arial" w:hAnsi="Arial"/>
          <w:sz w:val="22"/>
          <w:szCs w:val="22"/>
        </w:rPr>
        <w:t xml:space="preserve">Extend the React cohort definition interface with genomic criteria panels. Researchers should be able to define cohorts using combinations like: patients with EGFR L858R mutation AND Stage IIIB or IV NSCLC AND first-line treatment with osimertinib, all expressed through visual drag-and-drop criteria with real-time patient count estimation. The underlying SQL compiler (Parthenon’s replacement for Circe) must generate efficient queries that join MEASUREMENT (genomic variants), CONDITION_OCCURRENCE (cancer diagnosis), EPISODE (treatment), and EPISODE_EVENT tables.</w:t>
      </w:r>
    </w:p>
    <w:p>
      <w:pPr>
        <w:pStyle w:val="Heading3"/>
      </w:pPr>
      <w:r>
        <w:rPr>
          <w:rFonts w:ascii="Arial" w:cs="Arial" w:eastAsia="Arial" w:hAnsi="Arial"/>
        </w:rPr>
        <w:t xml:space="preserve">3.6 Variant-Outcome Analysis Suite</w:t>
      </w:r>
    </w:p>
    <w:p>
      <w:pPr>
        <w:spacing w:after="160" w:line="276"/>
      </w:pPr>
      <w:r>
        <w:rPr>
          <w:rFonts w:ascii="Arial" w:cs="Arial" w:eastAsia="Arial" w:hAnsi="Arial"/>
          <w:sz w:val="22"/>
          <w:szCs w:val="22"/>
        </w:rPr>
        <w:t xml:space="preserve">Build dedicated analytical modules for precision medicine outcomes research:</w:t>
      </w:r>
    </w:p>
    <w:p>
      <w:pPr>
        <w:pStyle w:val="ListParagraph"/>
        <w:numPr>
          <w:ilvl w:val="0"/>
          <w:numId w:val="2"/>
        </w:numPr>
        <w:spacing w:after="80"/>
      </w:pPr>
      <w:r>
        <w:rPr>
          <w:rFonts w:ascii="Arial" w:cs="Arial" w:eastAsia="Arial" w:hAnsi="Arial"/>
          <w:b/>
          <w:bCs/>
          <w:sz w:val="22"/>
          <w:szCs w:val="22"/>
        </w:rPr>
        <w:t xml:space="preserve">Mutation-Survival Analyzer: </w:t>
      </w:r>
      <w:r>
        <w:rPr>
          <w:rFonts w:ascii="Arial" w:cs="Arial" w:eastAsia="Arial" w:hAnsi="Arial"/>
          <w:sz w:val="22"/>
          <w:szCs w:val="22"/>
        </w:rPr>
        <w:t xml:space="preserve">Kaplan-Meier and Cox proportional hazards analysis stratified by genomic features. Visualize overall survival, progression-free survival, and time-to-treatment-failure by mutation status, TMB quantile, MSI status, or gene signature score.</w:t>
      </w:r>
    </w:p>
    <w:p>
      <w:pPr>
        <w:pStyle w:val="ListParagraph"/>
        <w:numPr>
          <w:ilvl w:val="0"/>
          <w:numId w:val="2"/>
        </w:numPr>
        <w:spacing w:after="80"/>
      </w:pPr>
      <w:r>
        <w:rPr>
          <w:rFonts w:ascii="Arial" w:cs="Arial" w:eastAsia="Arial" w:hAnsi="Arial"/>
          <w:b/>
          <w:bCs/>
          <w:sz w:val="22"/>
          <w:szCs w:val="22"/>
        </w:rPr>
        <w:t xml:space="preserve">Treatment-Variant Response Matrix: </w:t>
      </w:r>
      <w:r>
        <w:rPr>
          <w:rFonts w:ascii="Arial" w:cs="Arial" w:eastAsia="Arial" w:hAnsi="Arial"/>
          <w:sz w:val="22"/>
          <w:szCs w:val="22"/>
        </w:rPr>
        <w:t xml:space="preserve">Heatmap visualization showing response rates across variant-treatment combinations. Auto-generate comparative effectiveness evidence for molecularly-defined subgroups.</w:t>
      </w:r>
    </w:p>
    <w:p>
      <w:pPr>
        <w:pStyle w:val="ListParagraph"/>
        <w:numPr>
          <w:ilvl w:val="0"/>
          <w:numId w:val="2"/>
        </w:numPr>
        <w:spacing w:after="80"/>
      </w:pPr>
      <w:r>
        <w:rPr>
          <w:rFonts w:ascii="Arial" w:cs="Arial" w:eastAsia="Arial" w:hAnsi="Arial"/>
          <w:b/>
          <w:bCs/>
          <w:sz w:val="22"/>
          <w:szCs w:val="22"/>
        </w:rPr>
        <w:t xml:space="preserve">Genomic Characterization Dashboard: </w:t>
      </w:r>
      <w:r>
        <w:rPr>
          <w:rFonts w:ascii="Arial" w:cs="Arial" w:eastAsia="Arial" w:hAnsi="Arial"/>
          <w:sz w:val="22"/>
          <w:szCs w:val="22"/>
        </w:rPr>
        <w:t xml:space="preserve">Modernized replacement for GeneProfiler—interactive waterfall plots, lollipop mutation diagrams, co-occurrence matrices, and pathway enrichment analysis, all rendered in React with Recharts/D3.</w:t>
      </w:r>
    </w:p>
    <w:p>
      <w:pPr>
        <w:pStyle w:val="ListParagraph"/>
        <w:numPr>
          <w:ilvl w:val="0"/>
          <w:numId w:val="2"/>
        </w:numPr>
        <w:spacing w:after="160"/>
      </w:pPr>
      <w:r>
        <w:rPr>
          <w:rFonts w:ascii="Arial" w:cs="Arial" w:eastAsia="Arial" w:hAnsi="Arial"/>
          <w:b/>
          <w:bCs/>
          <w:sz w:val="22"/>
          <w:szCs w:val="22"/>
        </w:rPr>
        <w:t xml:space="preserve">Pharmacogenomic Correlator: </w:t>
      </w:r>
      <w:r>
        <w:rPr>
          <w:rFonts w:ascii="Arial" w:cs="Arial" w:eastAsia="Arial" w:hAnsi="Arial"/>
          <w:sz w:val="22"/>
          <w:szCs w:val="22"/>
        </w:rPr>
        <w:t xml:space="preserve">Link drug exposure data to germline pharmacogenomic variants to identify metabolizer phenotypes and predict adverse drug reactions at the population level.</w:t>
      </w:r>
    </w:p>
    <w:p>
      <w:pPr>
        <w:pStyle w:val="Heading3"/>
      </w:pPr>
      <w:r>
        <w:rPr>
          <w:rFonts w:ascii="Arial" w:cs="Arial" w:eastAsia="Arial" w:hAnsi="Arial"/>
        </w:rPr>
        <w:t xml:space="preserve">3.7 Multi-Domain Evidence Integration</w:t>
      </w:r>
    </w:p>
    <w:p>
      <w:pPr>
        <w:spacing w:after="160" w:line="276"/>
      </w:pPr>
      <w:r>
        <w:rPr>
          <w:rFonts w:ascii="Arial" w:cs="Arial" w:eastAsia="Arial" w:hAnsi="Arial"/>
          <w:sz w:val="22"/>
          <w:szCs w:val="22"/>
        </w:rPr>
        <w:t xml:space="preserve">This is where Parthenon transcends oncology and becomes the platform for all domains requiring accelerated evidence. Build cross-domain query capabilities that unite:</w:t>
      </w:r>
    </w:p>
    <w:p>
      <w:pPr>
        <w:pStyle w:val="ListParagraph"/>
        <w:numPr>
          <w:ilvl w:val="0"/>
          <w:numId w:val="2"/>
        </w:numPr>
        <w:spacing w:after="80"/>
      </w:pPr>
      <w:r>
        <w:rPr>
          <w:rFonts w:ascii="Arial" w:cs="Arial" w:eastAsia="Arial" w:hAnsi="Arial"/>
          <w:b/>
          <w:bCs/>
          <w:sz w:val="22"/>
          <w:szCs w:val="22"/>
        </w:rPr>
        <w:t xml:space="preserve">Surgical Outcomes + Genomics: </w:t>
      </w:r>
      <w:r>
        <w:rPr>
          <w:rFonts w:ascii="Arial" w:cs="Arial" w:eastAsia="Arial" w:hAnsi="Arial"/>
          <w:sz w:val="22"/>
          <w:szCs w:val="22"/>
        </w:rPr>
        <w:t xml:space="preserve">Link surgical procedures (PROCEDURE_OCCURRENCE) and perioperative events to molecular profiles. Example: Do BRCA1 carriers undergoing risk-reducing salpingo-oophorectomy have different complication rates? What genomic signatures predict surgical wound healing?</w:t>
      </w:r>
    </w:p>
    <w:p>
      <w:pPr>
        <w:pStyle w:val="ListParagraph"/>
        <w:numPr>
          <w:ilvl w:val="0"/>
          <w:numId w:val="2"/>
        </w:numPr>
        <w:spacing w:after="80"/>
      </w:pPr>
      <w:r>
        <w:rPr>
          <w:rFonts w:ascii="Arial" w:cs="Arial" w:eastAsia="Arial" w:hAnsi="Arial"/>
          <w:b/>
          <w:bCs/>
          <w:sz w:val="22"/>
          <w:szCs w:val="22"/>
        </w:rPr>
        <w:t xml:space="preserve">Imaging + Genomics (Radiogenomics): </w:t>
      </w:r>
      <w:r>
        <w:rPr>
          <w:rFonts w:ascii="Arial" w:cs="Arial" w:eastAsia="Arial" w:hAnsi="Arial"/>
          <w:sz w:val="22"/>
          <w:szCs w:val="22"/>
        </w:rPr>
        <w:t xml:space="preserve">When the OHDSI Medical Imaging extension is finalized, integrate imaging features with molecular data for radiogenomic correlation studies.</w:t>
      </w:r>
    </w:p>
    <w:p>
      <w:pPr>
        <w:pStyle w:val="ListParagraph"/>
        <w:numPr>
          <w:ilvl w:val="0"/>
          <w:numId w:val="2"/>
        </w:numPr>
        <w:spacing w:after="80"/>
      </w:pPr>
      <w:r>
        <w:rPr>
          <w:rFonts w:ascii="Arial" w:cs="Arial" w:eastAsia="Arial" w:hAnsi="Arial"/>
          <w:b/>
          <w:bCs/>
          <w:sz w:val="22"/>
          <w:szCs w:val="22"/>
        </w:rPr>
        <w:t xml:space="preserve">Devices + Outcomes: </w:t>
      </w:r>
      <w:r>
        <w:rPr>
          <w:rFonts w:ascii="Arial" w:cs="Arial" w:eastAsia="Arial" w:hAnsi="Arial"/>
          <w:sz w:val="22"/>
          <w:szCs w:val="22"/>
        </w:rPr>
        <w:t xml:space="preserve">Track medical device implantation through surgical episodes and correlate with long-term outcomes, enabling the device surveillance use cases the Medical Devices WG requires.</w:t>
      </w:r>
    </w:p>
    <w:p>
      <w:pPr>
        <w:pStyle w:val="ListParagraph"/>
        <w:numPr>
          <w:ilvl w:val="0"/>
          <w:numId w:val="2"/>
        </w:numPr>
        <w:spacing w:after="160"/>
      </w:pPr>
      <w:r>
        <w:rPr>
          <w:rFonts w:ascii="Arial" w:cs="Arial" w:eastAsia="Arial" w:hAnsi="Arial"/>
          <w:b/>
          <w:bCs/>
          <w:sz w:val="22"/>
          <w:szCs w:val="22"/>
        </w:rPr>
        <w:t xml:space="preserve">GIS + Environmental Exposures: </w:t>
      </w:r>
      <w:r>
        <w:rPr>
          <w:rFonts w:ascii="Arial" w:cs="Arial" w:eastAsia="Arial" w:hAnsi="Arial"/>
          <w:sz w:val="22"/>
          <w:szCs w:val="22"/>
        </w:rPr>
        <w:t xml:space="preserve">Leverage the OHDSI GIS Vocabulary Package to add geographic and environmental context to molecular epidemiology studies.</w:t>
      </w:r>
    </w:p>
    <w:p>
      <w:pPr>
        <w:pStyle w:val="Heading2"/>
      </w:pPr>
      <w:r>
        <w:rPr>
          <w:rFonts w:ascii="Arial" w:cs="Arial" w:eastAsia="Arial" w:hAnsi="Arial"/>
        </w:rPr>
        <w:t xml:space="preserve">Phase III: AI-Powered Evidence Synthesis (Months 6–12)</w:t>
      </w:r>
    </w:p>
    <w:p>
      <w:pPr>
        <w:spacing w:after="160" w:line="276"/>
      </w:pPr>
      <w:r>
        <w:rPr>
          <w:rFonts w:ascii="Arial" w:cs="Arial" w:eastAsia="Arial" w:hAnsi="Arial"/>
          <w:sz w:val="22"/>
          <w:szCs w:val="22"/>
        </w:rPr>
        <w:t xml:space="preserve">Objective: Use AI to close the 17-year evidence-to-practice gap by generating computable knowledge from OMOP observational data.</w:t>
      </w:r>
    </w:p>
    <w:p>
      <w:pPr>
        <w:pStyle w:val="Heading3"/>
      </w:pPr>
      <w:r>
        <w:rPr>
          <w:rFonts w:ascii="Arial" w:cs="Arial" w:eastAsia="Arial" w:hAnsi="Arial"/>
        </w:rPr>
        <w:t xml:space="preserve">3.8 Automated Evidence Generation</w:t>
      </w:r>
    </w:p>
    <w:p>
      <w:pPr>
        <w:spacing w:after="160" w:line="276"/>
      </w:pPr>
      <w:r>
        <w:rPr>
          <w:rFonts w:ascii="Arial" w:cs="Arial" w:eastAsia="Arial" w:hAnsi="Arial"/>
          <w:sz w:val="22"/>
          <w:szCs w:val="22"/>
        </w:rPr>
        <w:t xml:space="preserve">Deploy an evidence generation pipeline that continuously monitors OMOP data for emerging signals:</w:t>
      </w:r>
    </w:p>
    <w:p>
      <w:pPr>
        <w:pStyle w:val="ListParagraph"/>
        <w:numPr>
          <w:ilvl w:val="0"/>
          <w:numId w:val="2"/>
        </w:numPr>
        <w:spacing w:after="80"/>
      </w:pPr>
      <w:r>
        <w:rPr>
          <w:rFonts w:ascii="Arial" w:cs="Arial" w:eastAsia="Arial" w:hAnsi="Arial"/>
          <w:b/>
          <w:bCs/>
          <w:sz w:val="22"/>
          <w:szCs w:val="22"/>
        </w:rPr>
        <w:t xml:space="preserve">Signal Detection: </w:t>
      </w:r>
      <w:r>
        <w:rPr>
          <w:rFonts w:ascii="Arial" w:cs="Arial" w:eastAsia="Arial" w:hAnsi="Arial"/>
          <w:sz w:val="22"/>
          <w:szCs w:val="22"/>
        </w:rPr>
        <w:t xml:space="preserve">Disproportionality analysis and Bayesian sequential monitoring for genomic-treatment interactions. Detect when specific mutations correlate with unexpected treatment toxicity or exceptional response.</w:t>
      </w:r>
    </w:p>
    <w:p>
      <w:pPr>
        <w:pStyle w:val="ListParagraph"/>
        <w:numPr>
          <w:ilvl w:val="0"/>
          <w:numId w:val="2"/>
        </w:numPr>
        <w:spacing w:after="80"/>
      </w:pPr>
      <w:r>
        <w:rPr>
          <w:rFonts w:ascii="Arial" w:cs="Arial" w:eastAsia="Arial" w:hAnsi="Arial"/>
          <w:b/>
          <w:bCs/>
          <w:sz w:val="22"/>
          <w:szCs w:val="22"/>
        </w:rPr>
        <w:t xml:space="preserve">Automated Study Execution: </w:t>
      </w:r>
      <w:r>
        <w:rPr>
          <w:rFonts w:ascii="Arial" w:cs="Arial" w:eastAsia="Arial" w:hAnsi="Arial"/>
          <w:sz w:val="22"/>
          <w:szCs w:val="22"/>
        </w:rPr>
        <w:t xml:space="preserve">Extend the Strategus study orchestration replacement to auto-generate and execute population-level effect estimation studies when sufficient data accumulates for a genomic-treatment question. This is the engine that converts raw observations into evidence without human bottleneck.</w:t>
      </w:r>
    </w:p>
    <w:p>
      <w:pPr>
        <w:pStyle w:val="ListParagraph"/>
        <w:numPr>
          <w:ilvl w:val="0"/>
          <w:numId w:val="2"/>
        </w:numPr>
        <w:spacing w:after="160"/>
      </w:pPr>
      <w:r>
        <w:rPr>
          <w:rFonts w:ascii="Arial" w:cs="Arial" w:eastAsia="Arial" w:hAnsi="Arial"/>
          <w:b/>
          <w:bCs/>
          <w:sz w:val="22"/>
          <w:szCs w:val="22"/>
        </w:rPr>
        <w:t xml:space="preserve">Evidence Summarization: </w:t>
      </w:r>
      <w:r>
        <w:rPr>
          <w:rFonts w:ascii="Arial" w:cs="Arial" w:eastAsia="Arial" w:hAnsi="Arial"/>
          <w:sz w:val="22"/>
          <w:szCs w:val="22"/>
        </w:rPr>
        <w:t xml:space="preserve">LLM-powered synthesis of analytical results into human-readable evidence summaries with confidence intervals, effect sizes, and GRADE-style quality assessments.</w:t>
      </w:r>
    </w:p>
    <w:p>
      <w:pPr>
        <w:pStyle w:val="Heading3"/>
      </w:pPr>
      <w:r>
        <w:rPr>
          <w:rFonts w:ascii="Arial" w:cs="Arial" w:eastAsia="Arial" w:hAnsi="Arial"/>
        </w:rPr>
        <w:t xml:space="preserve">3.9 Clinical Decision Support Interface</w:t>
      </w:r>
    </w:p>
    <w:p>
      <w:pPr>
        <w:spacing w:after="160" w:line="276"/>
      </w:pPr>
      <w:r>
        <w:rPr>
          <w:rFonts w:ascii="Arial" w:cs="Arial" w:eastAsia="Arial" w:hAnsi="Arial"/>
          <w:sz w:val="22"/>
          <w:szCs w:val="22"/>
        </w:rPr>
        <w:t xml:space="preserve">Build a CDS Hooks-compatible layer that can serve genomics-informed recommendations back to EHR systems:</w:t>
      </w:r>
    </w:p>
    <w:p>
      <w:pPr>
        <w:pStyle w:val="ListParagraph"/>
        <w:numPr>
          <w:ilvl w:val="0"/>
          <w:numId w:val="2"/>
        </w:numPr>
        <w:spacing w:after="80"/>
      </w:pPr>
      <w:r>
        <w:rPr>
          <w:rFonts w:ascii="Arial" w:cs="Arial" w:eastAsia="Arial" w:hAnsi="Arial"/>
          <w:b/>
          <w:bCs/>
          <w:sz w:val="22"/>
          <w:szCs w:val="22"/>
        </w:rPr>
        <w:t xml:space="preserve">Molecular Tumor Board Support: </w:t>
      </w:r>
      <w:r>
        <w:rPr>
          <w:rFonts w:ascii="Arial" w:cs="Arial" w:eastAsia="Arial" w:hAnsi="Arial"/>
          <w:sz w:val="22"/>
          <w:szCs w:val="22"/>
        </w:rPr>
        <w:t xml:space="preserve">Given a patient’s molecular profile, query the Parthenon evidence base for treatment-outcome data from molecularly similar patients across the OMOP network. Present as an interactive evidence dashboard for tumor board discussions.</w:t>
      </w:r>
    </w:p>
    <w:p>
      <w:pPr>
        <w:pStyle w:val="ListParagraph"/>
        <w:numPr>
          <w:ilvl w:val="0"/>
          <w:numId w:val="2"/>
        </w:numPr>
        <w:spacing w:after="80"/>
      </w:pPr>
      <w:r>
        <w:rPr>
          <w:rFonts w:ascii="Arial" w:cs="Arial" w:eastAsia="Arial" w:hAnsi="Arial"/>
          <w:b/>
          <w:bCs/>
          <w:sz w:val="22"/>
          <w:szCs w:val="22"/>
        </w:rPr>
        <w:t xml:space="preserve">FHIR-based Evidence Delivery: </w:t>
      </w:r>
      <w:r>
        <w:rPr>
          <w:rFonts w:ascii="Arial" w:cs="Arial" w:eastAsia="Arial" w:hAnsi="Arial"/>
          <w:sz w:val="22"/>
          <w:szCs w:val="22"/>
        </w:rPr>
        <w:t xml:space="preserve">Package evidence into FHIR ClinicalReasoning resources (PlanDefinition, Library, EvidenceVariable) for integration with EHR clinical pathways. Leverage the FHIR+OMOP WG’s bidirectional transformation specifications.</w:t>
      </w:r>
    </w:p>
    <w:p>
      <w:pPr>
        <w:pStyle w:val="ListParagraph"/>
        <w:numPr>
          <w:ilvl w:val="0"/>
          <w:numId w:val="2"/>
        </w:numPr>
        <w:spacing w:after="160"/>
      </w:pPr>
      <w:r>
        <w:rPr>
          <w:rFonts w:ascii="Arial" w:cs="Arial" w:eastAsia="Arial" w:hAnsi="Arial"/>
          <w:b/>
          <w:bCs/>
          <w:sz w:val="22"/>
          <w:szCs w:val="22"/>
        </w:rPr>
        <w:t xml:space="preserve">NLP for Molecular Reports: </w:t>
      </w:r>
      <w:r>
        <w:rPr>
          <w:rFonts w:ascii="Arial" w:cs="Arial" w:eastAsia="Arial" w:hAnsi="Arial"/>
          <w:sz w:val="22"/>
          <w:szCs w:val="22"/>
        </w:rPr>
        <w:t xml:space="preserve">LLM-powered extraction pipeline that reads unstructured molecular pathology reports, extracts structured variant data, maps to OMOP concepts, and simultaneously queries the evidence base for relevant findings—all in a single workflow.</w:t>
      </w:r>
    </w:p>
    <w:p>
      <w:pPr>
        <w:pStyle w:val="Heading2"/>
      </w:pPr>
      <w:r>
        <w:rPr>
          <w:rFonts w:ascii="Arial" w:cs="Arial" w:eastAsia="Arial" w:hAnsi="Arial"/>
        </w:rPr>
        <w:t xml:space="preserve">Phase IV: Federated Network (Months 10–18)</w:t>
      </w:r>
    </w:p>
    <w:p>
      <w:pPr>
        <w:spacing w:after="160" w:line="276"/>
      </w:pPr>
      <w:r>
        <w:rPr>
          <w:rFonts w:ascii="Arial" w:cs="Arial" w:eastAsia="Arial" w:hAnsi="Arial"/>
          <w:sz w:val="22"/>
          <w:szCs w:val="22"/>
        </w:rPr>
        <w:t xml:space="preserve">Objective: Enable multi-institutional precision medicine research without sharing patient-level data.</w:t>
      </w:r>
    </w:p>
    <w:p>
      <w:pPr>
        <w:pStyle w:val="Heading3"/>
      </w:pPr>
      <w:r>
        <w:rPr>
          <w:rFonts w:ascii="Arial" w:cs="Arial" w:eastAsia="Arial" w:hAnsi="Arial"/>
        </w:rPr>
        <w:t xml:space="preserve">3.10 Federated Genomic Analytics</w:t>
      </w:r>
    </w:p>
    <w:p>
      <w:pPr>
        <w:spacing w:after="160" w:line="276"/>
      </w:pPr>
      <w:r>
        <w:rPr>
          <w:rFonts w:ascii="Arial" w:cs="Arial" w:eastAsia="Arial" w:hAnsi="Arial"/>
          <w:sz w:val="22"/>
          <w:szCs w:val="22"/>
        </w:rPr>
        <w:t xml:space="preserve">Extend Parthenon’s architecture with federated analysis capabilities specifically designed for molecular data:</w:t>
      </w:r>
    </w:p>
    <w:p>
      <w:pPr>
        <w:pStyle w:val="ListParagraph"/>
        <w:numPr>
          <w:ilvl w:val="0"/>
          <w:numId w:val="2"/>
        </w:numPr>
        <w:spacing w:after="80"/>
      </w:pPr>
      <w:r>
        <w:rPr>
          <w:rFonts w:ascii="Arial" w:cs="Arial" w:eastAsia="Arial" w:hAnsi="Arial"/>
          <w:b/>
          <w:bCs/>
          <w:sz w:val="22"/>
          <w:szCs w:val="22"/>
        </w:rPr>
        <w:t xml:space="preserve">GA4GH VRS-Based Federation: </w:t>
      </w:r>
      <w:r>
        <w:rPr>
          <w:rFonts w:ascii="Arial" w:cs="Arial" w:eastAsia="Arial" w:hAnsi="Arial"/>
          <w:sz w:val="22"/>
          <w:szCs w:val="22"/>
        </w:rPr>
        <w:t xml:space="preserve">Use VRS computed identifiers as the universal variant key across institutions. Each Parthenon node computes VRS IDs locally; federated queries reference variants by their globally unique VRS identifiers without exposing patient data.</w:t>
      </w:r>
    </w:p>
    <w:p>
      <w:pPr>
        <w:pStyle w:val="ListParagraph"/>
        <w:numPr>
          <w:ilvl w:val="0"/>
          <w:numId w:val="2"/>
        </w:numPr>
        <w:spacing w:after="80"/>
      </w:pPr>
      <w:r>
        <w:rPr>
          <w:rFonts w:ascii="Arial" w:cs="Arial" w:eastAsia="Arial" w:hAnsi="Arial"/>
          <w:b/>
          <w:bCs/>
          <w:sz w:val="22"/>
          <w:szCs w:val="22"/>
        </w:rPr>
        <w:t xml:space="preserve">Federated Variant Frequency: </w:t>
      </w:r>
      <w:r>
        <w:rPr>
          <w:rFonts w:ascii="Arial" w:cs="Arial" w:eastAsia="Arial" w:hAnsi="Arial"/>
          <w:sz w:val="22"/>
          <w:szCs w:val="22"/>
        </w:rPr>
        <w:t xml:space="preserve">Compute allele frequencies across the network—a privacy-preserving alternative to centralized genomic databases, enabling institutional comparisons like the G-CDM’s Ajou vs. TCGA analysis but at network scale.</w:t>
      </w:r>
    </w:p>
    <w:p>
      <w:pPr>
        <w:pStyle w:val="ListParagraph"/>
        <w:numPr>
          <w:ilvl w:val="0"/>
          <w:numId w:val="2"/>
        </w:numPr>
        <w:spacing w:after="80"/>
      </w:pPr>
      <w:r>
        <w:rPr>
          <w:rFonts w:ascii="Arial" w:cs="Arial" w:eastAsia="Arial" w:hAnsi="Arial"/>
          <w:b/>
          <w:bCs/>
          <w:sz w:val="22"/>
          <w:szCs w:val="22"/>
        </w:rPr>
        <w:t xml:space="preserve">Network Study Packages: </w:t>
      </w:r>
      <w:r>
        <w:rPr>
          <w:rFonts w:ascii="Arial" w:cs="Arial" w:eastAsia="Arial" w:hAnsi="Arial"/>
          <w:sz w:val="22"/>
          <w:szCs w:val="22"/>
        </w:rPr>
        <w:t xml:space="preserve">Pre-packaged, reproducible study definitions that participating institutions can execute locally against their OMOP CDM instance and return aggregate results. Specifically designed for genomic-clinical correlation studies.</w:t>
      </w:r>
    </w:p>
    <w:p>
      <w:pPr>
        <w:pStyle w:val="ListParagraph"/>
        <w:numPr>
          <w:ilvl w:val="0"/>
          <w:numId w:val="2"/>
        </w:numPr>
        <w:spacing w:after="160"/>
      </w:pPr>
      <w:r>
        <w:rPr>
          <w:rFonts w:ascii="Arial" w:cs="Arial" w:eastAsia="Arial" w:hAnsi="Arial"/>
          <w:b/>
          <w:bCs/>
          <w:sz w:val="22"/>
          <w:szCs w:val="22"/>
        </w:rPr>
        <w:t xml:space="preserve">Differential Privacy: </w:t>
      </w:r>
      <w:r>
        <w:rPr>
          <w:rFonts w:ascii="Arial" w:cs="Arial" w:eastAsia="Arial" w:hAnsi="Arial"/>
          <w:sz w:val="22"/>
          <w:szCs w:val="22"/>
        </w:rPr>
        <w:t xml:space="preserve">Implement differential privacy guarantees for genomic summary statistics, enabling safe sharing of variant frequencies even for rare variants where small cell counts could risk re-identification.</w:t>
      </w:r>
    </w:p>
    <w:p>
      <w:pPr>
        <w:pStyle w:val="Heading3"/>
      </w:pPr>
      <w:r>
        <w:rPr>
          <w:rFonts w:ascii="Arial" w:cs="Arial" w:eastAsia="Arial" w:hAnsi="Arial"/>
        </w:rPr>
        <w:t xml:space="preserve">3.11 Learning Health Network Integration</w:t>
      </w:r>
    </w:p>
    <w:p>
      <w:pPr>
        <w:spacing w:after="160" w:line="276"/>
      </w:pPr>
      <w:r>
        <w:rPr>
          <w:rFonts w:ascii="Arial" w:cs="Arial" w:eastAsia="Arial" w:hAnsi="Arial"/>
          <w:sz w:val="22"/>
          <w:szCs w:val="22"/>
        </w:rPr>
        <w:t xml:space="preserve">Build the infrastructure to close the evidence-practice loop across a network of Parthenon nodes:</w:t>
      </w:r>
    </w:p>
    <w:p>
      <w:pPr>
        <w:pStyle w:val="ListParagraph"/>
        <w:numPr>
          <w:ilvl w:val="0"/>
          <w:numId w:val="2"/>
        </w:numPr>
        <w:spacing w:after="80"/>
      </w:pPr>
      <w:r>
        <w:rPr>
          <w:rFonts w:ascii="Arial" w:cs="Arial" w:eastAsia="Arial" w:hAnsi="Arial"/>
          <w:b/>
          <w:bCs/>
          <w:sz w:val="22"/>
          <w:szCs w:val="22"/>
        </w:rPr>
        <w:t xml:space="preserve">Computable Evidence Repository: </w:t>
      </w:r>
      <w:r>
        <w:rPr>
          <w:rFonts w:ascii="Arial" w:cs="Arial" w:eastAsia="Arial" w:hAnsi="Arial"/>
          <w:sz w:val="22"/>
          <w:szCs w:val="22"/>
        </w:rPr>
        <w:t xml:space="preserve">A shared, versioned repository of evidence artifacts (cohort definitions, prediction models, treatment algorithms) that Parthenon nodes can subscribe to and deploy locally.</w:t>
      </w:r>
    </w:p>
    <w:p>
      <w:pPr>
        <w:pStyle w:val="ListParagraph"/>
        <w:numPr>
          <w:ilvl w:val="0"/>
          <w:numId w:val="2"/>
        </w:numPr>
        <w:spacing w:after="80"/>
      </w:pPr>
      <w:r>
        <w:rPr>
          <w:rFonts w:ascii="Arial" w:cs="Arial" w:eastAsia="Arial" w:hAnsi="Arial"/>
          <w:b/>
          <w:bCs/>
          <w:sz w:val="22"/>
          <w:szCs w:val="22"/>
        </w:rPr>
        <w:t xml:space="preserve">Continuous Learning Loop: </w:t>
      </w:r>
      <w:r>
        <w:rPr>
          <w:rFonts w:ascii="Arial" w:cs="Arial" w:eastAsia="Arial" w:hAnsi="Arial"/>
          <w:sz w:val="22"/>
          <w:szCs w:val="22"/>
        </w:rPr>
        <w:t xml:space="preserve">Each node contributes aggregate outcomes data that refines network-level models. New evidence is automatically distributed and, upon institutional review, deployed into local CDS systems. This is the Learning Health System architecture applied to precision medicine.</w:t>
      </w:r>
    </w:p>
    <w:p>
      <w:pPr>
        <w:pStyle w:val="ListParagraph"/>
        <w:numPr>
          <w:ilvl w:val="0"/>
          <w:numId w:val="2"/>
        </w:numPr>
        <w:spacing w:after="160"/>
      </w:pPr>
      <w:r>
        <w:rPr>
          <w:rFonts w:ascii="Arial" w:cs="Arial" w:eastAsia="Arial" w:hAnsi="Arial"/>
          <w:b/>
          <w:bCs/>
          <w:sz w:val="22"/>
          <w:szCs w:val="22"/>
        </w:rPr>
        <w:t xml:space="preserve">OHDSI Evidence Network Alignment: </w:t>
      </w:r>
      <w:r>
        <w:rPr>
          <w:rFonts w:ascii="Arial" w:cs="Arial" w:eastAsia="Arial" w:hAnsi="Arial"/>
          <w:sz w:val="22"/>
          <w:szCs w:val="22"/>
        </w:rPr>
        <w:t xml:space="preserve">Design Parthenon’s federation layer to be compatible with the broader OHDSI Evidence Network, enabling Parthenon nodes to participate in standard OHDSI network studies while also leveraging genomics-specific federation capabilities.</w:t>
      </w:r>
    </w:p>
    <w:p>
      <w:r>
        <w:br w:type="page"/>
      </w:r>
    </w:p>
    <w:p>
      <w:pPr>
        <w:pStyle w:val="Heading1"/>
      </w:pPr>
      <w:r>
        <w:rPr>
          <w:rFonts w:ascii="Arial" w:cs="Arial" w:eastAsia="Arial" w:hAnsi="Arial"/>
        </w:rPr>
        <w:t xml:space="preserve">4. Technical Architecture</w:t>
      </w:r>
    </w:p>
    <w:p>
      <w:pPr>
        <w:pStyle w:val="Heading2"/>
      </w:pPr>
      <w:r>
        <w:rPr>
          <w:rFonts w:ascii="Arial" w:cs="Arial" w:eastAsia="Arial" w:hAnsi="Arial"/>
        </w:rPr>
        <w:t xml:space="preserve">4.1 Extended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6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Layer</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Current</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Enhancement</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Backend API</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Laravel 11, PHP 8.4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Genomics API endpoints, FHIR R4 server facade, CDS Hooks service</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Frontend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React 19, TypeScript, Vite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Genomic visualization (IGV.js), interactive Oncoprints, lollipop plots, pathway viewer</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AI Service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Python FastAPI + MedGemma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Genomic ingestion pipeline, NLP molecular report extraction, evidence synthesis, VRS computation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Analytics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R Plumber (HADES stubs)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Survival analysis, treatment-variant matrices, pharmacogenomic correlation, federated statistics</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Database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PostgreSQL 17 (OMOP CDM)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 Oncology Extension tables, genomic schema extensions, columnar storage for variant data (pg_analytics/DuckDB integration)</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Interop Layer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(none)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FHIR R4 facade (HAPI-on-JVM or PHP implementation), HL7 v2 parser, GA4GH Beacon API</w:t>
            </w:r>
          </w:p>
        </w:tc>
      </w:tr>
      <w:tr>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Federation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(none)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Parthenon-to-Parthenon secure API, VRS-based variant resolution, differential privacy engine</w:t>
            </w:r>
          </w:p>
        </w:tc>
      </w:tr>
    </w:tbl>
    <w:p>
      <w:pPr>
        <w:spacing w:before="200"/>
      </w:pPr>
    </w:p>
    <w:p>
      <w:pPr>
        <w:pStyle w:val="Heading2"/>
      </w:pPr>
      <w:r>
        <w:rPr>
          <w:rFonts w:ascii="Arial" w:cs="Arial" w:eastAsia="Arial" w:hAnsi="Arial"/>
        </w:rPr>
        <w:t xml:space="preserve">4.2 Data Flow Architecture</w:t>
      </w:r>
    </w:p>
    <w:p>
      <w:pPr>
        <w:spacing w:after="160" w:line="276"/>
      </w:pPr>
      <w:r>
        <w:rPr>
          <w:rFonts w:ascii="Arial" w:cs="Arial" w:eastAsia="Arial" w:hAnsi="Arial"/>
          <w:sz w:val="22"/>
          <w:szCs w:val="22"/>
        </w:rPr>
        <w:t xml:space="preserve">The enhanced Parthenon data flow follows a three-stage pipeline:</w:t>
      </w:r>
    </w:p>
    <w:p>
      <w:pPr>
        <w:spacing w:after="160" w:line="276"/>
      </w:pPr>
      <w:r>
        <w:rPr>
          <w:rFonts w:ascii="Arial" w:cs="Arial" w:eastAsia="Arial" w:hAnsi="Arial"/>
          <w:b/>
          <w:bCs/>
          <w:sz w:val="22"/>
          <w:szCs w:val="22"/>
        </w:rPr>
        <w:t xml:space="preserve">Stage 1 — Ingest &amp; Harmonize: </w:t>
      </w:r>
      <w:r>
        <w:rPr>
          <w:rFonts w:ascii="Arial" w:cs="Arial" w:eastAsia="Arial" w:hAnsi="Arial"/>
          <w:sz w:val="22"/>
          <w:szCs w:val="22"/>
        </w:rPr>
        <w:t xml:space="preserve">Raw molecular data (VCF, PDF reports, FHIR messages, HL7 v2) enters the AI ingestion service. The service normalizes variants to HGVS, generates VRS identifiers, maps to OMOP Genomic Vocabulary concept IDs, annotates with ClinVar/COSMIC/OncoKB, and writes to the OMOP MEASUREMENT table with linked records in the genomic extension tables.</w:t>
      </w:r>
    </w:p>
    <w:p>
      <w:pPr>
        <w:spacing w:after="160" w:line="276"/>
      </w:pPr>
      <w:r>
        <w:rPr>
          <w:rFonts w:ascii="Arial" w:cs="Arial" w:eastAsia="Arial" w:hAnsi="Arial"/>
          <w:b/>
          <w:bCs/>
          <w:sz w:val="22"/>
          <w:szCs w:val="22"/>
        </w:rPr>
        <w:t xml:space="preserve">Stage 2 — Analyze &amp; Generate Evidence: </w:t>
      </w:r>
      <w:r>
        <w:rPr>
          <w:rFonts w:ascii="Arial" w:cs="Arial" w:eastAsia="Arial" w:hAnsi="Arial"/>
          <w:sz w:val="22"/>
          <w:szCs w:val="22"/>
        </w:rPr>
        <w:t xml:space="preserve">Researchers use the enhanced cohort builder and analytical suite to define molecularly-stratified populations and execute outcome analyses. The automated evidence generation pipeline monitors for emerging signals and triggers study execution. Results feed the computable evidence repository.</w:t>
      </w:r>
    </w:p>
    <w:p>
      <w:pPr>
        <w:spacing w:after="160" w:line="276"/>
      </w:pPr>
      <w:r>
        <w:rPr>
          <w:rFonts w:ascii="Arial" w:cs="Arial" w:eastAsia="Arial" w:hAnsi="Arial"/>
          <w:b/>
          <w:bCs/>
          <w:sz w:val="22"/>
          <w:szCs w:val="22"/>
        </w:rPr>
        <w:t xml:space="preserve">Stage 3 — Deliver &amp; Learn: </w:t>
      </w:r>
      <w:r>
        <w:rPr>
          <w:rFonts w:ascii="Arial" w:cs="Arial" w:eastAsia="Arial" w:hAnsi="Arial"/>
          <w:sz w:val="22"/>
          <w:szCs w:val="22"/>
        </w:rPr>
        <w:t xml:space="preserve">Evidence is packaged for clinical consumption through CDS Hooks, FHIR ClinicalReasoning resources, and the molecular tumor board interface. Outcomes data from clinical decisions feeds back into Stage 2, closing the learning loop.</w:t>
      </w:r>
    </w:p>
    <w:p>
      <w:r>
        <w:br w:type="page"/>
      </w:r>
    </w:p>
    <w:p>
      <w:pPr>
        <w:pStyle w:val="Heading1"/>
      </w:pPr>
      <w:r>
        <w:rPr>
          <w:rFonts w:ascii="Arial" w:cs="Arial" w:eastAsia="Arial" w:hAnsi="Arial"/>
        </w:rPr>
        <w:t xml:space="preserve">5. Priority Use Cases by Domain</w:t>
      </w:r>
    </w:p>
    <w:p>
      <w:pPr>
        <w:pStyle w:val="Heading2"/>
      </w:pPr>
      <w:r>
        <w:rPr>
          <w:rFonts w:ascii="Arial" w:cs="Arial" w:eastAsia="Arial" w:hAnsi="Arial"/>
        </w:rPr>
        <w:t xml:space="preserve">5.1 Cancer Genomics</w:t>
      </w:r>
    </w:p>
    <w:p>
      <w:pPr>
        <w:pStyle w:val="ListParagraph"/>
        <w:numPr>
          <w:ilvl w:val="0"/>
          <w:numId w:val="2"/>
        </w:numPr>
        <w:spacing w:after="80"/>
      </w:pPr>
      <w:r>
        <w:rPr>
          <w:rFonts w:ascii="Arial" w:cs="Arial" w:eastAsia="Arial" w:hAnsi="Arial"/>
          <w:sz w:val="22"/>
          <w:szCs w:val="22"/>
        </w:rPr>
        <w:t xml:space="preserve">Biomarker-stratified treatment effectiveness studies across OMOP network (e.g., EGFR-mutant NSCLC outcomes by treatment regimen and specific mutation)</w:t>
      </w:r>
    </w:p>
    <w:p>
      <w:pPr>
        <w:pStyle w:val="ListParagraph"/>
        <w:numPr>
          <w:ilvl w:val="0"/>
          <w:numId w:val="2"/>
        </w:numPr>
        <w:spacing w:after="80"/>
      </w:pPr>
      <w:r>
        <w:rPr>
          <w:rFonts w:ascii="Arial" w:cs="Arial" w:eastAsia="Arial" w:hAnsi="Arial"/>
          <w:sz w:val="22"/>
          <w:szCs w:val="22"/>
        </w:rPr>
        <w:t xml:space="preserve">Real-world progression-free survival by TMB category and immunotherapy agent</w:t>
      </w:r>
    </w:p>
    <w:p>
      <w:pPr>
        <w:pStyle w:val="ListParagraph"/>
        <w:numPr>
          <w:ilvl w:val="0"/>
          <w:numId w:val="2"/>
        </w:numPr>
        <w:spacing w:after="80"/>
      </w:pPr>
      <w:r>
        <w:rPr>
          <w:rFonts w:ascii="Arial" w:cs="Arial" w:eastAsia="Arial" w:hAnsi="Arial"/>
          <w:sz w:val="22"/>
          <w:szCs w:val="22"/>
        </w:rPr>
        <w:t xml:space="preserve">Automated detection of emerging resistance mutations linked to treatment failure</w:t>
      </w:r>
    </w:p>
    <w:p>
      <w:pPr>
        <w:pStyle w:val="ListParagraph"/>
        <w:numPr>
          <w:ilvl w:val="0"/>
          <w:numId w:val="2"/>
        </w:numPr>
        <w:spacing w:after="160"/>
      </w:pPr>
      <w:r>
        <w:rPr>
          <w:rFonts w:ascii="Arial" w:cs="Arial" w:eastAsia="Arial" w:hAnsi="Arial"/>
          <w:sz w:val="22"/>
          <w:szCs w:val="22"/>
        </w:rPr>
        <w:t xml:space="preserve">Comparative genomic epidemiology across diverse populations (addressing the G-CDM’s Ajou vs. TCGA finding of 6.64x difference in EGFR L858R frequency)</w:t>
      </w:r>
    </w:p>
    <w:p>
      <w:pPr>
        <w:pStyle w:val="Heading2"/>
      </w:pPr>
      <w:r>
        <w:rPr>
          <w:rFonts w:ascii="Arial" w:cs="Arial" w:eastAsia="Arial" w:hAnsi="Arial"/>
        </w:rPr>
        <w:t xml:space="preserve">5.2 Surgical Oncology</w:t>
      </w:r>
    </w:p>
    <w:p>
      <w:pPr>
        <w:pStyle w:val="ListParagraph"/>
        <w:numPr>
          <w:ilvl w:val="0"/>
          <w:numId w:val="2"/>
        </w:numPr>
        <w:spacing w:after="80"/>
      </w:pPr>
      <w:r>
        <w:rPr>
          <w:rFonts w:ascii="Arial" w:cs="Arial" w:eastAsia="Arial" w:hAnsi="Arial"/>
          <w:sz w:val="22"/>
          <w:szCs w:val="22"/>
        </w:rPr>
        <w:t xml:space="preserve">Molecular predictors of surgical margin status and local recurrence</w:t>
      </w:r>
    </w:p>
    <w:p>
      <w:pPr>
        <w:pStyle w:val="ListParagraph"/>
        <w:numPr>
          <w:ilvl w:val="0"/>
          <w:numId w:val="2"/>
        </w:numPr>
        <w:spacing w:after="80"/>
      </w:pPr>
      <w:r>
        <w:rPr>
          <w:rFonts w:ascii="Arial" w:cs="Arial" w:eastAsia="Arial" w:hAnsi="Arial"/>
          <w:sz w:val="22"/>
          <w:szCs w:val="22"/>
        </w:rPr>
        <w:t xml:space="preserve">Genomic signatures predicting perioperative complications (wound healing, bleeding, infection)</w:t>
      </w:r>
    </w:p>
    <w:p>
      <w:pPr>
        <w:pStyle w:val="ListParagraph"/>
        <w:numPr>
          <w:ilvl w:val="0"/>
          <w:numId w:val="2"/>
        </w:numPr>
        <w:spacing w:after="160"/>
      </w:pPr>
      <w:r>
        <w:rPr>
          <w:rFonts w:ascii="Arial" w:cs="Arial" w:eastAsia="Arial" w:hAnsi="Arial"/>
          <w:sz w:val="22"/>
          <w:szCs w:val="22"/>
        </w:rPr>
        <w:t xml:space="preserve">Neoadjuvant therapy response prediction by molecular subtype and surgical outcome</w:t>
      </w:r>
    </w:p>
    <w:p>
      <w:pPr>
        <w:pStyle w:val="Heading2"/>
      </w:pPr>
      <w:r>
        <w:rPr>
          <w:rFonts w:ascii="Arial" w:cs="Arial" w:eastAsia="Arial" w:hAnsi="Arial"/>
        </w:rPr>
        <w:t xml:space="preserve">5.3 Pharmacogenomics</w:t>
      </w:r>
    </w:p>
    <w:p>
      <w:pPr>
        <w:pStyle w:val="ListParagraph"/>
        <w:numPr>
          <w:ilvl w:val="0"/>
          <w:numId w:val="2"/>
        </w:numPr>
        <w:spacing w:after="80"/>
      </w:pPr>
      <w:r>
        <w:rPr>
          <w:rFonts w:ascii="Arial" w:cs="Arial" w:eastAsia="Arial" w:hAnsi="Arial"/>
          <w:sz w:val="22"/>
          <w:szCs w:val="22"/>
        </w:rPr>
        <w:t xml:space="preserve">Population-level adverse drug reaction prediction from CYP450 and transporter genotypes</w:t>
      </w:r>
    </w:p>
    <w:p>
      <w:pPr>
        <w:pStyle w:val="ListParagraph"/>
        <w:numPr>
          <w:ilvl w:val="0"/>
          <w:numId w:val="2"/>
        </w:numPr>
        <w:spacing w:after="80"/>
      </w:pPr>
      <w:r>
        <w:rPr>
          <w:rFonts w:ascii="Arial" w:cs="Arial" w:eastAsia="Arial" w:hAnsi="Arial"/>
          <w:sz w:val="22"/>
          <w:szCs w:val="22"/>
        </w:rPr>
        <w:t xml:space="preserve">Perioperative analgesia optimization based on opioid metabolism genotype</w:t>
      </w:r>
    </w:p>
    <w:p>
      <w:pPr>
        <w:pStyle w:val="ListParagraph"/>
        <w:numPr>
          <w:ilvl w:val="0"/>
          <w:numId w:val="2"/>
        </w:numPr>
        <w:spacing w:after="160"/>
      </w:pPr>
      <w:r>
        <w:rPr>
          <w:rFonts w:ascii="Arial" w:cs="Arial" w:eastAsia="Arial" w:hAnsi="Arial"/>
          <w:sz w:val="22"/>
          <w:szCs w:val="22"/>
        </w:rPr>
        <w:t xml:space="preserve">Warfarin/DOAC dosing outcomes by VKORC1/CYP2C9 genotype across diverse populations</w:t>
      </w:r>
    </w:p>
    <w:p>
      <w:pPr>
        <w:pStyle w:val="Heading2"/>
      </w:pPr>
      <w:r>
        <w:rPr>
          <w:rFonts w:ascii="Arial" w:cs="Arial" w:eastAsia="Arial" w:hAnsi="Arial"/>
        </w:rPr>
        <w:t xml:space="preserve">5.4 Rare Disease</w:t>
      </w:r>
    </w:p>
    <w:p>
      <w:pPr>
        <w:pStyle w:val="ListParagraph"/>
        <w:numPr>
          <w:ilvl w:val="0"/>
          <w:numId w:val="2"/>
        </w:numPr>
        <w:spacing w:after="80"/>
      </w:pPr>
      <w:r>
        <w:rPr>
          <w:rFonts w:ascii="Arial" w:cs="Arial" w:eastAsia="Arial" w:hAnsi="Arial"/>
          <w:sz w:val="22"/>
          <w:szCs w:val="22"/>
        </w:rPr>
        <w:t xml:space="preserve">Diagnostic odyssey analysis: time from symptom onset to molecular diagnosis</w:t>
      </w:r>
    </w:p>
    <w:p>
      <w:pPr>
        <w:pStyle w:val="ListParagraph"/>
        <w:numPr>
          <w:ilvl w:val="0"/>
          <w:numId w:val="2"/>
        </w:numPr>
        <w:spacing w:after="80"/>
      </w:pPr>
      <w:r>
        <w:rPr>
          <w:rFonts w:ascii="Arial" w:cs="Arial" w:eastAsia="Arial" w:hAnsi="Arial"/>
          <w:sz w:val="22"/>
          <w:szCs w:val="22"/>
        </w:rPr>
        <w:t xml:space="preserve">Genotype-phenotype correlation for rare variants using federated analysis across Parthenon nodes</w:t>
      </w:r>
    </w:p>
    <w:p>
      <w:pPr>
        <w:pStyle w:val="ListParagraph"/>
        <w:numPr>
          <w:ilvl w:val="0"/>
          <w:numId w:val="2"/>
        </w:numPr>
        <w:spacing w:after="160"/>
      </w:pPr>
      <w:r>
        <w:rPr>
          <w:rFonts w:ascii="Arial" w:cs="Arial" w:eastAsia="Arial" w:hAnsi="Arial"/>
          <w:sz w:val="22"/>
          <w:szCs w:val="22"/>
        </w:rPr>
        <w:t xml:space="preserve">Natural history studies for molecularly defined rare disease cohorts</w:t>
      </w:r>
    </w:p>
    <w:p>
      <w:pPr>
        <w:pStyle w:val="Heading2"/>
      </w:pPr>
      <w:r>
        <w:rPr>
          <w:rFonts w:ascii="Arial" w:cs="Arial" w:eastAsia="Arial" w:hAnsi="Arial"/>
        </w:rPr>
        <w:t xml:space="preserve">5.5 Cardiology &amp; CNS</w:t>
      </w:r>
    </w:p>
    <w:p>
      <w:pPr>
        <w:pStyle w:val="ListParagraph"/>
        <w:numPr>
          <w:ilvl w:val="0"/>
          <w:numId w:val="2"/>
        </w:numPr>
        <w:spacing w:after="80"/>
      </w:pPr>
      <w:r>
        <w:rPr>
          <w:rFonts w:ascii="Arial" w:cs="Arial" w:eastAsia="Arial" w:hAnsi="Arial"/>
          <w:sz w:val="22"/>
          <w:szCs w:val="22"/>
        </w:rPr>
        <w:t xml:space="preserve">Genetic risk score integration with clinical outcomes for hereditary cardiomyopathies</w:t>
      </w:r>
    </w:p>
    <w:p>
      <w:pPr>
        <w:pStyle w:val="ListParagraph"/>
        <w:numPr>
          <w:ilvl w:val="0"/>
          <w:numId w:val="2"/>
        </w:numPr>
        <w:spacing w:after="80"/>
      </w:pPr>
      <w:r>
        <w:rPr>
          <w:rFonts w:ascii="Arial" w:cs="Arial" w:eastAsia="Arial" w:hAnsi="Arial"/>
          <w:sz w:val="22"/>
          <w:szCs w:val="22"/>
        </w:rPr>
        <w:t xml:space="preserve">Pharmacogenomic-guided statin therapy and cardiovascular event reduction</w:t>
      </w:r>
    </w:p>
    <w:p>
      <w:pPr>
        <w:pStyle w:val="ListParagraph"/>
        <w:numPr>
          <w:ilvl w:val="0"/>
          <w:numId w:val="2"/>
        </w:numPr>
        <w:spacing w:after="160"/>
      </w:pPr>
      <w:r>
        <w:rPr>
          <w:rFonts w:ascii="Arial" w:cs="Arial" w:eastAsia="Arial" w:hAnsi="Arial"/>
          <w:sz w:val="22"/>
          <w:szCs w:val="22"/>
        </w:rPr>
        <w:t xml:space="preserve">CNS pain pharmacogenomics—linking genetic markers to analgesic response and opioid use patterns</w:t>
      </w:r>
    </w:p>
    <w:p>
      <w:r>
        <w:br w:type="page"/>
      </w:r>
    </w:p>
    <w:p>
      <w:pPr>
        <w:pStyle w:val="Heading1"/>
      </w:pPr>
      <w:r>
        <w:rPr>
          <w:rFonts w:ascii="Arial" w:cs="Arial" w:eastAsia="Arial" w:hAnsi="Arial"/>
        </w:rPr>
        <w:t xml:space="preserve">6. Implementation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120"/>
        <w:gridCol w:w="30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Timeline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Key Deliverables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spacing w:after="40" w:before="40"/>
            </w:pPr>
            <w:r>
              <w:rPr>
                <w:rFonts w:ascii="Arial" w:cs="Arial" w:eastAsia="Arial" w:hAnsi="Arial"/>
                <w:b/>
                <w:bCs/>
                <w:color w:val="FFFFFF"/>
                <w:sz w:val="20"/>
                <w:szCs w:val="20"/>
              </w:rPr>
              <w:t xml:space="preserve">Dependencies</w:t>
            </w:r>
          </w:p>
        </w:tc>
      </w:tr>
      <w:tr>
        <w:tc>
          <w:tcPr>
            <w:tcW w:type="dxa" w:w="18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I: Foundation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Months 1–4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Oncology Extension tables, VCF ingestion pipeline, OMOP Genomic vocab integration, genomic schema extensions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OMOP CDM v5.4, OHDSI Vocabulary release, vrs-python library</w:t>
            </w:r>
          </w:p>
        </w:tc>
      </w:tr>
      <w:tr>
        <w:tc>
          <w:tcPr>
            <w:tcW w:type="dxa" w:w="18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II: Research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Months 3–8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Genomics-aware cohort builder, variant-outcome analyzers, multi-domain integration, pharmacogenomic module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Phase I genomic data, R sidecar HADES packages, React visualization libraries</w:t>
            </w:r>
          </w:p>
        </w:tc>
      </w:tr>
      <w:tr>
        <w:tc>
          <w:tcPr>
            <w:tcW w:type="dxa" w:w="1800"/>
            <w:tcBorders>
              <w:top w:val="single" w:color="CCCCCC" w:sz="1"/>
              <w:left w:val="single" w:color="CCCCCC" w:sz="1"/>
              <w:bottom w:val="single" w:color="CCCCCC" w:sz="1"/>
              <w:right w:val="single" w:color="CCCCCC" w:sz="1"/>
            </w:tcBorders>
            <w:shd w:fill="F4F0E8"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III: AI Evidence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Months 6–12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Automated evidence pipeline, CDS Hooks interface, NLP molecular report extraction, tumor board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Phase II analytics, MedGemma fine-tuning, FHIR+OMOP specs, CDS Hooks infrastructure</w:t>
            </w:r>
          </w:p>
        </w:tc>
      </w:tr>
      <w:tr>
        <w:tc>
          <w:tcPr>
            <w:tcW w:type="dxa" w:w="1800"/>
            <w:tcBorders>
              <w:top w:val="single" w:color="CCCCCC" w:sz="1"/>
              <w:left w:val="single" w:color="CCCCCC" w:sz="1"/>
              <w:bottom w:val="single" w:color="CCCCCC" w:sz="1"/>
              <w:right w:val="single" w:color="CCCCCC" w:sz="1"/>
            </w:tcBorders>
            <w:shd w:fill="F4E8E8" w:val="clear"/>
            <w:tcMar>
              <w:top w:type="dxa" w:w="80"/>
              <w:left w:type="dxa" w:w="120"/>
              <w:bottom w:type="dxa" w:w="80"/>
              <w:right w:type="dxa" w:w="120"/>
            </w:tcMar>
            <w:vAlign w:val="center"/>
          </w:tcPr>
          <w:p>
            <w:pPr>
              <w:spacing w:after="40" w:before="40"/>
            </w:pPr>
            <w:r>
              <w:rPr>
                <w:rFonts w:ascii="Arial" w:cs="Arial" w:eastAsia="Arial" w:hAnsi="Arial"/>
                <w:sz w:val="20"/>
                <w:szCs w:val="20"/>
              </w:rPr>
              <w:t xml:space="preserve">IV: Federation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Months 10–18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Parthenon-to-Parthenon federation, VRS-based variant resolution, differential privacy, learning network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40" w:before="40"/>
            </w:pPr>
            <w:r>
              <w:rPr>
                <w:rFonts w:ascii="Arial" w:cs="Arial" w:eastAsia="Arial" w:hAnsi="Arial"/>
                <w:sz w:val="20"/>
                <w:szCs w:val="20"/>
              </w:rPr>
              <w:t xml:space="preserve">Multiple Parthenon deployments, institutional IRB frameworks, GA4GH Beacon API</w:t>
            </w:r>
          </w:p>
        </w:tc>
      </w:tr>
    </w:tbl>
    <w:p>
      <w:pPr>
        <w:spacing w:before="300"/>
      </w:pPr>
    </w:p>
    <w:p>
      <w:pPr>
        <w:pStyle w:val="Heading1"/>
      </w:pPr>
      <w:r>
        <w:rPr>
          <w:rFonts w:ascii="Arial" w:cs="Arial" w:eastAsia="Arial" w:hAnsi="Arial"/>
        </w:rPr>
        <w:t xml:space="preserve">7. Strategic Positioning</w:t>
      </w:r>
    </w:p>
    <w:p>
      <w:pPr>
        <w:pStyle w:val="Heading2"/>
      </w:pPr>
      <w:r>
        <w:rPr>
          <w:rFonts w:ascii="Arial" w:cs="Arial" w:eastAsia="Arial" w:hAnsi="Arial"/>
        </w:rPr>
        <w:t xml:space="preserve">7.1 Competitive Differentiation</w:t>
      </w:r>
    </w:p>
    <w:p>
      <w:pPr>
        <w:spacing w:after="160" w:line="276"/>
      </w:pPr>
      <w:r>
        <w:rPr>
          <w:rFonts w:ascii="Arial" w:cs="Arial" w:eastAsia="Arial" w:hAnsi="Arial"/>
          <w:sz w:val="22"/>
          <w:szCs w:val="22"/>
        </w:rPr>
        <w:t xml:space="preserve">No existing platform combines unified OHDSI tooling replacement, native molecular diagnostics support, AI-powered evidence synthesis, and federated genomic analytics. </w:t>
      </w:r>
      <w:r>
        <w:rPr>
          <w:rFonts w:ascii="Arial" w:cs="Arial" w:eastAsia="Arial" w:hAnsi="Arial"/>
          <w:b/>
          <w:bCs/>
          <w:sz w:val="22"/>
          <w:szCs w:val="22"/>
        </w:rPr>
        <w:t xml:space="preserve">Flatiron Health</w:t>
      </w:r>
      <w:r>
        <w:rPr>
          <w:rFonts w:ascii="Arial" w:cs="Arial" w:eastAsia="Arial" w:hAnsi="Arial"/>
          <w:sz w:val="22"/>
          <w:szCs w:val="22"/>
        </w:rPr>
        <w:t xml:space="preserve"> has deep oncology real-world data but operates as a closed system without OMOP alignment. </w:t>
      </w:r>
      <w:r>
        <w:rPr>
          <w:rFonts w:ascii="Arial" w:cs="Arial" w:eastAsia="Arial" w:hAnsi="Arial"/>
          <w:b/>
          <w:bCs/>
          <w:sz w:val="22"/>
          <w:szCs w:val="22"/>
        </w:rPr>
        <w:t xml:space="preserve">TriNetX</w:t>
      </w:r>
      <w:r>
        <w:rPr>
          <w:rFonts w:ascii="Arial" w:cs="Arial" w:eastAsia="Arial" w:hAnsi="Arial"/>
          <w:sz w:val="22"/>
          <w:szCs w:val="22"/>
        </w:rPr>
        <w:t xml:space="preserve"> provides federated analytics on OMOP but lacks genomic data support. </w:t>
      </w:r>
      <w:r>
        <w:rPr>
          <w:rFonts w:ascii="Arial" w:cs="Arial" w:eastAsia="Arial" w:hAnsi="Arial"/>
          <w:b/>
          <w:bCs/>
          <w:sz w:val="22"/>
          <w:szCs w:val="22"/>
        </w:rPr>
        <w:t xml:space="preserve">cBioPortal</w:t>
      </w:r>
      <w:r>
        <w:rPr>
          <w:rFonts w:ascii="Arial" w:cs="Arial" w:eastAsia="Arial" w:hAnsi="Arial"/>
          <w:sz w:val="22"/>
          <w:szCs w:val="22"/>
        </w:rPr>
        <w:t xml:space="preserve"> provides excellent genomic visualization but has no clinical outcomes integration. </w:t>
      </w:r>
      <w:r>
        <w:rPr>
          <w:rFonts w:ascii="Arial" w:cs="Arial" w:eastAsia="Arial" w:hAnsi="Arial"/>
          <w:b/>
          <w:bCs/>
          <w:sz w:val="22"/>
          <w:szCs w:val="22"/>
        </w:rPr>
        <w:t xml:space="preserve">Atlas/WebAPI</w:t>
      </w:r>
      <w:r>
        <w:rPr>
          <w:rFonts w:ascii="Arial" w:cs="Arial" w:eastAsia="Arial" w:hAnsi="Arial"/>
          <w:sz w:val="22"/>
          <w:szCs w:val="22"/>
        </w:rPr>
        <w:t xml:space="preserve"> is the OHDSI standard but cannot handle molecular data. Parthenon is positioned to be the first open-source platform that unites all four capabilities.</w:t>
      </w:r>
    </w:p>
    <w:p>
      <w:pPr>
        <w:pStyle w:val="Heading2"/>
      </w:pPr>
      <w:r>
        <w:rPr>
          <w:rFonts w:ascii="Arial" w:cs="Arial" w:eastAsia="Arial" w:hAnsi="Arial"/>
        </w:rPr>
        <w:t xml:space="preserve">7.2 OHDSI Community Alignment</w:t>
      </w:r>
    </w:p>
    <w:p>
      <w:pPr>
        <w:spacing w:after="160" w:line="276"/>
      </w:pPr>
      <w:r>
        <w:rPr>
          <w:rFonts w:ascii="Arial" w:cs="Arial" w:eastAsia="Arial" w:hAnsi="Arial"/>
          <w:sz w:val="22"/>
          <w:szCs w:val="22"/>
        </w:rPr>
        <w:t xml:space="preserve">Every Phase I–IV enhancement is designed to align with and contribute to active OHDSI working groups: Oncology WG (Genomic Subgroup, Vocabulary Subgroup, Research Subgroup), Surgery &amp; Perioperative Medicine WG, CDM WG (next version proposals), FHIR+OMOP WG, NLP WG, Patient-Level Prediction WG, and the emerging Generative AI &amp; Analytics in Healthcare (GAIA) WG. Parthenon’s goal is not to replace the OHDSI community but to be its most capable and complete platform implementation.</w:t>
      </w:r>
    </w:p>
    <w:p>
      <w:pPr>
        <w:pStyle w:val="Heading2"/>
      </w:pPr>
      <w:r>
        <w:rPr>
          <w:rFonts w:ascii="Arial" w:cs="Arial" w:eastAsia="Arial" w:hAnsi="Arial"/>
        </w:rPr>
        <w:t xml:space="preserve">7.3 The Vision: Evidence at the Speed of Care</w:t>
      </w:r>
    </w:p>
    <w:p>
      <w:pPr>
        <w:spacing w:after="160" w:line="276"/>
      </w:pPr>
      <w:r>
        <w:rPr>
          <w:rFonts w:ascii="Arial" w:cs="Arial" w:eastAsia="Arial" w:hAnsi="Arial"/>
          <w:sz w:val="22"/>
          <w:szCs w:val="22"/>
        </w:rPr>
        <w:t xml:space="preserve">The 17-year evidence-to-practice gap exists because evidence generation and evidence application are treated as separate, sequential activities performed by different people in different systems. Parthenon closes this gap by making them </w:t>
      </w:r>
      <w:r>
        <w:rPr>
          <w:rFonts w:ascii="Arial" w:cs="Arial" w:eastAsia="Arial" w:hAnsi="Arial"/>
          <w:b/>
          <w:bCs/>
          <w:sz w:val="22"/>
          <w:szCs w:val="22"/>
        </w:rPr>
        <w:t xml:space="preserve">one continuous process</w:t>
      </w:r>
      <w:r>
        <w:rPr>
          <w:rFonts w:ascii="Arial" w:cs="Arial" w:eastAsia="Arial" w:hAnsi="Arial"/>
          <w:sz w:val="22"/>
          <w:szCs w:val="22"/>
        </w:rPr>
        <w:t xml:space="preserve"> within a single platform. When a clinician enters a molecular diagnostics result, Parthenon simultaneously (1) adds it to the OMOP CDM as a standardized observation, (2) queries the evidence base for relevant treatment-outcome data, (3) triggers automated re-analysis if the data crosses a signal detection threshold, and (4) delivers the synthesized evidence through the clinical workflow. Evidence is generated and consumed at the speed of care, not the speed of publication.</w:t>
      </w:r>
    </w:p>
    <w:p>
      <w:pPr>
        <w:spacing w:before="400"/>
      </w:pPr>
    </w:p>
    <w:p>
      <w:pPr>
        <w:pBdr>
          <w:top w:val="single" w:color="1B3A5C" w:sz="4" w:space="8"/>
        </w:pBdr>
        <w:spacing w:before="200"/>
        <w:jc w:val="center"/>
      </w:pPr>
      <w:r>
        <w:rPr>
          <w:rFonts w:ascii="Arial" w:cs="Arial" w:eastAsia="Arial" w:hAnsi="Arial"/>
          <w:i/>
          <w:iCs/>
          <w:color w:val="888888"/>
          <w:sz w:val="20"/>
          <w:szCs w:val="20"/>
        </w:rPr>
        <w:t xml:space="preserve">END OF DOCUMENT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Acumenus Data Sciences  |  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color w:val="888888"/>
        <w:sz w:val="16"/>
        <w:szCs w:val="16"/>
      </w:rPr>
      <w:t xml:space="preserve">PARTHENON GENOMICS ENHANCEMENT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DB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2026-03-03T02:51:38.246Z</dcterms:created>
  <dcterms:modified xsi:type="dcterms:W3CDTF">2026-03-03T02:51:38.247Z</dcterms:modified>
</cp:coreProperties>
</file>

<file path=docProps/custom.xml><?xml version="1.0" encoding="utf-8"?>
<Properties xmlns="http://schemas.openxmlformats.org/officeDocument/2006/custom-properties" xmlns:vt="http://schemas.openxmlformats.org/officeDocument/2006/docPropsVTypes"/>
</file>