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A2947" w:rsidRDefault="00DA2947">
      <w:pPr>
        <w:spacing w:before="2400"/>
      </w:pPr>
    </w:p>
    <w:p w:rsidR="00DA2947" w:rsidRDefault="00000000">
      <w:pPr>
        <w:spacing w:after="200"/>
        <w:jc w:val="center"/>
      </w:pPr>
      <w:r>
        <w:rPr>
          <w:b/>
          <w:bCs/>
          <w:color w:val="0D2B4A"/>
          <w:sz w:val="72"/>
          <w:szCs w:val="72"/>
        </w:rPr>
        <w:t>PARTHENON</w:t>
      </w:r>
    </w:p>
    <w:p w:rsidR="00DA2947" w:rsidRDefault="00000000">
      <w:pPr>
        <w:spacing w:after="100"/>
        <w:jc w:val="center"/>
      </w:pPr>
      <w:r>
        <w:rPr>
          <w:color w:val="1A4D7E"/>
          <w:sz w:val="36"/>
          <w:szCs w:val="36"/>
        </w:rPr>
        <w:t>The Ultimate Outcomes Research Platform</w:t>
      </w:r>
    </w:p>
    <w:p w:rsidR="00DA2947" w:rsidRDefault="00000000">
      <w:pPr>
        <w:pBdr>
          <w:bottom w:val="single" w:sz="6" w:space="8" w:color="0D2B4A"/>
        </w:pBdr>
        <w:spacing w:after="600"/>
        <w:jc w:val="center"/>
      </w:pPr>
      <w:r>
        <w:rPr>
          <w:color w:val="2B6EB5"/>
          <w:sz w:val="28"/>
          <w:szCs w:val="28"/>
        </w:rPr>
        <w:t>Health Economics &amp; Outcomes Research (HEOR) Extension</w:t>
      </w:r>
    </w:p>
    <w:p w:rsidR="00DA2947" w:rsidRDefault="00000000">
      <w:pPr>
        <w:spacing w:before="400"/>
        <w:jc w:val="center"/>
      </w:pPr>
      <w:r>
        <w:rPr>
          <w:i/>
          <w:iCs/>
          <w:color w:val="555555"/>
          <w:sz w:val="26"/>
          <w:szCs w:val="26"/>
        </w:rPr>
        <w:t>From Care Gaps to Cost Avoidance: Quantifying the Economics of Preventive Care</w:t>
      </w:r>
    </w:p>
    <w:p w:rsidR="00DA2947" w:rsidRDefault="00000000">
      <w:pPr>
        <w:spacing w:before="100"/>
        <w:jc w:val="center"/>
      </w:pPr>
      <w:r>
        <w:rPr>
          <w:color w:val="555555"/>
        </w:rPr>
        <w:t>Linking 45 Care Bundles, 438 Care Gaps, and Claims Data for Comparative Cost-Effectiveness Analysis</w:t>
      </w:r>
    </w:p>
    <w:p w:rsidR="00DA2947" w:rsidRDefault="00000000">
      <w:pPr>
        <w:spacing w:before="800"/>
        <w:jc w:val="center"/>
      </w:pPr>
      <w:r>
        <w:rPr>
          <w:color w:val="333333"/>
        </w:rPr>
        <w:t>Prepared by: Sanjay Udoshi, MD, CMIO</w:t>
      </w:r>
    </w:p>
    <w:p w:rsidR="00DA2947" w:rsidRDefault="00000000">
      <w:pPr>
        <w:jc w:val="center"/>
      </w:pPr>
      <w:proofErr w:type="spellStart"/>
      <w:r>
        <w:rPr>
          <w:color w:val="333333"/>
        </w:rPr>
        <w:t>Acumenus</w:t>
      </w:r>
      <w:proofErr w:type="spellEnd"/>
      <w:r>
        <w:rPr>
          <w:color w:val="333333"/>
        </w:rPr>
        <w:t xml:space="preserve"> Data Sciences / Wellstack.ai</w:t>
      </w:r>
    </w:p>
    <w:p w:rsidR="00DA2947" w:rsidRDefault="00000000">
      <w:pPr>
        <w:jc w:val="center"/>
      </w:pPr>
      <w:r>
        <w:rPr>
          <w:color w:val="333333"/>
        </w:rPr>
        <w:t>March 2026</w:t>
      </w:r>
    </w:p>
    <w:p w:rsidR="00DA2947" w:rsidRDefault="00000000">
      <w:r>
        <w:br w:type="page"/>
      </w:r>
    </w:p>
    <w:p w:rsidR="00DA2947" w:rsidRDefault="00000000">
      <w:pPr>
        <w:pStyle w:val="Heading1"/>
      </w:pPr>
      <w:r>
        <w:lastRenderedPageBreak/>
        <w:t>Executive Summary</w:t>
      </w:r>
    </w:p>
    <w:p w:rsidR="00DA2947" w:rsidRDefault="00000000">
      <w:pPr>
        <w:spacing w:after="160" w:line="276" w:lineRule="auto"/>
      </w:pPr>
      <w:r>
        <w:t xml:space="preserve">Healthcare in the United States spends $4.5 trillion annually, yet an estimated 30% of that expenditure—over $1.3 trillion—is attributable to waste, with failures in care delivery and care coordination representing two of the largest categories. The most bitter irony is that many of the most expensive downstream events—diabetic amputations, dialysis initiation, retinal blindness, heart failure hospitalizations, COPD exacerbations requiring ICU admission—are the direct, predictable consequences of </w:t>
      </w:r>
      <w:r>
        <w:rPr>
          <w:i/>
          <w:iCs/>
        </w:rPr>
        <w:t>care gaps that went unaddressed</w:t>
      </w:r>
      <w:r>
        <w:t>: the HbA1c that was never checked, the retinal screening that was never scheduled, the statin that was never prescribed, the blood pressure that was never controlled. These are not mysterious failures. They are measurable, trackable, and—most critically—</w:t>
      </w:r>
      <w:r>
        <w:rPr>
          <w:b/>
          <w:bCs/>
        </w:rPr>
        <w:t>economically quantifiable</w:t>
      </w:r>
      <w:r>
        <w:t>.</w:t>
      </w:r>
    </w:p>
    <w:p w:rsidR="00DA2947" w:rsidRDefault="00000000">
      <w:pPr>
        <w:spacing w:after="160" w:line="276" w:lineRule="auto"/>
      </w:pPr>
      <w:r>
        <w:t xml:space="preserve">Parthenon already tracks </w:t>
      </w:r>
      <w:r>
        <w:rPr>
          <w:b/>
          <w:bCs/>
        </w:rPr>
        <w:t>45 care bundles</w:t>
      </w:r>
      <w:r>
        <w:t xml:space="preserve"> spanning the most common chronic diseases and </w:t>
      </w:r>
      <w:r>
        <w:rPr>
          <w:b/>
          <w:bCs/>
        </w:rPr>
        <w:t>438 individual care gaps</w:t>
      </w:r>
      <w:r>
        <w:t xml:space="preserve"> representing the specific evidence-based interventions that comprise optimal care for these conditions. This infrastructure is clinically powerful, but it currently stops at the clinical question: </w:t>
      </w:r>
      <w:r>
        <w:rPr>
          <w:i/>
          <w:iCs/>
        </w:rPr>
        <w:t>Is the care gap open or closed?</w:t>
      </w:r>
      <w:r>
        <w:t xml:space="preserve"> This document extends Parthenon into the economic question that transforms clinical quality data into strategic intelligence: </w:t>
      </w:r>
      <w:r>
        <w:rPr>
          <w:b/>
          <w:bCs/>
        </w:rPr>
        <w:t>What does each unaddressed care gap actually cost—and what is the return on investment of closing it?</w:t>
      </w:r>
    </w:p>
    <w:p w:rsidR="00DA2947" w:rsidRDefault="00000000">
      <w:pPr>
        <w:spacing w:after="160" w:line="276" w:lineRule="auto"/>
      </w:pPr>
      <w:r>
        <w:t xml:space="preserve">The answer requires joining Parthenon’s care gap tracking data with claims and cost data through the OMOP CDM’s Health Economics tables (COST, PAYER_PLAN_PERIOD) and applying rigorous comparative effectiveness methodology—propensity score matching, difference-in-differences analysis, and longitudinal cost modeling—to demographically matched populations that differ only in the timeliness and completeness of their care gap closure. The result is a Health Economics and Outcomes Research (HEOR) engine that produces computable evidence of the form: </w:t>
      </w:r>
      <w:r>
        <w:rPr>
          <w:i/>
          <w:iCs/>
        </w:rPr>
        <w:t>"For a diabetic population, closing the comprehensive care bundle within 90 days of gap identification avoids an average of $8,200 per patient per year in complication-related costs over a 3-year horizon, representing a 4.2:1 return on the $1,950 cost of the preventive interventions."</w:t>
      </w:r>
    </w:p>
    <w:p w:rsidR="00DA2947" w:rsidRDefault="00000000">
      <w:pPr>
        <w:spacing w:after="160" w:line="276" w:lineRule="auto"/>
      </w:pPr>
      <w:r>
        <w:t xml:space="preserve">This is not a theoretical exercise. This is the economic engine that health plans need for Star Ratings optimization, that ACOs need for shared savings calculations, that hospital systems need for value-based contract negotiations, and that pharmaceutical manufacturers need for real-world value dossiers. Parthenon becomes the platform that answers the question every healthcare CFO asks and no current system can answer well: </w:t>
      </w:r>
      <w:r>
        <w:rPr>
          <w:b/>
          <w:bCs/>
        </w:rPr>
        <w:t>"Show me the money we saved by keeping people healthy."</w:t>
      </w:r>
    </w:p>
    <w:p w:rsidR="00DA2947" w:rsidRDefault="00000000">
      <w:r>
        <w:br w:type="page"/>
      </w:r>
    </w:p>
    <w:p w:rsidR="00DA2947" w:rsidRDefault="00000000">
      <w:pPr>
        <w:pStyle w:val="Heading1"/>
      </w:pPr>
      <w:r>
        <w:lastRenderedPageBreak/>
        <w:t>1. The Problem: The Missing Link Between Quality and Economics</w:t>
      </w:r>
    </w:p>
    <w:p w:rsidR="00DA2947" w:rsidRDefault="00000000">
      <w:pPr>
        <w:pStyle w:val="Heading2"/>
      </w:pPr>
      <w:r>
        <w:t>1.1 The Care Gap Economics Blind Spot</w:t>
      </w:r>
    </w:p>
    <w:p w:rsidR="00DA2947" w:rsidRDefault="00000000">
      <w:pPr>
        <w:spacing w:after="160" w:line="276" w:lineRule="auto"/>
      </w:pPr>
      <w:r>
        <w:t>Healthcare quality measurement has matured enormously. HEDIS, maintained by NCQA under CMS contract, provides the industry’s standard performance measures. Health plans with 100,000 members can qualify for an estimated $17 million in reimbursement for each quality measure met. Star Ratings directly determine Medicare Advantage bonus payments worth billions annually across the industry. Care gaps are the operational currency of these programs—the delta between actual care delivered and evidence-based standards.</w:t>
      </w:r>
    </w:p>
    <w:p w:rsidR="00DA2947" w:rsidRDefault="00000000">
      <w:pPr>
        <w:spacing w:after="160" w:line="276" w:lineRule="auto"/>
      </w:pPr>
      <w:r>
        <w:t>Yet the economic analysis of care gap closure remains surprisingly primitive. The typical approach is ecological: published literature estimates that uncontrolled diabetes costs approximately $16,750 per patient per year more than well-controlled diabetes. These population-level estimates are applied as static multipliers, ignoring the temporal dynamics, patient-specific risk profiles, and the critical question of which specific care gaps, closed in what sequence and timeframe, produce the greatest economic return. This is the equivalent of pricing a house by knowing only the ZIP code—directionally correct but operationally useless.</w:t>
      </w:r>
    </w:p>
    <w:p w:rsidR="00DA2947" w:rsidRDefault="00000000">
      <w:pPr>
        <w:pStyle w:val="Heading2"/>
      </w:pPr>
      <w:r>
        <w:t>1.2 What Parthenon Already Has</w:t>
      </w:r>
    </w:p>
    <w:p w:rsidR="00DA2947" w:rsidRDefault="00000000">
      <w:pPr>
        <w:spacing w:after="160" w:line="276" w:lineRule="auto"/>
      </w:pPr>
      <w:r>
        <w:t>Parthenon’s existing care bundle and care gap infrastructure provides the clinical foundation that no other OMOP-based platform possesses:</w:t>
      </w:r>
    </w:p>
    <w:p w:rsidR="00DA2947" w:rsidRDefault="00000000">
      <w:pPr>
        <w:pStyle w:val="ListParagraph"/>
        <w:numPr>
          <w:ilvl w:val="0"/>
          <w:numId w:val="2"/>
        </w:numPr>
        <w:spacing w:after="80"/>
      </w:pPr>
      <w:r>
        <w:rPr>
          <w:b/>
          <w:bCs/>
        </w:rPr>
        <w:t xml:space="preserve">45 Care Bundles </w:t>
      </w:r>
      <w:r>
        <w:t>covering the most prevalent chronic conditions: Type 2 Diabetes, Hypertension, Heart Failure (</w:t>
      </w:r>
      <w:proofErr w:type="spellStart"/>
      <w:r>
        <w:t>HFrEF</w:t>
      </w:r>
      <w:proofErr w:type="spellEnd"/>
      <w:r>
        <w:t xml:space="preserve"> and </w:t>
      </w:r>
      <w:proofErr w:type="spellStart"/>
      <w:r>
        <w:t>HFpEF</w:t>
      </w:r>
      <w:proofErr w:type="spellEnd"/>
      <w:r>
        <w:t>), COPD, Asthma, Atrial Fibrillation, Coronary Artery Disease, Chronic Kidney Disease, Hyperlipidemia, Obesity, Depression, Anxiety, Osteoporosis, Osteoarthritis, Rheumatoid Arthritis, and many more—each bundle defined as a computable phenotype with constituent care gaps.</w:t>
      </w:r>
    </w:p>
    <w:p w:rsidR="00DA2947" w:rsidRDefault="00000000">
      <w:pPr>
        <w:pStyle w:val="ListParagraph"/>
        <w:numPr>
          <w:ilvl w:val="0"/>
          <w:numId w:val="2"/>
        </w:numPr>
        <w:spacing w:after="80"/>
      </w:pPr>
      <w:r>
        <w:rPr>
          <w:b/>
          <w:bCs/>
        </w:rPr>
        <w:t xml:space="preserve">438 Care Gaps </w:t>
      </w:r>
      <w:r>
        <w:t>representing individual evidence-based interventions: HbA1c testing frequency, retinal eye exam, nephropathy screening, statin therapy for cardiovascular risk, blood pressure control thresholds, medication adherence for diabetes/hypertension/cholesterol, cancer screenings, immunization status, depression screening with follow-up, and hundreds more—each with opening criteria, closing criteria, and temporal requirements derived from clinical guidelines and HEDIS specifications.</w:t>
      </w:r>
    </w:p>
    <w:p w:rsidR="00DA2947" w:rsidRDefault="00000000">
      <w:pPr>
        <w:pStyle w:val="ListParagraph"/>
        <w:numPr>
          <w:ilvl w:val="0"/>
          <w:numId w:val="2"/>
        </w:numPr>
        <w:spacing w:after="80"/>
      </w:pPr>
      <w:r>
        <w:rPr>
          <w:b/>
          <w:bCs/>
        </w:rPr>
        <w:t xml:space="preserve">Gap Status Tracking: </w:t>
      </w:r>
      <w:r>
        <w:t>For every patient in every cohort, Parthenon tracks the state of each applicable care gap: open, closed, overdue, recently closed, never addressed. The timestamp of every state transition is recorded.</w:t>
      </w:r>
    </w:p>
    <w:p w:rsidR="00DA2947" w:rsidRDefault="00000000">
      <w:pPr>
        <w:pStyle w:val="ListParagraph"/>
        <w:numPr>
          <w:ilvl w:val="0"/>
          <w:numId w:val="2"/>
        </w:numPr>
        <w:spacing w:after="80"/>
      </w:pPr>
      <w:r>
        <w:rPr>
          <w:b/>
          <w:bCs/>
        </w:rPr>
        <w:t xml:space="preserve">Bundle Compliance Scoring: </w:t>
      </w:r>
      <w:r>
        <w:t>For each care bundle, a composite compliance score quantifies what percentage of the constituent care gaps are addressed for each patient, enabling population-level quality dashboards.</w:t>
      </w:r>
    </w:p>
    <w:p w:rsidR="00DA2947" w:rsidRDefault="00000000">
      <w:pPr>
        <w:pStyle w:val="Heading2"/>
      </w:pPr>
      <w:r>
        <w:t>1.3 What’s Missing: The Economic Layer</w:t>
      </w:r>
    </w:p>
    <w:p w:rsidR="00DA2947" w:rsidRDefault="00000000">
      <w:pPr>
        <w:spacing w:after="160" w:line="276" w:lineRule="auto"/>
      </w:pPr>
      <w:r>
        <w:t xml:space="preserve">Parthenon currently cannot answer: What is the downstream cost consequence of a care gap remaining open for 6 months versus being closed within 30 days? What is the total cost of care for </w:t>
      </w:r>
      <w:r>
        <w:lastRenderedPageBreak/>
        <w:t>a diabetic population with 90% bundle compliance versus 50% compliance? Which specific care gaps within a bundle produce the largest economic return when closed? How do the answers differ by age, comorbidity burden, payer type, and geography?</w:t>
      </w:r>
    </w:p>
    <w:p w:rsidR="00DA2947" w:rsidRDefault="00000000">
      <w:pPr>
        <w:spacing w:after="160" w:line="276" w:lineRule="auto"/>
      </w:pPr>
      <w:r>
        <w:t>Answering these questions requires three capabilities that the HEOR extension will provide: claims and cost data integration via the OMOP COST and PAYER_PLAN_PERIOD tables; comparative effectiveness methodology to control for confounders when comparing care-gap-closed versus care-gap-open populations; and a care gap economics engine that computes the incremental cost of non-compliance at the individual gap, bundle, disease, and population level.</w:t>
      </w:r>
    </w:p>
    <w:p w:rsidR="00DA2947" w:rsidRDefault="00000000">
      <w:r>
        <w:br w:type="page"/>
      </w:r>
    </w:p>
    <w:p w:rsidR="00DA2947" w:rsidRDefault="00000000">
      <w:pPr>
        <w:pStyle w:val="Heading1"/>
      </w:pPr>
      <w:r>
        <w:lastRenderedPageBreak/>
        <w:t>2. The OMOP Health Economics Data Model</w:t>
      </w:r>
    </w:p>
    <w:p w:rsidR="00DA2947" w:rsidRDefault="00000000">
      <w:pPr>
        <w:pStyle w:val="Heading2"/>
      </w:pPr>
      <w:r>
        <w:t>2.1 The COST Table</w:t>
      </w:r>
    </w:p>
    <w:p w:rsidR="00DA2947" w:rsidRDefault="00000000">
      <w:pPr>
        <w:spacing w:after="160" w:line="276" w:lineRule="auto"/>
      </w:pPr>
      <w:r>
        <w:t xml:space="preserve">The OMOP CDM’s COST table (unified in CDM v5.0.1, replacing the earlier DRUG_COST, PROCEDURE_COST, VISIT_COST, and DEVICE_COST tables) captures the cost of any medical event recorded in any clinical event table. This is the financial backbone of HEOR analysis. The table stores three types of cost data, distinguished by </w:t>
      </w:r>
      <w:proofErr w:type="spellStart"/>
      <w:r>
        <w:t>cost_type_concept_id</w:t>
      </w:r>
      <w:proofErr w:type="spellEnd"/>
      <w:r>
        <w:t xml:space="preserve">: </w:t>
      </w:r>
      <w:r>
        <w:rPr>
          <w:b/>
          <w:bCs/>
        </w:rPr>
        <w:t>paid or reimbursed amounts</w:t>
      </w:r>
      <w:r>
        <w:t xml:space="preserve"> (what payers and patients actually paid), </w:t>
      </w:r>
      <w:r>
        <w:rPr>
          <w:b/>
          <w:bCs/>
        </w:rPr>
        <w:t>charges or list prices</w:t>
      </w:r>
      <w:r>
        <w:t xml:space="preserve"> (such as Average Wholesale Price or chargemaster amounts), and </w:t>
      </w:r>
      <w:r>
        <w:rPr>
          <w:b/>
          <w:bCs/>
        </w:rPr>
        <w:t>costs or expenses</w:t>
      </w:r>
      <w:r>
        <w:t xml:space="preserve"> incurred by the provider. Each COST record links to its clinical event through </w:t>
      </w:r>
      <w:proofErr w:type="spellStart"/>
      <w:r>
        <w:t>cost_event_id</w:t>
      </w:r>
      <w:proofErr w:type="spellEnd"/>
      <w:r>
        <w:t xml:space="preserve"> and </w:t>
      </w:r>
      <w:proofErr w:type="spellStart"/>
      <w:r>
        <w:t>cost_event_field_concept_id</w:t>
      </w:r>
      <w:proofErr w:type="spellEnd"/>
      <w:r>
        <w:t>, enabling direct association of dollar amounts with specific procedures, drug exposures, visits, and device uses.</w:t>
      </w:r>
    </w:p>
    <w:p w:rsidR="00DA2947" w:rsidRDefault="00000000">
      <w:pPr>
        <w:spacing w:after="160" w:line="276" w:lineRule="auto"/>
      </w:pPr>
      <w:r>
        <w:t xml:space="preserve">Key financial fields include: </w:t>
      </w:r>
      <w:proofErr w:type="spellStart"/>
      <w:r>
        <w:t>total_charge</w:t>
      </w:r>
      <w:proofErr w:type="spellEnd"/>
      <w:r>
        <w:t xml:space="preserve"> (provider’s list price), </w:t>
      </w:r>
      <w:proofErr w:type="spellStart"/>
      <w:r>
        <w:t>total_cost</w:t>
      </w:r>
      <w:proofErr w:type="spellEnd"/>
      <w:r>
        <w:t xml:space="preserve"> (provider’s actual expense), </w:t>
      </w:r>
      <w:proofErr w:type="spellStart"/>
      <w:r>
        <w:t>total_paid</w:t>
      </w:r>
      <w:proofErr w:type="spellEnd"/>
      <w:r>
        <w:t xml:space="preserve"> (total reimbursement received), </w:t>
      </w:r>
      <w:proofErr w:type="spellStart"/>
      <w:r>
        <w:t>paid_by_payer</w:t>
      </w:r>
      <w:proofErr w:type="spellEnd"/>
      <w:r>
        <w:t xml:space="preserve"> (insurance payment), </w:t>
      </w:r>
      <w:proofErr w:type="spellStart"/>
      <w:r>
        <w:t>paid_by_patient</w:t>
      </w:r>
      <w:proofErr w:type="spellEnd"/>
      <w:r>
        <w:t xml:space="preserve"> (copay, coinsurance, deductible), </w:t>
      </w:r>
      <w:proofErr w:type="spellStart"/>
      <w:r>
        <w:t>paid_patient_copay</w:t>
      </w:r>
      <w:proofErr w:type="spellEnd"/>
      <w:r>
        <w:t xml:space="preserve">, </w:t>
      </w:r>
      <w:proofErr w:type="spellStart"/>
      <w:r>
        <w:t>paid_patient_coinsurance</w:t>
      </w:r>
      <w:proofErr w:type="spellEnd"/>
      <w:r>
        <w:t xml:space="preserve">, </w:t>
      </w:r>
      <w:proofErr w:type="spellStart"/>
      <w:r>
        <w:t>paid_patient_deductible</w:t>
      </w:r>
      <w:proofErr w:type="spellEnd"/>
      <w:r>
        <w:t xml:space="preserve">, </w:t>
      </w:r>
      <w:proofErr w:type="spellStart"/>
      <w:r>
        <w:t>paid_by_primary</w:t>
      </w:r>
      <w:proofErr w:type="spellEnd"/>
      <w:r>
        <w:t xml:space="preserve"> (for secondary payer claims), </w:t>
      </w:r>
      <w:proofErr w:type="spellStart"/>
      <w:r>
        <w:t>paid_ingredient_cost</w:t>
      </w:r>
      <w:proofErr w:type="spellEnd"/>
      <w:r>
        <w:t xml:space="preserve">, </w:t>
      </w:r>
      <w:proofErr w:type="spellStart"/>
      <w:r>
        <w:t>paid_dispensing_fee</w:t>
      </w:r>
      <w:proofErr w:type="spellEnd"/>
      <w:r>
        <w:t xml:space="preserve">, </w:t>
      </w:r>
      <w:proofErr w:type="spellStart"/>
      <w:r>
        <w:t>revenue_code_concept_id</w:t>
      </w:r>
      <w:proofErr w:type="spellEnd"/>
      <w:r>
        <w:t xml:space="preserve"> (hospital revenue codes), and </w:t>
      </w:r>
      <w:proofErr w:type="spellStart"/>
      <w:r>
        <w:t>drg_concept_id</w:t>
      </w:r>
      <w:proofErr w:type="spellEnd"/>
      <w:r>
        <w:t xml:space="preserve"> (Diagnosis Related Groups for inpatient reimbursement classification).</w:t>
      </w:r>
    </w:p>
    <w:p w:rsidR="00DA2947" w:rsidRDefault="00000000">
      <w:pPr>
        <w:pStyle w:val="Heading2"/>
      </w:pPr>
      <w:r>
        <w:t>2.2 The PAYER_PLAN_PERIOD Table</w:t>
      </w:r>
    </w:p>
    <w:p w:rsidR="00DA2947" w:rsidRDefault="00000000">
      <w:pPr>
        <w:spacing w:after="160" w:line="276" w:lineRule="auto"/>
      </w:pPr>
      <w:r>
        <w:t xml:space="preserve">The PAYER_PLAN_PERIOD table captures the periods of time that a person is continuously enrolled under a specific health plan benefit structure from a given payer. This is essential for HEOR analysis because it defines the observation window during which claims data is complete—a patient with gaps in enrollment may appear to have lower costs simply because claims from the unenrolled period are missing, not because they were healthier. Fields include </w:t>
      </w:r>
      <w:proofErr w:type="spellStart"/>
      <w:r>
        <w:t>payer_plan_period_start_date</w:t>
      </w:r>
      <w:proofErr w:type="spellEnd"/>
      <w:r>
        <w:t xml:space="preserve">, </w:t>
      </w:r>
      <w:proofErr w:type="spellStart"/>
      <w:r>
        <w:t>payer_plan_period_end_date</w:t>
      </w:r>
      <w:proofErr w:type="spellEnd"/>
      <w:r>
        <w:t xml:space="preserve">, </w:t>
      </w:r>
      <w:proofErr w:type="spellStart"/>
      <w:r>
        <w:t>payer_concept_id</w:t>
      </w:r>
      <w:proofErr w:type="spellEnd"/>
      <w:r>
        <w:t xml:space="preserve">, </w:t>
      </w:r>
      <w:proofErr w:type="spellStart"/>
      <w:r>
        <w:t>payer_source_value</w:t>
      </w:r>
      <w:proofErr w:type="spellEnd"/>
      <w:r>
        <w:t xml:space="preserve">, </w:t>
      </w:r>
      <w:proofErr w:type="spellStart"/>
      <w:r>
        <w:t>plan_concept_id</w:t>
      </w:r>
      <w:proofErr w:type="spellEnd"/>
      <w:r>
        <w:t xml:space="preserve">, </w:t>
      </w:r>
      <w:proofErr w:type="spellStart"/>
      <w:r>
        <w:t>plan_source_value</w:t>
      </w:r>
      <w:proofErr w:type="spellEnd"/>
      <w:r>
        <w:t xml:space="preserve">, </w:t>
      </w:r>
      <w:proofErr w:type="spellStart"/>
      <w:r>
        <w:t>sponsor_concept_id</w:t>
      </w:r>
      <w:proofErr w:type="spellEnd"/>
      <w:r>
        <w:t xml:space="preserve">, </w:t>
      </w:r>
      <w:proofErr w:type="spellStart"/>
      <w:r>
        <w:t>family_source_value</w:t>
      </w:r>
      <w:proofErr w:type="spellEnd"/>
      <w:r>
        <w:t xml:space="preserve">, and </w:t>
      </w:r>
      <w:proofErr w:type="spellStart"/>
      <w:r>
        <w:t>stop_reason_concept_id</w:t>
      </w:r>
      <w:proofErr w:type="spellEnd"/>
      <w:r>
        <w:t>.</w:t>
      </w:r>
    </w:p>
    <w:p w:rsidR="00DA2947" w:rsidRDefault="00000000">
      <w:pPr>
        <w:pStyle w:val="Heading2"/>
      </w:pPr>
      <w:r>
        <w:t>2.3 Claims Data ETL into OMOP</w:t>
      </w:r>
    </w:p>
    <w:p w:rsidR="00DA2947" w:rsidRDefault="00000000">
      <w:pPr>
        <w:spacing w:after="160" w:line="276" w:lineRule="auto"/>
      </w:pPr>
      <w:r>
        <w:t xml:space="preserve">Administrative claims data—the richest source of longitudinal cost information—maps to OMOP CDM with well-established ETL patterns. Medical claims generate PROCEDURE_OCCURRENCE, CONDITION_OCCURRENCE, VISIT_OCCURRENCE, and associated COST records. Pharmacy claims generate DRUG_EXPOSURE and COST records with ingredient cost and dispensing fee detail. Enrollment data populates PAYER_PLAN_PERIOD and OBSERVATION_PERIOD. DRG codes map to </w:t>
      </w:r>
      <w:proofErr w:type="spellStart"/>
      <w:r>
        <w:t>COST.drg_concept_id</w:t>
      </w:r>
      <w:proofErr w:type="spellEnd"/>
      <w:r>
        <w:t xml:space="preserve">. Revenue codes map to </w:t>
      </w:r>
      <w:proofErr w:type="spellStart"/>
      <w:r>
        <w:t>COST.revenue_code_concept_id</w:t>
      </w:r>
      <w:proofErr w:type="spellEnd"/>
      <w:r>
        <w:t xml:space="preserve">. Multiple ETL implementations exist for major claims databases including IBM </w:t>
      </w:r>
      <w:proofErr w:type="spellStart"/>
      <w:r>
        <w:t>MarketScan</w:t>
      </w:r>
      <w:proofErr w:type="spellEnd"/>
      <w:r>
        <w:t xml:space="preserve">, Optum </w:t>
      </w:r>
      <w:proofErr w:type="spellStart"/>
      <w:r>
        <w:t>Clinformatics</w:t>
      </w:r>
      <w:proofErr w:type="spellEnd"/>
      <w:r>
        <w:t xml:space="preserve">, Premier, and IQVIA </w:t>
      </w:r>
      <w:proofErr w:type="spellStart"/>
      <w:r>
        <w:t>PharMetrics</w:t>
      </w:r>
      <w:proofErr w:type="spellEnd"/>
      <w:r>
        <w:t>—all validated by the OHDSI community. However, known limitations include loss of certain claims-specific details (Medicare Part D phase information, claim-level adjudication dates, practitioner credential codes) that require supplementary extension tables.</w:t>
      </w:r>
    </w:p>
    <w:p w:rsidR="00DA2947" w:rsidRDefault="00000000">
      <w:pPr>
        <w:pStyle w:val="Heading2"/>
      </w:pPr>
      <w:r>
        <w:lastRenderedPageBreak/>
        <w:t>2.4 The Gap in OHDSI’s Economics Tooling</w:t>
      </w:r>
    </w:p>
    <w:p w:rsidR="00DA2947" w:rsidRDefault="00000000">
      <w:pPr>
        <w:spacing w:after="160" w:line="276" w:lineRule="auto"/>
      </w:pPr>
      <w:r>
        <w:t xml:space="preserve">The OHDSI community has built world-class tools for clinical comparative effectiveness—the </w:t>
      </w:r>
      <w:proofErr w:type="spellStart"/>
      <w:r>
        <w:t>CohortMethod</w:t>
      </w:r>
      <w:proofErr w:type="spellEnd"/>
      <w:r>
        <w:t xml:space="preserve"> package for new-user cohort designs with propensity score matching, the </w:t>
      </w:r>
      <w:proofErr w:type="spellStart"/>
      <w:r>
        <w:t>SelfControlledCaseSeries</w:t>
      </w:r>
      <w:proofErr w:type="spellEnd"/>
      <w:r>
        <w:t xml:space="preserve"> package for within-person designs, and the </w:t>
      </w:r>
      <w:proofErr w:type="spellStart"/>
      <w:r>
        <w:t>PatientLevelPrediction</w:t>
      </w:r>
      <w:proofErr w:type="spellEnd"/>
      <w:r>
        <w:t xml:space="preserve"> package for machine learning. These tools work brilliantly for clinical outcomes (myocardial infarction, stroke, hospitalization). But they have no native mechanism for economic outcomes analysis: no cost accumulation over follow-up windows, no incremental cost-effectiveness ratio (ICER) computation, no bootstrapped cost confidence intervals, no discount rate application, and no integration with quality-adjusted life year (QALY) frameworks. This is the gap Parthenon fills.</w:t>
      </w:r>
    </w:p>
    <w:p w:rsidR="00DA2947" w:rsidRDefault="00000000">
      <w:r>
        <w:br w:type="page"/>
      </w:r>
    </w:p>
    <w:p w:rsidR="00DA2947" w:rsidRDefault="00000000">
      <w:pPr>
        <w:pStyle w:val="Heading1"/>
      </w:pPr>
      <w:r>
        <w:lastRenderedPageBreak/>
        <w:t>3. The Care Gap Economics Architecture</w:t>
      </w:r>
    </w:p>
    <w:p w:rsidR="00DA2947" w:rsidRDefault="00000000">
      <w:pPr>
        <w:pStyle w:val="Heading2"/>
      </w:pPr>
      <w:r>
        <w:t>3.1 Data Model: Connecting Care Gaps to Costs</w:t>
      </w:r>
    </w:p>
    <w:p w:rsidR="00DA2947" w:rsidRDefault="00000000">
      <w:pPr>
        <w:spacing w:after="160" w:line="276" w:lineRule="auto"/>
      </w:pPr>
      <w:r>
        <w:t>The HEOR extension introduces a conceptual linkage layer that connects Parthenon’s existing care gap tracking to the OMOP cost data through a series of intermediate analytical constructs:</w:t>
      </w:r>
    </w:p>
    <w:p w:rsidR="00DA2947" w:rsidRDefault="00000000">
      <w:pPr>
        <w:pStyle w:val="Heading3"/>
      </w:pPr>
      <w:r>
        <w:t>Care Gap Event Model</w:t>
      </w:r>
    </w:p>
    <w:p w:rsidR="00DA2947" w:rsidRDefault="00000000">
      <w:pPr>
        <w:spacing w:after="160" w:line="276" w:lineRule="auto"/>
      </w:pPr>
      <w:r>
        <w:t xml:space="preserve">Every care gap state transition (opened, closed, overdue) is represented as a structured event with: the </w:t>
      </w:r>
      <w:proofErr w:type="spellStart"/>
      <w:r>
        <w:t>person_id</w:t>
      </w:r>
      <w:proofErr w:type="spellEnd"/>
      <w:r>
        <w:t xml:space="preserve">, the </w:t>
      </w:r>
      <w:proofErr w:type="spellStart"/>
      <w:r>
        <w:t>care_gap_concept_id</w:t>
      </w:r>
      <w:proofErr w:type="spellEnd"/>
      <w:r>
        <w:t xml:space="preserve"> (a Parthenon-defined concept identifying the specific gap, e.g., “HbA1c testing within 12 months”), the </w:t>
      </w:r>
      <w:proofErr w:type="spellStart"/>
      <w:r>
        <w:t>care_bundle_concept_id</w:t>
      </w:r>
      <w:proofErr w:type="spellEnd"/>
      <w:r>
        <w:t xml:space="preserve"> (the parent bundle), the </w:t>
      </w:r>
      <w:proofErr w:type="spellStart"/>
      <w:r>
        <w:t>event_date</w:t>
      </w:r>
      <w:proofErr w:type="spellEnd"/>
      <w:r>
        <w:t xml:space="preserve">, the </w:t>
      </w:r>
      <w:proofErr w:type="spellStart"/>
      <w:r>
        <w:t>event_type</w:t>
      </w:r>
      <w:proofErr w:type="spellEnd"/>
      <w:r>
        <w:t xml:space="preserve"> (opened/closed/overdue), the </w:t>
      </w:r>
      <w:proofErr w:type="spellStart"/>
      <w:r>
        <w:t>closing_intervention</w:t>
      </w:r>
      <w:proofErr w:type="spellEnd"/>
      <w:r>
        <w:t xml:space="preserve"> (if applicable—the PROCEDURE or MEASUREMENT that satisfied the gap), and the </w:t>
      </w:r>
      <w:proofErr w:type="spellStart"/>
      <w:r>
        <w:t>days_to_closure</w:t>
      </w:r>
      <w:proofErr w:type="spellEnd"/>
      <w:r>
        <w:t xml:space="preserve"> (elapsed time from gap identification to closure). This event stream is the independent variable in all HEOR analyses: </w:t>
      </w:r>
      <w:r>
        <w:rPr>
          <w:i/>
          <w:iCs/>
        </w:rPr>
        <w:t>what care was delivered, and when.</w:t>
      </w:r>
    </w:p>
    <w:p w:rsidR="00DA2947" w:rsidRDefault="00000000">
      <w:pPr>
        <w:pStyle w:val="Heading3"/>
      </w:pPr>
      <w:r>
        <w:t>Cost Accumulation Windows</w:t>
      </w:r>
    </w:p>
    <w:p w:rsidR="00DA2947" w:rsidRDefault="00000000">
      <w:pPr>
        <w:spacing w:after="160" w:line="276" w:lineRule="auto"/>
      </w:pPr>
      <w:r>
        <w:t xml:space="preserve">For each person, the system computes total costs within configurable time windows relative to a care gap event: pre-period costs (baseline, typically 6–12 months before gap identification), intervention-period costs (the cost of closing the gap itself—the screening, the medication, the visit), and post-period costs (downstream costs in 6, 12, 24, and 36-month follow-up windows). Costs are aggregated from the COST table joined through clinical event tables, categorized by: </w:t>
      </w:r>
      <w:r>
        <w:rPr>
          <w:b/>
          <w:bCs/>
        </w:rPr>
        <w:t>complication-related costs</w:t>
      </w:r>
      <w:r>
        <w:t xml:space="preserve"> (hospitalizations, ED visits, and procedures related to known complications of the underlying condition—defined by ICD-10/SNOMED concept sets), </w:t>
      </w:r>
      <w:r>
        <w:rPr>
          <w:b/>
          <w:bCs/>
        </w:rPr>
        <w:t>disease management costs</w:t>
      </w:r>
      <w:r>
        <w:t xml:space="preserve"> (routine office visits, labs, medications for the chronic condition), and </w:t>
      </w:r>
      <w:r>
        <w:rPr>
          <w:b/>
          <w:bCs/>
        </w:rPr>
        <w:t>total all-cause costs</w:t>
      </w:r>
      <w:r>
        <w:t xml:space="preserve"> (everything, regardless of clinical attribution).</w:t>
      </w:r>
    </w:p>
    <w:p w:rsidR="00DA2947" w:rsidRDefault="00000000">
      <w:pPr>
        <w:pStyle w:val="Heading3"/>
      </w:pPr>
      <w:r>
        <w:t>Complication Concept Sets</w:t>
      </w:r>
    </w:p>
    <w:p w:rsidR="00DA2947" w:rsidRDefault="00000000">
      <w:pPr>
        <w:spacing w:after="160" w:line="276" w:lineRule="auto"/>
      </w:pPr>
      <w:r>
        <w:t>For each care bundle, Parthenon defines computable concept sets representing the known complications that preventive care is designed to prevent. For the Diabetes care bundle, these include: diabetic retinopathy and blindness, diabetic nephropathy and end-stage renal disease, diabetic neuropathy and lower-extremity amputation, diabetic ketoacidosis, hyperosmolar hyperglycemic state, cardiovascular events (MI, stroke, peripheral vascular disease), and hypoglycemic events requiring emergency care. Each complication concept set is curated with ICD-10-CM codes, SNOMED concepts, and associated procedure codes (dialysis initiation, vitrectomy, amputation codes), enabling precise attribution of downstream costs to the specific complications that care gap closure was designed to prevent.</w:t>
      </w:r>
    </w:p>
    <w:p w:rsidR="00DA2947" w:rsidRDefault="00000000">
      <w:pPr>
        <w:pStyle w:val="Heading2"/>
      </w:pPr>
      <w:r>
        <w:t>3.2 The Comparative Cohort Engine</w:t>
      </w:r>
    </w:p>
    <w:p w:rsidR="00DA2947" w:rsidRDefault="00000000">
      <w:pPr>
        <w:spacing w:after="160" w:line="276" w:lineRule="auto"/>
      </w:pPr>
      <w:r>
        <w:t xml:space="preserve">The core analytical question—what would have happened if the care gaps had been </w:t>
      </w:r>
      <w:proofErr w:type="gramStart"/>
      <w:r>
        <w:t>addressed?—</w:t>
      </w:r>
      <w:proofErr w:type="gramEnd"/>
      <w:r>
        <w:t>is a causal inference problem. Parthenon solves it by constructing matched comparison cohorts:</w:t>
      </w:r>
    </w:p>
    <w:p w:rsidR="00DA2947" w:rsidRDefault="00000000">
      <w:pPr>
        <w:pStyle w:val="Heading3"/>
      </w:pPr>
      <w:r>
        <w:t>Cohort Construction</w:t>
      </w:r>
    </w:p>
    <w:p w:rsidR="00DA2947" w:rsidRDefault="00000000">
      <w:pPr>
        <w:pStyle w:val="ListParagraph"/>
        <w:numPr>
          <w:ilvl w:val="0"/>
          <w:numId w:val="2"/>
        </w:numPr>
        <w:spacing w:after="80"/>
      </w:pPr>
      <w:r>
        <w:rPr>
          <w:b/>
          <w:bCs/>
        </w:rPr>
        <w:lastRenderedPageBreak/>
        <w:t xml:space="preserve">Gap-Closed Cohort (Treatment): </w:t>
      </w:r>
      <w:r>
        <w:t>Patients whose care gaps for a specific bundle were closed within a defined timeframe (e.g., all applicable diabetes care gaps addressed within 90 days of identification). Inclusion requires continuous enrollment in the PAYER_PLAN_PERIOD for the full follow-up window to ensure cost data completeness.</w:t>
      </w:r>
    </w:p>
    <w:p w:rsidR="00DA2947" w:rsidRDefault="00000000">
      <w:pPr>
        <w:pStyle w:val="ListParagraph"/>
        <w:numPr>
          <w:ilvl w:val="0"/>
          <w:numId w:val="2"/>
        </w:numPr>
        <w:spacing w:after="80"/>
      </w:pPr>
      <w:r>
        <w:rPr>
          <w:b/>
          <w:bCs/>
        </w:rPr>
        <w:t xml:space="preserve">Gap-Open Cohort (Comparator): </w:t>
      </w:r>
      <w:r>
        <w:t>Patients with the same condition and the same care gaps identified, but whose gaps remained open or were addressed only partially or late. Same continuous enrollment requirement applies.</w:t>
      </w:r>
    </w:p>
    <w:p w:rsidR="00DA2947" w:rsidRDefault="00000000">
      <w:pPr>
        <w:pStyle w:val="ListParagraph"/>
        <w:numPr>
          <w:ilvl w:val="0"/>
          <w:numId w:val="2"/>
        </w:numPr>
        <w:spacing w:after="80"/>
      </w:pPr>
      <w:r>
        <w:rPr>
          <w:b/>
          <w:bCs/>
        </w:rPr>
        <w:t xml:space="preserve">Eligibility Criteria: </w:t>
      </w:r>
      <w:r>
        <w:t>Both cohorts require: confirmed diagnosis of the index condition (from CONDITION_OCCURRENCE), at least one applicable care gap identified during the study window, continuous enrollment for baseline + follow-up period, and no prior occurrence of the index complication during baseline (to study incident complications only).</w:t>
      </w:r>
    </w:p>
    <w:p w:rsidR="00DA2947" w:rsidRDefault="00000000">
      <w:pPr>
        <w:pStyle w:val="Heading3"/>
      </w:pPr>
      <w:r>
        <w:t>Propensity Score Matching</w:t>
      </w:r>
    </w:p>
    <w:p w:rsidR="00DA2947" w:rsidRDefault="00000000">
      <w:pPr>
        <w:spacing w:after="160" w:line="276" w:lineRule="auto"/>
      </w:pPr>
      <w:r>
        <w:t xml:space="preserve">Following the OHDSI </w:t>
      </w:r>
      <w:proofErr w:type="spellStart"/>
      <w:r>
        <w:t>CohortMethod</w:t>
      </w:r>
      <w:proofErr w:type="spellEnd"/>
      <w:r>
        <w:t xml:space="preserve"> framework, Parthenon implements large-scale propensity score matching to control for observable confounders between the gap-closed and gap-open cohorts. The propensity model uses </w:t>
      </w:r>
      <w:r>
        <w:rPr>
          <w:b/>
          <w:bCs/>
        </w:rPr>
        <w:t>thousands of baseline covariates</w:t>
      </w:r>
      <w:r>
        <w:t xml:space="preserve"> automatically extracted from the OMOP CDM using the </w:t>
      </w:r>
      <w:proofErr w:type="spellStart"/>
      <w:r>
        <w:t>FeatureExtraction</w:t>
      </w:r>
      <w:proofErr w:type="spellEnd"/>
      <w:r>
        <w:t xml:space="preserve"> package conventions: demographics (age, sex, race, ethnicity), all conditions in the 365-day baseline (as condition groups and individual conditions), all drug exposures (as ingredient groups and individual drugs), all procedures, </w:t>
      </w:r>
      <w:proofErr w:type="spellStart"/>
      <w:r>
        <w:t>Charlson</w:t>
      </w:r>
      <w:proofErr w:type="spellEnd"/>
      <w:r>
        <w:t xml:space="preserve"> and </w:t>
      </w:r>
      <w:proofErr w:type="spellStart"/>
      <w:r>
        <w:t>Elixhauser</w:t>
      </w:r>
      <w:proofErr w:type="spellEnd"/>
      <w:r>
        <w:t xml:space="preserve"> comorbidity indices, healthcare utilization metrics (number of visits, ED visits, hospitalizations in baseline), prior costs (total baseline costs as continuous and categorical features), and geographic indicators where available.</w:t>
      </w:r>
    </w:p>
    <w:p w:rsidR="00DA2947" w:rsidRDefault="00000000">
      <w:pPr>
        <w:spacing w:after="160" w:line="276" w:lineRule="auto"/>
      </w:pPr>
      <w:r>
        <w:t>Matching is performed using variable-ratio matching with caliper constraints (typically 0.2 standard deviations of the propensity score logit). Covariate balance is assessed using standardized mean differences—all included covariates must achieve SMD &lt; 0.1 after matching for the analysis to proceed. Preference score distributions are plotted to assess clinical equipoise. If adequate balance cannot be achieved through matching, inverse probability of treatment weighting (IPTW) or stratification is applied as a sensitivity analysis.</w:t>
      </w:r>
    </w:p>
    <w:p w:rsidR="00DA2947" w:rsidRDefault="00000000">
      <w:pPr>
        <w:pStyle w:val="Heading3"/>
      </w:pPr>
      <w:r>
        <w:t>Difference-in-Differences Design</w:t>
      </w:r>
    </w:p>
    <w:p w:rsidR="00DA2947" w:rsidRDefault="00000000">
      <w:pPr>
        <w:spacing w:after="160" w:line="276" w:lineRule="auto"/>
      </w:pPr>
      <w:r>
        <w:t>As a complementary causal inference strategy, the HEOR engine supports a difference-in-differences (</w:t>
      </w:r>
      <w:proofErr w:type="spellStart"/>
      <w:r>
        <w:t>DiD</w:t>
      </w:r>
      <w:proofErr w:type="spellEnd"/>
      <w:r>
        <w:t xml:space="preserve">) design that compares the change in costs from pre-period to post-period between the gap-closed and gap-open groups. This design controls for time-invariant unmeasured confounders that propensity scoring cannot address—for example, if patients who close care gaps are inherently more health-conscious in ways not captured in claims data. The </w:t>
      </w:r>
      <w:proofErr w:type="spellStart"/>
      <w:r>
        <w:t>DiD</w:t>
      </w:r>
      <w:proofErr w:type="spellEnd"/>
      <w:r>
        <w:t xml:space="preserve"> estimator is: (</w:t>
      </w:r>
      <w:proofErr w:type="spellStart"/>
      <w:r>
        <w:t>Post_costs_closed</w:t>
      </w:r>
      <w:proofErr w:type="spellEnd"/>
      <w:r>
        <w:t xml:space="preserve"> - </w:t>
      </w:r>
      <w:proofErr w:type="spellStart"/>
      <w:r>
        <w:t>Pre_costs_closed</w:t>
      </w:r>
      <w:proofErr w:type="spellEnd"/>
      <w:r>
        <w:t>) - (</w:t>
      </w:r>
      <w:proofErr w:type="spellStart"/>
      <w:r>
        <w:t>Post_costs_open</w:t>
      </w:r>
      <w:proofErr w:type="spellEnd"/>
      <w:r>
        <w:t xml:space="preserve"> - </w:t>
      </w:r>
      <w:proofErr w:type="spellStart"/>
      <w:r>
        <w:t>Pre_costs_open</w:t>
      </w:r>
      <w:proofErr w:type="spellEnd"/>
      <w:r>
        <w:t>) = Incremental Cost Impact of Gap Closure. The parallel trends assumption is validated by examining pre-period cost trajectories.</w:t>
      </w:r>
    </w:p>
    <w:p w:rsidR="00DA2947" w:rsidRDefault="00000000">
      <w:r>
        <w:br w:type="page"/>
      </w:r>
    </w:p>
    <w:p w:rsidR="00DA2947" w:rsidRDefault="00000000">
      <w:pPr>
        <w:pStyle w:val="Heading1"/>
      </w:pPr>
      <w:r>
        <w:lastRenderedPageBreak/>
        <w:t>4. The HEOR Analytics Suite</w:t>
      </w:r>
    </w:p>
    <w:p w:rsidR="00DA2947" w:rsidRDefault="00000000">
      <w:pPr>
        <w:pStyle w:val="Heading2"/>
      </w:pPr>
      <w:r>
        <w:t>4.1 Care Gap ROI Calculator</w:t>
      </w:r>
    </w:p>
    <w:p w:rsidR="00DA2947" w:rsidRDefault="00000000">
      <w:pPr>
        <w:spacing w:after="160" w:line="276" w:lineRule="auto"/>
      </w:pPr>
      <w:r>
        <w:t>The flagship analytical product: for each of the 438 care gaps and 45 care bundles, Parthenon computes: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480"/>
      </w:tblGrid>
      <w:tr w:rsidR="00DA294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DA2947" w:rsidRDefault="00000000">
            <w:pPr>
              <w:spacing w:before="40" w:after="40"/>
            </w:pPr>
            <w:r>
              <w:rPr>
                <w:b/>
                <w:bCs/>
                <w:color w:val="FFFFFF"/>
                <w:sz w:val="20"/>
                <w:szCs w:val="20"/>
              </w:rPr>
              <w:t>Metric</w:t>
            </w:r>
          </w:p>
        </w:tc>
        <w:tc>
          <w:tcPr>
            <w:tcW w:w="64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DA2947" w:rsidRDefault="00000000">
            <w:pPr>
              <w:spacing w:before="40" w:after="40"/>
            </w:pPr>
            <w:r>
              <w:rPr>
                <w:b/>
                <w:bCs/>
                <w:color w:val="FFFFFF"/>
                <w:sz w:val="20"/>
                <w:szCs w:val="20"/>
              </w:rPr>
              <w:t>Definition</w:t>
            </w:r>
          </w:p>
        </w:tc>
      </w:tr>
      <w:tr w:rsidR="00DA294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vAlign w:val="center"/>
          </w:tcPr>
          <w:p w:rsidR="00DA2947" w:rsidRDefault="00000000">
            <w:pPr>
              <w:spacing w:before="40" w:after="40"/>
            </w:pPr>
            <w:r>
              <w:rPr>
                <w:sz w:val="20"/>
                <w:szCs w:val="20"/>
              </w:rPr>
              <w:t>Intervention Cost</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DA2947" w:rsidRDefault="00000000">
            <w:pPr>
              <w:spacing w:before="40" w:after="40"/>
            </w:pPr>
            <w:r>
              <w:rPr>
                <w:sz w:val="20"/>
                <w:szCs w:val="20"/>
              </w:rPr>
              <w:t>The direct cost of closing the care gap: cost of the screening, office visit, medication, lab test, or referral required. Computed from actual COST records for the closing intervention in the gap-closed cohort.</w:t>
            </w:r>
          </w:p>
        </w:tc>
      </w:tr>
      <w:tr w:rsidR="00DA294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vAlign w:val="center"/>
          </w:tcPr>
          <w:p w:rsidR="00DA2947" w:rsidRDefault="00000000">
            <w:pPr>
              <w:spacing w:before="40" w:after="40"/>
            </w:pPr>
            <w:r>
              <w:rPr>
                <w:sz w:val="20"/>
                <w:szCs w:val="20"/>
              </w:rPr>
              <w:t>Complication Cost Avoided</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DA2947" w:rsidRDefault="00000000">
            <w:pPr>
              <w:spacing w:before="40" w:after="40"/>
            </w:pPr>
            <w:r>
              <w:rPr>
                <w:sz w:val="20"/>
                <w:szCs w:val="20"/>
              </w:rPr>
              <w:t>The difference in complication-related costs between the gap-open and gap-closed matched cohorts over the follow-up window. This is the economic benefit of prevention.</w:t>
            </w:r>
          </w:p>
        </w:tc>
      </w:tr>
      <w:tr w:rsidR="00DA294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vAlign w:val="center"/>
          </w:tcPr>
          <w:p w:rsidR="00DA2947" w:rsidRDefault="00000000">
            <w:pPr>
              <w:spacing w:before="40" w:after="40"/>
            </w:pPr>
            <w:r>
              <w:rPr>
                <w:sz w:val="20"/>
                <w:szCs w:val="20"/>
              </w:rPr>
              <w:t>All-Cause Cost Difference</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DA2947" w:rsidRDefault="00000000">
            <w:pPr>
              <w:spacing w:before="40" w:after="40"/>
            </w:pPr>
            <w:r>
              <w:rPr>
                <w:sz w:val="20"/>
                <w:szCs w:val="20"/>
              </w:rPr>
              <w:t>Total cost difference (not limited to attributed complications) between matched cohorts. Captures both the expected savings and any unexpected cost shifts.</w:t>
            </w:r>
          </w:p>
        </w:tc>
      </w:tr>
      <w:tr w:rsidR="00DA294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vAlign w:val="center"/>
          </w:tcPr>
          <w:p w:rsidR="00DA2947" w:rsidRDefault="00000000">
            <w:pPr>
              <w:spacing w:before="40" w:after="40"/>
            </w:pPr>
            <w:r>
              <w:rPr>
                <w:sz w:val="20"/>
                <w:szCs w:val="20"/>
              </w:rPr>
              <w:t>Return on Investment (ROI)</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DA2947" w:rsidRDefault="00000000">
            <w:pPr>
              <w:spacing w:before="40" w:after="40"/>
            </w:pPr>
            <w:r>
              <w:rPr>
                <w:sz w:val="20"/>
                <w:szCs w:val="20"/>
              </w:rPr>
              <w:t>Complication Cost Avoided ÷ Intervention Cost. An ROI of 4.0 means every $1 spent closing the gap avoids $4 in downstream complications.</w:t>
            </w:r>
          </w:p>
        </w:tc>
      </w:tr>
      <w:tr w:rsidR="00DA294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vAlign w:val="center"/>
          </w:tcPr>
          <w:p w:rsidR="00DA2947" w:rsidRDefault="00000000">
            <w:pPr>
              <w:spacing w:before="40" w:after="40"/>
            </w:pPr>
            <w:r>
              <w:rPr>
                <w:sz w:val="20"/>
                <w:szCs w:val="20"/>
              </w:rPr>
              <w:t>Number Needed to Treat (NNT)</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DA2947" w:rsidRDefault="00000000">
            <w:pPr>
              <w:spacing w:before="40" w:after="40"/>
            </w:pPr>
            <w:r>
              <w:rPr>
                <w:sz w:val="20"/>
                <w:szCs w:val="20"/>
              </w:rPr>
              <w:t>How many patients need their care gap closed to prevent one complication event? Inverse of the absolute risk reduction between matched cohorts.</w:t>
            </w:r>
          </w:p>
        </w:tc>
      </w:tr>
      <w:tr w:rsidR="00DA294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vAlign w:val="center"/>
          </w:tcPr>
          <w:p w:rsidR="00DA2947" w:rsidRDefault="00000000">
            <w:pPr>
              <w:spacing w:before="40" w:after="40"/>
            </w:pPr>
            <w:r>
              <w:rPr>
                <w:sz w:val="20"/>
                <w:szCs w:val="20"/>
              </w:rPr>
              <w:t>Cost per Complication Averted</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DA2947" w:rsidRDefault="00000000">
            <w:pPr>
              <w:spacing w:before="40" w:after="40"/>
            </w:pPr>
            <w:r>
              <w:rPr>
                <w:sz w:val="20"/>
                <w:szCs w:val="20"/>
              </w:rPr>
              <w:t>Total intervention cost for NNT patients. The price tag for preventing one hospitalization, one amputation, one dialysis initiation.</w:t>
            </w:r>
          </w:p>
        </w:tc>
      </w:tr>
      <w:tr w:rsidR="00DA294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vAlign w:val="center"/>
          </w:tcPr>
          <w:p w:rsidR="00DA2947" w:rsidRDefault="00000000">
            <w:pPr>
              <w:spacing w:before="40" w:after="40"/>
            </w:pPr>
            <w:r>
              <w:rPr>
                <w:sz w:val="20"/>
                <w:szCs w:val="20"/>
              </w:rPr>
              <w:t>Time to Break-Even</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DA2947" w:rsidRDefault="00000000">
            <w:pPr>
              <w:spacing w:before="40" w:after="40"/>
            </w:pPr>
            <w:r>
              <w:rPr>
                <w:sz w:val="20"/>
                <w:szCs w:val="20"/>
              </w:rPr>
              <w:t>How many months of follow-up before the cumulative complication cost savings exceed the intervention costs? Critical for payer contract cycle alignment.</w:t>
            </w:r>
          </w:p>
        </w:tc>
      </w:tr>
      <w:tr w:rsidR="00DA294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vAlign w:val="center"/>
          </w:tcPr>
          <w:p w:rsidR="00DA2947" w:rsidRDefault="00000000">
            <w:pPr>
              <w:spacing w:before="40" w:after="40"/>
            </w:pPr>
            <w:r>
              <w:rPr>
                <w:sz w:val="20"/>
                <w:szCs w:val="20"/>
              </w:rPr>
              <w:t>Confidence Intervals</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DA2947" w:rsidRDefault="00000000">
            <w:pPr>
              <w:spacing w:before="40" w:after="40"/>
            </w:pPr>
            <w:r>
              <w:rPr>
                <w:sz w:val="20"/>
                <w:szCs w:val="20"/>
              </w:rPr>
              <w:t>Non-parametric bootstrap (1,000 iterations) on the matched cohort to produce 95% CIs for all cost metrics. Cost data is notoriously right-skewed; bootstrapping handles this without distributional assumptions.</w:t>
            </w:r>
          </w:p>
        </w:tc>
      </w:tr>
    </w:tbl>
    <w:p w:rsidR="00DA2947" w:rsidRDefault="00DA2947">
      <w:pPr>
        <w:spacing w:before="200"/>
      </w:pPr>
    </w:p>
    <w:p w:rsidR="00DA2947" w:rsidRDefault="00000000">
      <w:pPr>
        <w:pStyle w:val="Heading2"/>
      </w:pPr>
      <w:r>
        <w:t>4.2 Bundle Prioritization Engine</w:t>
      </w:r>
    </w:p>
    <w:p w:rsidR="00DA2947" w:rsidRDefault="00000000">
      <w:pPr>
        <w:spacing w:after="160" w:line="276" w:lineRule="auto"/>
      </w:pPr>
      <w:r>
        <w:t xml:space="preserve">Not all care gaps are created equal. The Bundle Prioritization Engine ranks every care gap within every bundle by its economic impact, producing an </w:t>
      </w:r>
      <w:r>
        <w:rPr>
          <w:b/>
          <w:bCs/>
        </w:rPr>
        <w:t>investment priority stack</w:t>
      </w:r>
      <w:r>
        <w:t xml:space="preserve"> that answers: if you can only close 5 of the 12 care gaps in the diabetes bundle, which 5 produce the greatest cost avoidance? The ranking considers: magnitude of cost avoidance per patient, prevalence of the open gap in the population (a high-impact gap that is already 95% closed has less population-level value than a moderate-impact gap that is only 40% closed), time to break-even (gaps with shorter payback periods rank higher for organizations with short contract cycles), and interaction effects </w:t>
      </w:r>
      <w:r>
        <w:lastRenderedPageBreak/>
        <w:t>(some gaps have synergistic effects—closing HbA1c monitoring without also closing statin therapy may yield less than the sum of individual effects).</w:t>
      </w:r>
    </w:p>
    <w:p w:rsidR="00DA2947" w:rsidRDefault="00000000">
      <w:pPr>
        <w:pStyle w:val="Heading2"/>
      </w:pPr>
      <w:r>
        <w:t>4.3 Population Scenario Modeler</w:t>
      </w:r>
    </w:p>
    <w:p w:rsidR="00DA2947" w:rsidRDefault="00000000">
      <w:pPr>
        <w:spacing w:after="160" w:line="276" w:lineRule="auto"/>
      </w:pPr>
      <w:r>
        <w:t>An interactive simulation tool that projects the economic impact of care gap closure strategies across an entire population. The modeler accepts: a target population (e.g., all Medicare Advantage members with diabetes), a current state of care gap closure rates (from Parthenon’s real-time tracking), a target state (proposed improvement in closure rates), and a projection horizon (1–5 years). Using the per-gap ROI parameters estimated from the matched cohort analyses, the modeler projects: total investment required (intervention costs for incremental gap closures), total complication costs avoided, net savings (avoided costs minus investment), impact on HEDIS scores and predicted Star Rating change, impact on risk-adjusted revenue (coding completeness from care gap visits often improves RAF scores), and projected quality bonus payments. The modeler supports uncertainty quantification by propagating the bootstrapped confidence intervals from the ROI calculator through the population projection.</w:t>
      </w:r>
    </w:p>
    <w:p w:rsidR="00DA2947" w:rsidRDefault="00000000">
      <w:pPr>
        <w:pStyle w:val="Heading2"/>
      </w:pPr>
      <w:r>
        <w:t>4.4 Temporal Cost Trajectory Analyzer</w:t>
      </w:r>
    </w:p>
    <w:p w:rsidR="00DA2947" w:rsidRDefault="00000000">
      <w:pPr>
        <w:spacing w:after="160" w:line="276" w:lineRule="auto"/>
      </w:pPr>
      <w:r>
        <w:t>A longitudinal visualization module that plots cost trajectories for matched cohorts over time, revealing the economic dynamics of care gap closure:</w:t>
      </w:r>
    </w:p>
    <w:p w:rsidR="00DA2947" w:rsidRDefault="00000000">
      <w:pPr>
        <w:pStyle w:val="ListParagraph"/>
        <w:numPr>
          <w:ilvl w:val="0"/>
          <w:numId w:val="2"/>
        </w:numPr>
        <w:spacing w:after="80"/>
      </w:pPr>
      <w:r>
        <w:rPr>
          <w:b/>
          <w:bCs/>
        </w:rPr>
        <w:t xml:space="preserve">Divergence Point: </w:t>
      </w:r>
      <w:r>
        <w:t>At what month post-gap-identification do the cost curves for gap-closed and gap-open cohorts begin to separate? For diabetes HbA1c monitoring, divergence may appear at 12–18 months as untreated hyperglycemia leads to ED visits and hospitalizations.</w:t>
      </w:r>
    </w:p>
    <w:p w:rsidR="00DA2947" w:rsidRDefault="00000000">
      <w:pPr>
        <w:pStyle w:val="ListParagraph"/>
        <w:numPr>
          <w:ilvl w:val="0"/>
          <w:numId w:val="2"/>
        </w:numPr>
        <w:spacing w:after="80"/>
      </w:pPr>
      <w:r>
        <w:rPr>
          <w:b/>
          <w:bCs/>
        </w:rPr>
        <w:t xml:space="preserve">Acceleration Curve: </w:t>
      </w:r>
      <w:r>
        <w:t>How does the cost differential grow over time? Many preventive interventions show exponential cost divergence as complications cascade (e.g., retinopathy → macular edema → injections → surgery → blindness-related care costs).</w:t>
      </w:r>
    </w:p>
    <w:p w:rsidR="00DA2947" w:rsidRDefault="00000000">
      <w:pPr>
        <w:pStyle w:val="ListParagraph"/>
        <w:numPr>
          <w:ilvl w:val="0"/>
          <w:numId w:val="2"/>
        </w:numPr>
        <w:spacing w:after="80"/>
      </w:pPr>
      <w:r>
        <w:rPr>
          <w:b/>
          <w:bCs/>
        </w:rPr>
        <w:t xml:space="preserve">Plateau Analysis: </w:t>
      </w:r>
      <w:r>
        <w:t>Does the cost benefit plateau or continue growing? This determines optimal contract length for value-based arrangements.</w:t>
      </w:r>
    </w:p>
    <w:p w:rsidR="00DA2947" w:rsidRDefault="00000000">
      <w:pPr>
        <w:pStyle w:val="ListParagraph"/>
        <w:numPr>
          <w:ilvl w:val="0"/>
          <w:numId w:val="2"/>
        </w:numPr>
        <w:spacing w:after="80"/>
      </w:pPr>
      <w:r>
        <w:rPr>
          <w:b/>
          <w:bCs/>
        </w:rPr>
        <w:t xml:space="preserve">Cohort Stratification: </w:t>
      </w:r>
      <w:r>
        <w:t>Overlay cost trajectories for subpopulations by age, comorbidity burden, baseline HbA1c, socioeconomic status—identifying which patients benefit most economically from care gap intervention.</w:t>
      </w:r>
    </w:p>
    <w:p w:rsidR="00DA2947" w:rsidRDefault="00000000">
      <w:pPr>
        <w:pStyle w:val="Heading2"/>
      </w:pPr>
      <w:r>
        <w:t>4.5 Value-Based Contract Simulator</w:t>
      </w:r>
    </w:p>
    <w:p w:rsidR="00DA2947" w:rsidRDefault="00000000">
      <w:pPr>
        <w:spacing w:after="160" w:line="276" w:lineRule="auto"/>
      </w:pPr>
      <w:r>
        <w:t>A decision-support module specifically designed for payer-provider contract negotiation:</w:t>
      </w:r>
    </w:p>
    <w:p w:rsidR="00DA2947" w:rsidRDefault="00000000">
      <w:pPr>
        <w:pStyle w:val="ListParagraph"/>
        <w:numPr>
          <w:ilvl w:val="0"/>
          <w:numId w:val="2"/>
        </w:numPr>
        <w:spacing w:after="80"/>
      </w:pPr>
      <w:r>
        <w:rPr>
          <w:b/>
          <w:bCs/>
        </w:rPr>
        <w:t xml:space="preserve">Shared Savings Calculation: </w:t>
      </w:r>
      <w:r>
        <w:t>Given a defined population, a proposed quality improvement target, and a shared savings percentage, compute the expected financial outcome for both payer and provider based on Parthenon’s care gap ROI evidence.</w:t>
      </w:r>
    </w:p>
    <w:p w:rsidR="00DA2947" w:rsidRDefault="00000000">
      <w:pPr>
        <w:pStyle w:val="ListParagraph"/>
        <w:numPr>
          <w:ilvl w:val="0"/>
          <w:numId w:val="2"/>
        </w:numPr>
        <w:spacing w:after="80"/>
      </w:pPr>
      <w:r>
        <w:rPr>
          <w:b/>
          <w:bCs/>
        </w:rPr>
        <w:t xml:space="preserve">Risk Corridor Modeling: </w:t>
      </w:r>
      <w:r>
        <w:t>Simulate the probability distribution of savings outcomes, identifying the risk of losses and the upside potential across different quality improvement scenarios.</w:t>
      </w:r>
    </w:p>
    <w:p w:rsidR="00DA2947" w:rsidRDefault="00000000">
      <w:pPr>
        <w:pStyle w:val="ListParagraph"/>
        <w:numPr>
          <w:ilvl w:val="0"/>
          <w:numId w:val="2"/>
        </w:numPr>
        <w:spacing w:after="80"/>
      </w:pPr>
      <w:r>
        <w:rPr>
          <w:b/>
          <w:bCs/>
        </w:rPr>
        <w:t xml:space="preserve">Star Rating Impact Projection: </w:t>
      </w:r>
      <w:r>
        <w:t xml:space="preserve">Map proposed HEDIS score improvements (from care gap closure) to Star Rating changes and associated Medicare Advantage bonus payments. A </w:t>
      </w:r>
      <w:r>
        <w:lastRenderedPageBreak/>
        <w:t>0.5-star improvement for a plan with 100,000 members can generate tens of millions in annual bonus payments.</w:t>
      </w:r>
    </w:p>
    <w:p w:rsidR="00DA2947" w:rsidRDefault="00000000">
      <w:pPr>
        <w:pStyle w:val="ListParagraph"/>
        <w:numPr>
          <w:ilvl w:val="0"/>
          <w:numId w:val="2"/>
        </w:numPr>
        <w:spacing w:after="80"/>
      </w:pPr>
      <w:r>
        <w:rPr>
          <w:b/>
          <w:bCs/>
        </w:rPr>
        <w:t xml:space="preserve">Contract Term Optimization: </w:t>
      </w:r>
      <w:r>
        <w:t>Use time-to-break-even analysis to recommend minimum contract durations that allow preventive investments to demonstrate returns. A 1-year contract may miss the economic benefit of a screening program whose complication avoidance manifests at 18 months.</w:t>
      </w:r>
    </w:p>
    <w:p w:rsidR="00DA2947" w:rsidRDefault="00000000">
      <w:r>
        <w:br w:type="page"/>
      </w:r>
    </w:p>
    <w:p w:rsidR="00DA2947" w:rsidRDefault="00000000">
      <w:pPr>
        <w:pStyle w:val="Heading1"/>
      </w:pPr>
      <w:r>
        <w:lastRenderedPageBreak/>
        <w:t>5. Four-Phase Implementation Plan</w:t>
      </w:r>
    </w:p>
    <w:p w:rsidR="00DA2947" w:rsidRDefault="00000000">
      <w:pPr>
        <w:pStyle w:val="Heading2"/>
      </w:pPr>
      <w:r>
        <w:t>Phase I: Cost Data Foundation (Months 1–4)</w:t>
      </w:r>
    </w:p>
    <w:p w:rsidR="00DA2947" w:rsidRDefault="00000000">
      <w:pPr>
        <w:spacing w:after="160" w:line="276" w:lineRule="auto"/>
      </w:pPr>
      <w:r>
        <w:t>Objective: Ingest claims data into the OMOP CDM and establish the linkage between care gap events and cost records.</w:t>
      </w:r>
    </w:p>
    <w:p w:rsidR="00DA2947" w:rsidRDefault="00000000">
      <w:pPr>
        <w:pStyle w:val="Heading3"/>
      </w:pPr>
      <w:r>
        <w:t>5.1 Claims Data ETL Pipeline</w:t>
      </w:r>
    </w:p>
    <w:p w:rsidR="00DA2947" w:rsidRDefault="00000000">
      <w:pPr>
        <w:pStyle w:val="ListParagraph"/>
        <w:numPr>
          <w:ilvl w:val="0"/>
          <w:numId w:val="2"/>
        </w:numPr>
        <w:spacing w:after="80"/>
      </w:pPr>
      <w:r>
        <w:t xml:space="preserve">Build configurable ETL pipelines for the most common claims data formats: 837 Professional/Institutional claims, NCPDP pharmacy claims, ASC X12 835 remittance advice, and flat-file extracts from major claims databases (IBM </w:t>
      </w:r>
      <w:proofErr w:type="spellStart"/>
      <w:r>
        <w:t>MarketScan</w:t>
      </w:r>
      <w:proofErr w:type="spellEnd"/>
      <w:r>
        <w:t xml:space="preserve"> format, Optum </w:t>
      </w:r>
      <w:proofErr w:type="spellStart"/>
      <w:r>
        <w:t>Clinformatics</w:t>
      </w:r>
      <w:proofErr w:type="spellEnd"/>
      <w:r>
        <w:t xml:space="preserve"> format, custom health plan extracts).</w:t>
      </w:r>
    </w:p>
    <w:p w:rsidR="00DA2947" w:rsidRDefault="00000000">
      <w:pPr>
        <w:pStyle w:val="ListParagraph"/>
        <w:numPr>
          <w:ilvl w:val="0"/>
          <w:numId w:val="2"/>
        </w:numPr>
        <w:spacing w:after="80"/>
      </w:pPr>
      <w:r>
        <w:t xml:space="preserve">Populate the OMOP COST table with all financial fields: </w:t>
      </w:r>
      <w:proofErr w:type="spellStart"/>
      <w:r>
        <w:t>total_charge</w:t>
      </w:r>
      <w:proofErr w:type="spellEnd"/>
      <w:r>
        <w:t xml:space="preserve">, </w:t>
      </w:r>
      <w:proofErr w:type="spellStart"/>
      <w:r>
        <w:t>total_cost</w:t>
      </w:r>
      <w:proofErr w:type="spellEnd"/>
      <w:r>
        <w:t xml:space="preserve">, </w:t>
      </w:r>
      <w:proofErr w:type="spellStart"/>
      <w:r>
        <w:t>total_paid</w:t>
      </w:r>
      <w:proofErr w:type="spellEnd"/>
      <w:r>
        <w:t xml:space="preserve">, </w:t>
      </w:r>
      <w:proofErr w:type="spellStart"/>
      <w:r>
        <w:t>paid_by_payer</w:t>
      </w:r>
      <w:proofErr w:type="spellEnd"/>
      <w:r>
        <w:t xml:space="preserve">, </w:t>
      </w:r>
      <w:proofErr w:type="spellStart"/>
      <w:r>
        <w:t>paid_by_patient</w:t>
      </w:r>
      <w:proofErr w:type="spellEnd"/>
      <w:r>
        <w:t xml:space="preserve">, </w:t>
      </w:r>
      <w:proofErr w:type="spellStart"/>
      <w:r>
        <w:t>paid_patient_copay</w:t>
      </w:r>
      <w:proofErr w:type="spellEnd"/>
      <w:r>
        <w:t xml:space="preserve">, </w:t>
      </w:r>
      <w:proofErr w:type="spellStart"/>
      <w:r>
        <w:t>paid_patient_coinsurance</w:t>
      </w:r>
      <w:proofErr w:type="spellEnd"/>
      <w:r>
        <w:t xml:space="preserve">, </w:t>
      </w:r>
      <w:proofErr w:type="spellStart"/>
      <w:r>
        <w:t>paid_patient_deductible</w:t>
      </w:r>
      <w:proofErr w:type="spellEnd"/>
      <w:r>
        <w:t xml:space="preserve">, </w:t>
      </w:r>
      <w:proofErr w:type="spellStart"/>
      <w:r>
        <w:t>revenue_code_concept_id</w:t>
      </w:r>
      <w:proofErr w:type="spellEnd"/>
      <w:r>
        <w:t xml:space="preserve">, </w:t>
      </w:r>
      <w:proofErr w:type="spellStart"/>
      <w:r>
        <w:t>drg_concept_id</w:t>
      </w:r>
      <w:proofErr w:type="spellEnd"/>
      <w:r>
        <w:t>.</w:t>
      </w:r>
    </w:p>
    <w:p w:rsidR="00DA2947" w:rsidRDefault="00000000">
      <w:pPr>
        <w:pStyle w:val="ListParagraph"/>
        <w:numPr>
          <w:ilvl w:val="0"/>
          <w:numId w:val="2"/>
        </w:numPr>
        <w:spacing w:after="80"/>
      </w:pPr>
      <w:r>
        <w:t>Populate PAYER_PLAN_PERIOD with enrollment continuity data, enabling observation period validation for all HEOR analyses.</w:t>
      </w:r>
    </w:p>
    <w:p w:rsidR="00DA2947" w:rsidRDefault="00000000">
      <w:pPr>
        <w:pStyle w:val="ListParagraph"/>
        <w:numPr>
          <w:ilvl w:val="0"/>
          <w:numId w:val="2"/>
        </w:numPr>
        <w:spacing w:after="80"/>
      </w:pPr>
      <w:r>
        <w:t>Implement cost inflation adjustment using CMS Market Basket indices and Medical CPI, configurable by year and cost category, to normalize multi-year longitudinal analyses.</w:t>
      </w:r>
    </w:p>
    <w:p w:rsidR="00DA2947" w:rsidRDefault="00000000">
      <w:pPr>
        <w:pStyle w:val="Heading3"/>
      </w:pPr>
      <w:r>
        <w:t>5.2 Care Gap Event Formalization</w:t>
      </w:r>
    </w:p>
    <w:p w:rsidR="00DA2947" w:rsidRDefault="00000000">
      <w:pPr>
        <w:pStyle w:val="ListParagraph"/>
        <w:numPr>
          <w:ilvl w:val="0"/>
          <w:numId w:val="2"/>
        </w:numPr>
        <w:spacing w:after="80"/>
      </w:pPr>
      <w:r>
        <w:t xml:space="preserve">Formalize the care gap state transition model as structured events in the OMOP CDM, using the OBSERVATION table with Parthenon-defined </w:t>
      </w:r>
      <w:proofErr w:type="spellStart"/>
      <w:r>
        <w:t>concept_ids</w:t>
      </w:r>
      <w:proofErr w:type="spellEnd"/>
      <w:r>
        <w:t xml:space="preserve"> for each of the 438 care gap states and 45 bundle compliance scores.</w:t>
      </w:r>
    </w:p>
    <w:p w:rsidR="00DA2947" w:rsidRDefault="00000000">
      <w:pPr>
        <w:pStyle w:val="ListParagraph"/>
        <w:numPr>
          <w:ilvl w:val="0"/>
          <w:numId w:val="2"/>
        </w:numPr>
        <w:spacing w:after="80"/>
      </w:pPr>
      <w:r>
        <w:t xml:space="preserve">Create the </w:t>
      </w:r>
      <w:proofErr w:type="spellStart"/>
      <w:r>
        <w:t>care_gap_event</w:t>
      </w:r>
      <w:proofErr w:type="spellEnd"/>
      <w:r>
        <w:t xml:space="preserve"> extension table linking gap state changes to the specific clinical events that triggered them (the MEASUREMENT record for the HbA1c result, the PROCEDURE_OCCURRENCE for the eye exam, the DRUG_EXPOSURE for the statin prescription).</w:t>
      </w:r>
    </w:p>
    <w:p w:rsidR="00DA2947" w:rsidRDefault="00000000">
      <w:pPr>
        <w:pStyle w:val="ListParagraph"/>
        <w:numPr>
          <w:ilvl w:val="0"/>
          <w:numId w:val="2"/>
        </w:numPr>
        <w:spacing w:after="80"/>
      </w:pPr>
      <w:r>
        <w:t>Build the complication concept sets for all 45 care bundles: curated ICD-10/SNOMED condition concept sets, associated procedure concept sets, and emergency/hospitalization visit concept sets representing the preventable downstream events for each disease.</w:t>
      </w:r>
    </w:p>
    <w:p w:rsidR="00DA2947" w:rsidRDefault="00000000">
      <w:pPr>
        <w:pStyle w:val="Heading3"/>
      </w:pPr>
      <w:r>
        <w:t>5.3 Cost Accumulation Engine</w:t>
      </w:r>
    </w:p>
    <w:p w:rsidR="00DA2947" w:rsidRDefault="00000000">
      <w:pPr>
        <w:pStyle w:val="ListParagraph"/>
        <w:numPr>
          <w:ilvl w:val="0"/>
          <w:numId w:val="2"/>
        </w:numPr>
        <w:spacing w:after="80"/>
      </w:pPr>
      <w:r>
        <w:t>Implement the cost window computation: for any person and any index date, compute pre-period, intervention-period, and post-period costs with configurable window lengths, categorized by complication-related, disease-management, and all-cause.</w:t>
      </w:r>
    </w:p>
    <w:p w:rsidR="00DA2947" w:rsidRDefault="00000000">
      <w:pPr>
        <w:pStyle w:val="ListParagraph"/>
        <w:numPr>
          <w:ilvl w:val="0"/>
          <w:numId w:val="2"/>
        </w:numPr>
        <w:spacing w:after="80"/>
      </w:pPr>
      <w:r>
        <w:t>Handle the complexities of cost data: right-censoring (patients who lose enrollment during follow-up), zero-cost observations (patients with no claims in a window), extreme outliers (catastrophic costs), and currency normalization for multi-</w:t>
      </w:r>
      <w:proofErr w:type="spellStart"/>
      <w:r>
        <w:t>payer</w:t>
      </w:r>
      <w:proofErr w:type="spellEnd"/>
      <w:r>
        <w:t xml:space="preserve"> or international deployments.</w:t>
      </w:r>
    </w:p>
    <w:p w:rsidR="00DA2947" w:rsidRDefault="00000000">
      <w:pPr>
        <w:pStyle w:val="Heading2"/>
      </w:pPr>
      <w:r>
        <w:t>Phase II: Comparative Analytics Engine (Months 3–8)</w:t>
      </w:r>
    </w:p>
    <w:p w:rsidR="00DA2947" w:rsidRDefault="00000000">
      <w:pPr>
        <w:spacing w:after="160" w:line="276" w:lineRule="auto"/>
      </w:pPr>
      <w:r>
        <w:t>Objective: Build the propensity score matching, difference-in-differences, and ROI computation infrastructure.</w:t>
      </w:r>
    </w:p>
    <w:p w:rsidR="00DA2947" w:rsidRDefault="00000000">
      <w:pPr>
        <w:pStyle w:val="Heading3"/>
      </w:pPr>
      <w:r>
        <w:t>5.4 Propensity Score Module</w:t>
      </w:r>
    </w:p>
    <w:p w:rsidR="00DA2947" w:rsidRDefault="00000000">
      <w:pPr>
        <w:pStyle w:val="ListParagraph"/>
        <w:numPr>
          <w:ilvl w:val="0"/>
          <w:numId w:val="2"/>
        </w:numPr>
        <w:spacing w:after="80"/>
      </w:pPr>
      <w:r>
        <w:lastRenderedPageBreak/>
        <w:t xml:space="preserve">Implement large-scale propensity score computation using the OHDSI </w:t>
      </w:r>
      <w:proofErr w:type="spellStart"/>
      <w:r>
        <w:t>FeatureExtraction</w:t>
      </w:r>
      <w:proofErr w:type="spellEnd"/>
      <w:r>
        <w:t xml:space="preserve"> conventions: automatically extract thousands of baseline covariates from all OMOP clinical domains for the gap-closed vs. gap-open comparison.</w:t>
      </w:r>
    </w:p>
    <w:p w:rsidR="00DA2947" w:rsidRDefault="00000000">
      <w:pPr>
        <w:pStyle w:val="ListParagraph"/>
        <w:numPr>
          <w:ilvl w:val="0"/>
          <w:numId w:val="2"/>
        </w:numPr>
        <w:spacing w:after="80"/>
      </w:pPr>
      <w:r>
        <w:t>Support multiple matching strategies: 1:1, variable-ratio, and caliper-based matching, plus IPTW and stratification as alternatives.</w:t>
      </w:r>
    </w:p>
    <w:p w:rsidR="00DA2947" w:rsidRDefault="00000000">
      <w:pPr>
        <w:pStyle w:val="ListParagraph"/>
        <w:numPr>
          <w:ilvl w:val="0"/>
          <w:numId w:val="2"/>
        </w:numPr>
        <w:spacing w:after="80"/>
      </w:pPr>
      <w:r>
        <w:t>Automated covariate balance diagnostics: standardized mean difference tables, preference score distribution plots, and Love plots. Analyses that fail the SMD &lt; 0.1 threshold are flagged with warnings and sensitivity analysis recommendations.</w:t>
      </w:r>
    </w:p>
    <w:p w:rsidR="00DA2947" w:rsidRDefault="00000000">
      <w:pPr>
        <w:pStyle w:val="ListParagraph"/>
        <w:numPr>
          <w:ilvl w:val="0"/>
          <w:numId w:val="2"/>
        </w:numPr>
        <w:spacing w:after="80"/>
      </w:pPr>
      <w:r>
        <w:t>Implement negative control outcomes: include outcomes that should NOT differ between gap-closed and gap-open cohorts (e.g., accidental injuries) to assess residual confounding, following the OHDSI empirical calibration framework.</w:t>
      </w:r>
    </w:p>
    <w:p w:rsidR="00DA2947" w:rsidRDefault="00000000">
      <w:pPr>
        <w:pStyle w:val="Heading3"/>
      </w:pPr>
      <w:r>
        <w:t>5.5 ROI Calculator and Bundle Prioritization</w:t>
      </w:r>
    </w:p>
    <w:p w:rsidR="00DA2947" w:rsidRDefault="00000000">
      <w:pPr>
        <w:pStyle w:val="ListParagraph"/>
        <w:numPr>
          <w:ilvl w:val="0"/>
          <w:numId w:val="2"/>
        </w:numPr>
        <w:spacing w:after="80"/>
      </w:pPr>
      <w:r>
        <w:t>Implement the ROI calculator for all 438 care gaps and 45 bundles with bootstrap confidence intervals.</w:t>
      </w:r>
    </w:p>
    <w:p w:rsidR="00DA2947" w:rsidRDefault="00000000">
      <w:pPr>
        <w:pStyle w:val="ListParagraph"/>
        <w:numPr>
          <w:ilvl w:val="0"/>
          <w:numId w:val="2"/>
        </w:numPr>
        <w:spacing w:after="80"/>
      </w:pPr>
      <w:r>
        <w:t>Build the Bundle Prioritization Engine with interaction effect detection using additive vs. joint models.</w:t>
      </w:r>
    </w:p>
    <w:p w:rsidR="00DA2947" w:rsidRDefault="00000000">
      <w:pPr>
        <w:pStyle w:val="ListParagraph"/>
        <w:numPr>
          <w:ilvl w:val="0"/>
          <w:numId w:val="2"/>
        </w:numPr>
        <w:spacing w:after="80"/>
      </w:pPr>
      <w:r>
        <w:t>Create the Care Gap Economics Dashboard in the React frontend: interactive tables ranking gaps by ROI, filterable by disease, payer type, demographic subgroup, and time horizon.</w:t>
      </w:r>
    </w:p>
    <w:p w:rsidR="00DA2947" w:rsidRDefault="00000000">
      <w:pPr>
        <w:pStyle w:val="Heading2"/>
      </w:pPr>
      <w:r>
        <w:t>Phase III: Simulation and Decision Support (Months 6–12)</w:t>
      </w:r>
    </w:p>
    <w:p w:rsidR="00DA2947" w:rsidRDefault="00000000">
      <w:pPr>
        <w:spacing w:after="160" w:line="276" w:lineRule="auto"/>
      </w:pPr>
      <w:r>
        <w:t>Objective: Build the population scenario modeler, contract simulator, and automated evidence generation.</w:t>
      </w:r>
    </w:p>
    <w:p w:rsidR="00DA2947" w:rsidRDefault="00000000">
      <w:pPr>
        <w:pStyle w:val="Heading3"/>
      </w:pPr>
      <w:r>
        <w:t>5.6 Population Scenario Modeler</w:t>
      </w:r>
    </w:p>
    <w:p w:rsidR="00DA2947" w:rsidRDefault="00000000">
      <w:pPr>
        <w:pStyle w:val="ListParagraph"/>
        <w:numPr>
          <w:ilvl w:val="0"/>
          <w:numId w:val="2"/>
        </w:numPr>
        <w:spacing w:after="80"/>
      </w:pPr>
      <w:r>
        <w:t>Implement the Monte Carlo simulation engine that projects population-level financial outcomes from proposed care gap closure improvements.</w:t>
      </w:r>
    </w:p>
    <w:p w:rsidR="00DA2947" w:rsidRDefault="00000000">
      <w:pPr>
        <w:pStyle w:val="ListParagraph"/>
        <w:numPr>
          <w:ilvl w:val="0"/>
          <w:numId w:val="2"/>
        </w:numPr>
        <w:spacing w:after="80"/>
      </w:pPr>
      <w:r>
        <w:t>Build the Star Rating impact model: map HEDIS measure improvements to predicted Star Rating changes using CMS cut-point thresholds and weighting algorithms.</w:t>
      </w:r>
    </w:p>
    <w:p w:rsidR="00DA2947" w:rsidRDefault="00000000">
      <w:pPr>
        <w:pStyle w:val="ListParagraph"/>
        <w:numPr>
          <w:ilvl w:val="0"/>
          <w:numId w:val="2"/>
        </w:numPr>
        <w:spacing w:after="80"/>
      </w:pPr>
      <w:r>
        <w:t>Implement the risk-adjusted revenue impact estimator: quantify the coding completeness improvement that occurs when care gap visits trigger comprehensive diagnostic documentation and HCC capture.</w:t>
      </w:r>
    </w:p>
    <w:p w:rsidR="00DA2947" w:rsidRDefault="00000000">
      <w:pPr>
        <w:pStyle w:val="Heading3"/>
      </w:pPr>
      <w:r>
        <w:t>5.7 Value-Based Contract Module</w:t>
      </w:r>
    </w:p>
    <w:p w:rsidR="00DA2947" w:rsidRDefault="00000000">
      <w:pPr>
        <w:pStyle w:val="ListParagraph"/>
        <w:numPr>
          <w:ilvl w:val="0"/>
          <w:numId w:val="2"/>
        </w:numPr>
        <w:spacing w:after="80"/>
      </w:pPr>
      <w:r>
        <w:t>Build the shared savings calculator with configurable payer-provider split ratios and minimum savings rates.</w:t>
      </w:r>
    </w:p>
    <w:p w:rsidR="00DA2947" w:rsidRDefault="00000000">
      <w:pPr>
        <w:pStyle w:val="ListParagraph"/>
        <w:numPr>
          <w:ilvl w:val="0"/>
          <w:numId w:val="2"/>
        </w:numPr>
        <w:spacing w:after="80"/>
      </w:pPr>
      <w:r>
        <w:t>Implement risk corridor modeling with probability distributions for quality and cost outcomes.</w:t>
      </w:r>
    </w:p>
    <w:p w:rsidR="00DA2947" w:rsidRDefault="00000000">
      <w:pPr>
        <w:pStyle w:val="ListParagraph"/>
        <w:numPr>
          <w:ilvl w:val="0"/>
          <w:numId w:val="2"/>
        </w:numPr>
        <w:spacing w:after="80"/>
      </w:pPr>
      <w:r>
        <w:t>Create exportable evidence packages: PDF/DOCX reports with matched cohort characteristics, cost curves, ROI tables, and Star Rating projections formatted for contract negotiation meetings and board presentations.</w:t>
      </w:r>
    </w:p>
    <w:p w:rsidR="00DA2947" w:rsidRDefault="00000000">
      <w:pPr>
        <w:pStyle w:val="Heading3"/>
      </w:pPr>
      <w:r>
        <w:t>5.8 Automated HEOR Evidence Pipeline</w:t>
      </w:r>
    </w:p>
    <w:p w:rsidR="00DA2947" w:rsidRDefault="00000000">
      <w:pPr>
        <w:pStyle w:val="ListParagraph"/>
        <w:numPr>
          <w:ilvl w:val="0"/>
          <w:numId w:val="2"/>
        </w:numPr>
        <w:spacing w:after="80"/>
      </w:pPr>
      <w:r>
        <w:t xml:space="preserve">Extend Parthenon’s AI evidence synthesis layer to automatically generate HEOR analyses when sufficient data accumulates. When a care gap’s matched cohort reaches statistical </w:t>
      </w:r>
      <w:r>
        <w:lastRenderedPageBreak/>
        <w:t>power (per Parthenon’s minimum detectable effect size calculations), automatically execute the analysis, generate confidence intervals, and publish to the evidence repository.</w:t>
      </w:r>
    </w:p>
    <w:p w:rsidR="00DA2947" w:rsidRDefault="00000000">
      <w:pPr>
        <w:pStyle w:val="ListParagraph"/>
        <w:numPr>
          <w:ilvl w:val="0"/>
          <w:numId w:val="2"/>
        </w:numPr>
        <w:spacing w:after="80"/>
      </w:pPr>
      <w:r>
        <w:t>LLM-powered evidence summarization: convert statistical outputs into human-readable executive summaries suitable for non-technical audiences—CFOs, board members, quality committee chairs.</w:t>
      </w:r>
    </w:p>
    <w:p w:rsidR="00DA2947" w:rsidRDefault="00000000">
      <w:pPr>
        <w:pStyle w:val="Heading2"/>
      </w:pPr>
      <w:r>
        <w:t>Phase IV: Federated Economics Network (Months 10–18)</w:t>
      </w:r>
    </w:p>
    <w:p w:rsidR="00DA2947" w:rsidRDefault="00000000">
      <w:pPr>
        <w:spacing w:after="160" w:line="276" w:lineRule="auto"/>
      </w:pPr>
      <w:r>
        <w:t>Objective: Enable multi-institutional care gap economics research and benchmarking.</w:t>
      </w:r>
    </w:p>
    <w:p w:rsidR="00DA2947" w:rsidRDefault="00000000">
      <w:pPr>
        <w:pStyle w:val="Heading3"/>
      </w:pPr>
      <w:r>
        <w:t>5.9 Federated Cost Benchmarking</w:t>
      </w:r>
    </w:p>
    <w:p w:rsidR="00DA2947" w:rsidRDefault="00000000">
      <w:pPr>
        <w:pStyle w:val="ListParagraph"/>
        <w:numPr>
          <w:ilvl w:val="0"/>
          <w:numId w:val="2"/>
        </w:numPr>
        <w:spacing w:after="80"/>
      </w:pPr>
      <w:r>
        <w:t>Share aggregate care gap ROI metrics across Parthenon nodes without sharing patient-level data: average intervention cost, average complication cost avoided, ROI ratios, and time-to-break-even by care gap, disease, and demographic stratum.</w:t>
      </w:r>
    </w:p>
    <w:p w:rsidR="00DA2947" w:rsidRDefault="00000000">
      <w:pPr>
        <w:pStyle w:val="ListParagraph"/>
        <w:numPr>
          <w:ilvl w:val="0"/>
          <w:numId w:val="2"/>
        </w:numPr>
        <w:spacing w:after="80"/>
      </w:pPr>
      <w:r>
        <w:t>Enable cross-institutional benchmarking: how does your organization’s diabetes care gap closure rate compare to the network, and what is the economic implication of that gap?</w:t>
      </w:r>
    </w:p>
    <w:p w:rsidR="00DA2947" w:rsidRDefault="00000000">
      <w:pPr>
        <w:pStyle w:val="ListParagraph"/>
        <w:numPr>
          <w:ilvl w:val="0"/>
          <w:numId w:val="2"/>
        </w:numPr>
        <w:spacing w:after="80"/>
      </w:pPr>
      <w:r>
        <w:t>Support multi-site pooled analyses: for rare complications or small populations where single-site analyses lack power, federated propensity-score-matched analyses combine evidence across nodes.</w:t>
      </w:r>
    </w:p>
    <w:p w:rsidR="00DA2947" w:rsidRDefault="00000000">
      <w:pPr>
        <w:pStyle w:val="Heading3"/>
      </w:pPr>
      <w:r>
        <w:t>5.10 Payer-Provider Evidence Marketplace</w:t>
      </w:r>
    </w:p>
    <w:p w:rsidR="00DA2947" w:rsidRDefault="00000000">
      <w:pPr>
        <w:pStyle w:val="ListParagraph"/>
        <w:numPr>
          <w:ilvl w:val="0"/>
          <w:numId w:val="2"/>
        </w:numPr>
        <w:spacing w:after="80"/>
      </w:pPr>
      <w:r>
        <w:t>Create a computable evidence repository where organizations can publish and consume care gap economics evidence—standardized, reproducible, and versioned.</w:t>
      </w:r>
    </w:p>
    <w:p w:rsidR="00DA2947" w:rsidRDefault="00000000">
      <w:pPr>
        <w:pStyle w:val="ListParagraph"/>
        <w:numPr>
          <w:ilvl w:val="0"/>
          <w:numId w:val="2"/>
        </w:numPr>
        <w:spacing w:after="80"/>
      </w:pPr>
      <w:r>
        <w:t>Enable health plans to consume Parthenon evidence for network adequacy decisions, value-based contract design, and member outreach prioritization.</w:t>
      </w:r>
    </w:p>
    <w:p w:rsidR="00DA2947" w:rsidRDefault="00000000">
      <w:pPr>
        <w:pStyle w:val="ListParagraph"/>
        <w:numPr>
          <w:ilvl w:val="0"/>
          <w:numId w:val="2"/>
        </w:numPr>
        <w:spacing w:after="80"/>
      </w:pPr>
      <w:r>
        <w:t>Support pharmaceutical and device manufacturers in building real-world value dossiers: Parthenon can demonstrate the cost-effectiveness of therapies by showing care gap closure rates and downstream cost avoidance for medication-adherence-related gaps.</w:t>
      </w:r>
    </w:p>
    <w:p w:rsidR="00DA2947" w:rsidRDefault="00000000">
      <w:r>
        <w:br w:type="page"/>
      </w:r>
    </w:p>
    <w:p w:rsidR="00DA2947" w:rsidRDefault="00000000">
      <w:pPr>
        <w:pStyle w:val="Heading1"/>
      </w:pPr>
      <w:r>
        <w:lastRenderedPageBreak/>
        <w:t>6. Priority Use Cases</w:t>
      </w:r>
    </w:p>
    <w:p w:rsidR="00DA2947" w:rsidRDefault="00000000">
      <w:pPr>
        <w:pStyle w:val="Heading2"/>
      </w:pPr>
      <w:r>
        <w:t>6.1 Diabetes: The Flagship Disease Model</w:t>
      </w:r>
    </w:p>
    <w:p w:rsidR="00DA2947" w:rsidRDefault="00000000">
      <w:pPr>
        <w:spacing w:after="160" w:line="276" w:lineRule="auto"/>
      </w:pPr>
      <w:r>
        <w:t>The Comprehensive Diabetes Care bundle contains approximately 12 care gaps spanning HbA1c testing and control, retinal eye exam, nephropathy screening (urine albumin-to-creatinine ratio), blood pressure control, statin therapy, medication adherence (diabetes medications, statins, ACE/ARB), and foot exam. For a matched population of 10,000 diabetic patients:</w:t>
      </w:r>
    </w:p>
    <w:p w:rsidR="00DA2947" w:rsidRDefault="00000000">
      <w:pPr>
        <w:pStyle w:val="ListParagraph"/>
        <w:numPr>
          <w:ilvl w:val="0"/>
          <w:numId w:val="2"/>
        </w:numPr>
        <w:spacing w:after="80"/>
      </w:pPr>
      <w:r>
        <w:rPr>
          <w:b/>
          <w:bCs/>
        </w:rPr>
        <w:t xml:space="preserve">Analysis: </w:t>
      </w:r>
      <w:r>
        <w:t>Propensity-score-matched comparison of patients with ≥80% bundle compliance at 12 months vs. &lt;50% compliance, with 36-month follow-up cost windows.</w:t>
      </w:r>
    </w:p>
    <w:p w:rsidR="00DA2947" w:rsidRDefault="00000000">
      <w:pPr>
        <w:pStyle w:val="ListParagraph"/>
        <w:numPr>
          <w:ilvl w:val="0"/>
          <w:numId w:val="2"/>
        </w:numPr>
        <w:spacing w:after="80"/>
      </w:pPr>
      <w:r>
        <w:rPr>
          <w:b/>
          <w:bCs/>
        </w:rPr>
        <w:t xml:space="preserve">Complication Tracking: </w:t>
      </w:r>
      <w:r>
        <w:t>Incident rates of retinopathy, nephropathy, neuropathy/amputation, DKA, cardiovascular events, and hypoglycemia-related ED visits.</w:t>
      </w:r>
    </w:p>
    <w:p w:rsidR="00DA2947" w:rsidRDefault="00000000">
      <w:pPr>
        <w:pStyle w:val="ListParagraph"/>
        <w:numPr>
          <w:ilvl w:val="0"/>
          <w:numId w:val="2"/>
        </w:numPr>
        <w:spacing w:after="80"/>
      </w:pPr>
      <w:r>
        <w:rPr>
          <w:b/>
          <w:bCs/>
        </w:rPr>
        <w:t xml:space="preserve">Economics: </w:t>
      </w:r>
      <w:r>
        <w:t>Per-patient-per-year cost differential, ROI per individual care gap, bundle-level ROI, time-to-break-even, and NNT to prevent one hospitalization/amputation/dialysis initiation.</w:t>
      </w:r>
    </w:p>
    <w:p w:rsidR="00DA2947" w:rsidRDefault="00000000">
      <w:pPr>
        <w:pStyle w:val="ListParagraph"/>
        <w:numPr>
          <w:ilvl w:val="0"/>
          <w:numId w:val="2"/>
        </w:numPr>
        <w:spacing w:after="80"/>
      </w:pPr>
      <w:r>
        <w:rPr>
          <w:b/>
          <w:bCs/>
        </w:rPr>
        <w:t xml:space="preserve">Stratification: </w:t>
      </w:r>
      <w:r>
        <w:t>By HbA1c severity at baseline, number of comorbidities, age cohort, payer type (Medicare Advantage, Medicaid, Commercial), and social determinants of health indicators.</w:t>
      </w:r>
    </w:p>
    <w:p w:rsidR="00DA2947" w:rsidRDefault="00000000">
      <w:pPr>
        <w:pStyle w:val="Heading2"/>
      </w:pPr>
      <w:r>
        <w:t>6.2 Heart Failure: High-Cost, High-Impact</w:t>
      </w:r>
    </w:p>
    <w:p w:rsidR="00DA2947" w:rsidRDefault="00000000">
      <w:pPr>
        <w:pStyle w:val="ListParagraph"/>
        <w:numPr>
          <w:ilvl w:val="0"/>
          <w:numId w:val="2"/>
        </w:numPr>
        <w:spacing w:after="80"/>
      </w:pPr>
      <w:r>
        <w:t>Care gaps include beta-blocker/ACEI/ARB prescribing, volume status monitoring, cardiac rehabilitation referral, weight monitoring, medication adherence, and annual echocardiography.</w:t>
      </w:r>
    </w:p>
    <w:p w:rsidR="00DA2947" w:rsidRDefault="00000000">
      <w:pPr>
        <w:pStyle w:val="ListParagraph"/>
        <w:numPr>
          <w:ilvl w:val="0"/>
          <w:numId w:val="2"/>
        </w:numPr>
        <w:spacing w:after="80"/>
      </w:pPr>
      <w:r>
        <w:t>Complication costs are extreme: average HF hospitalization costs $15,000–$25,000, with 23% 30-day readmission rates. Preventing even one hospitalization per 10 patients through care gap closure produces dramatic ROI.</w:t>
      </w:r>
    </w:p>
    <w:p w:rsidR="00DA2947" w:rsidRDefault="00000000">
      <w:pPr>
        <w:pStyle w:val="ListParagraph"/>
        <w:numPr>
          <w:ilvl w:val="0"/>
          <w:numId w:val="2"/>
        </w:numPr>
        <w:spacing w:after="80"/>
      </w:pPr>
      <w:r>
        <w:t>Time horizon: HF care gap economics may show returns within 6–12 months, making it ideal for short-term value-based contracts.</w:t>
      </w:r>
    </w:p>
    <w:p w:rsidR="00DA2947" w:rsidRDefault="00000000">
      <w:pPr>
        <w:pStyle w:val="Heading2"/>
      </w:pPr>
      <w:r>
        <w:t>6.3 COPD: Exacerbation Prevention Economics</w:t>
      </w:r>
    </w:p>
    <w:p w:rsidR="00DA2947" w:rsidRDefault="00000000">
      <w:pPr>
        <w:pStyle w:val="ListParagraph"/>
        <w:numPr>
          <w:ilvl w:val="0"/>
          <w:numId w:val="2"/>
        </w:numPr>
        <w:spacing w:after="80"/>
      </w:pPr>
      <w:r>
        <w:t>Care gaps include inhaler technique assessment, pulmonary rehabilitation, annual spirometry, influenza and pneumococcal vaccination, smoking cessation intervention, and controller medication adherence.</w:t>
      </w:r>
    </w:p>
    <w:p w:rsidR="00DA2947" w:rsidRDefault="00000000">
      <w:pPr>
        <w:pStyle w:val="ListParagraph"/>
        <w:numPr>
          <w:ilvl w:val="0"/>
          <w:numId w:val="2"/>
        </w:numPr>
        <w:spacing w:after="80"/>
      </w:pPr>
      <w:r>
        <w:t>Each COPD exacerbation requiring hospitalization costs $10,000–$20,000 with significant mortality risk. Vaccination alone (closing a single care gap) may prevent 30–50% of pneumonia-related hospitalizations in COPD patients.</w:t>
      </w:r>
    </w:p>
    <w:p w:rsidR="00DA2947" w:rsidRDefault="00000000">
      <w:pPr>
        <w:pStyle w:val="Heading2"/>
      </w:pPr>
      <w:r>
        <w:t>6.4 Hypertension: The Silent Multiplier</w:t>
      </w:r>
    </w:p>
    <w:p w:rsidR="00DA2947" w:rsidRDefault="00000000">
      <w:pPr>
        <w:pStyle w:val="ListParagraph"/>
        <w:numPr>
          <w:ilvl w:val="0"/>
          <w:numId w:val="2"/>
        </w:numPr>
        <w:spacing w:after="80"/>
      </w:pPr>
      <w:r>
        <w:t>Blood pressure control gaps interact with virtually every other chronic disease bundle—diabetes, heart failure, CKD, stroke prevention.</w:t>
      </w:r>
    </w:p>
    <w:p w:rsidR="00DA2947" w:rsidRDefault="00000000">
      <w:pPr>
        <w:pStyle w:val="ListParagraph"/>
        <w:numPr>
          <w:ilvl w:val="0"/>
          <w:numId w:val="2"/>
        </w:numPr>
        <w:spacing w:after="80"/>
      </w:pPr>
      <w:r>
        <w:t>The economic analysis can decompose the contribution of hypertension care gap closure to outcomes across multiple disease bundles simultaneously, revealing the multiplicative economic value of blood pressure control.</w:t>
      </w:r>
    </w:p>
    <w:p w:rsidR="00DA2947" w:rsidRDefault="00000000">
      <w:pPr>
        <w:pStyle w:val="Heading2"/>
      </w:pPr>
      <w:r>
        <w:lastRenderedPageBreak/>
        <w:t>6.5 Preventive Screening Portfolio</w:t>
      </w:r>
    </w:p>
    <w:p w:rsidR="00DA2947" w:rsidRDefault="00000000">
      <w:pPr>
        <w:pStyle w:val="ListParagraph"/>
        <w:numPr>
          <w:ilvl w:val="0"/>
          <w:numId w:val="2"/>
        </w:numPr>
        <w:spacing w:after="80"/>
      </w:pPr>
      <w:r>
        <w:t>Cancer screenings (breast, colorectal, cervical), immunizations, depression screening, and osteoporosis screening represent care gaps where the economic argument is about long-term catastrophic cost avoidance.</w:t>
      </w:r>
    </w:p>
    <w:p w:rsidR="00DA2947" w:rsidRDefault="00000000">
      <w:pPr>
        <w:pStyle w:val="ListParagraph"/>
        <w:numPr>
          <w:ilvl w:val="0"/>
          <w:numId w:val="2"/>
        </w:numPr>
        <w:spacing w:after="80"/>
      </w:pPr>
      <w:r>
        <w:t>Parthenon’s 5-year follow-up capability enables the first systematic, claims-linked economic analysis of screening portfolio optimization: given budget constraints, what screening mix maximizes total complication cost avoidance?</w:t>
      </w:r>
    </w:p>
    <w:p w:rsidR="00DA2947" w:rsidRDefault="00000000">
      <w:r>
        <w:br w:type="page"/>
      </w:r>
    </w:p>
    <w:p w:rsidR="00DA2947" w:rsidRDefault="00000000">
      <w:pPr>
        <w:pStyle w:val="Heading1"/>
      </w:pPr>
      <w:r>
        <w:lastRenderedPageBreak/>
        <w:t>7. Technical Architecture</w:t>
      </w:r>
    </w:p>
    <w:p w:rsidR="00DA2947" w:rsidRDefault="00000000">
      <w:pPr>
        <w:pStyle w:val="Heading2"/>
      </w:pPr>
      <w:r>
        <w:t>7.1 Extended Components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60"/>
        <w:gridCol w:w="3660"/>
      </w:tblGrid>
      <w:tr w:rsidR="00DA294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DA2947" w:rsidRDefault="00000000">
            <w:pPr>
              <w:spacing w:before="40" w:after="40"/>
            </w:pPr>
            <w:r>
              <w:rPr>
                <w:b/>
                <w:bCs/>
                <w:color w:val="FFFFFF"/>
                <w:sz w:val="20"/>
                <w:szCs w:val="20"/>
              </w:rPr>
              <w:t>Component</w:t>
            </w:r>
          </w:p>
        </w:tc>
        <w:tc>
          <w:tcPr>
            <w:tcW w:w="3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DA2947" w:rsidRDefault="00000000">
            <w:pPr>
              <w:spacing w:before="40" w:after="40"/>
            </w:pPr>
            <w:r>
              <w:rPr>
                <w:b/>
                <w:bCs/>
                <w:color w:val="FFFFFF"/>
                <w:sz w:val="20"/>
                <w:szCs w:val="20"/>
              </w:rPr>
              <w:t>Technology</w:t>
            </w:r>
          </w:p>
        </w:tc>
        <w:tc>
          <w:tcPr>
            <w:tcW w:w="3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DA2947" w:rsidRDefault="00000000">
            <w:pPr>
              <w:spacing w:before="40" w:after="40"/>
            </w:pPr>
            <w:r>
              <w:rPr>
                <w:b/>
                <w:bCs/>
                <w:color w:val="FFFFFF"/>
                <w:sz w:val="20"/>
                <w:szCs w:val="20"/>
              </w:rPr>
              <w:t>Purpose</w:t>
            </w:r>
          </w:p>
        </w:tc>
      </w:tr>
      <w:tr w:rsidR="00DA294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vAlign w:val="center"/>
          </w:tcPr>
          <w:p w:rsidR="00DA2947" w:rsidRDefault="00000000">
            <w:pPr>
              <w:spacing w:before="40" w:after="40"/>
            </w:pPr>
            <w:r>
              <w:rPr>
                <w:sz w:val="20"/>
                <w:szCs w:val="20"/>
              </w:rPr>
              <w:t>Claims ETL Service</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DA2947" w:rsidRDefault="00000000">
            <w:pPr>
              <w:spacing w:before="40" w:after="40"/>
            </w:pPr>
            <w:r>
              <w:rPr>
                <w:sz w:val="20"/>
                <w:szCs w:val="20"/>
              </w:rPr>
              <w:t xml:space="preserve">Python </w:t>
            </w:r>
            <w:proofErr w:type="spellStart"/>
            <w:r>
              <w:rPr>
                <w:sz w:val="20"/>
                <w:szCs w:val="20"/>
              </w:rPr>
              <w:t>FastAPI</w:t>
            </w:r>
            <w:proofErr w:type="spellEnd"/>
            <w:r>
              <w:rPr>
                <w:sz w:val="20"/>
                <w:szCs w:val="20"/>
              </w:rPr>
              <w:t xml:space="preserve"> + pandas + 837/835/NCPDP parsers</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DA2947" w:rsidRDefault="00000000">
            <w:pPr>
              <w:spacing w:before="40" w:after="40"/>
            </w:pPr>
            <w:r>
              <w:rPr>
                <w:sz w:val="20"/>
                <w:szCs w:val="20"/>
              </w:rPr>
              <w:t>Ingest claims data into OMOP COST, PAYER_PLAN_PERIOD, and clinical tables</w:t>
            </w:r>
          </w:p>
        </w:tc>
      </w:tr>
      <w:tr w:rsidR="00DA294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vAlign w:val="center"/>
          </w:tcPr>
          <w:p w:rsidR="00DA2947" w:rsidRDefault="00000000">
            <w:pPr>
              <w:spacing w:before="40" w:after="40"/>
            </w:pPr>
            <w:r>
              <w:rPr>
                <w:sz w:val="20"/>
                <w:szCs w:val="20"/>
              </w:rPr>
              <w:t>Cost Accumulation Engine</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DA2947" w:rsidRDefault="00000000">
            <w:pPr>
              <w:spacing w:before="40" w:after="40"/>
            </w:pPr>
            <w:r>
              <w:rPr>
                <w:sz w:val="20"/>
                <w:szCs w:val="20"/>
              </w:rPr>
              <w:t xml:space="preserve">PostgreSQL 17 materialized views + </w:t>
            </w:r>
            <w:proofErr w:type="spellStart"/>
            <w:r>
              <w:rPr>
                <w:sz w:val="20"/>
                <w:szCs w:val="20"/>
              </w:rPr>
              <w:t>DuckDB</w:t>
            </w:r>
            <w:proofErr w:type="spellEnd"/>
            <w:r>
              <w:rPr>
                <w:sz w:val="20"/>
                <w:szCs w:val="20"/>
              </w:rPr>
              <w:t xml:space="preserve"> columnar for large-scale aggregation</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DA2947" w:rsidRDefault="00000000">
            <w:pPr>
              <w:spacing w:before="40" w:after="40"/>
            </w:pPr>
            <w:r>
              <w:rPr>
                <w:sz w:val="20"/>
                <w:szCs w:val="20"/>
              </w:rPr>
              <w:t>Compute pre/post cost windows, complication attribution, cost categorization</w:t>
            </w:r>
          </w:p>
        </w:tc>
      </w:tr>
      <w:tr w:rsidR="00DA294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vAlign w:val="center"/>
          </w:tcPr>
          <w:p w:rsidR="00DA2947" w:rsidRDefault="00000000">
            <w:pPr>
              <w:spacing w:before="40" w:after="40"/>
            </w:pPr>
            <w:r>
              <w:rPr>
                <w:sz w:val="20"/>
                <w:szCs w:val="20"/>
              </w:rPr>
              <w:t>Propensity Score Module</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DA2947" w:rsidRDefault="00000000">
            <w:pPr>
              <w:spacing w:before="40" w:after="40"/>
            </w:pPr>
            <w:r>
              <w:rPr>
                <w:sz w:val="20"/>
                <w:szCs w:val="20"/>
              </w:rPr>
              <w:t xml:space="preserve">R Plumber API wrapping OHDSI </w:t>
            </w:r>
            <w:proofErr w:type="spellStart"/>
            <w:r>
              <w:rPr>
                <w:sz w:val="20"/>
                <w:szCs w:val="20"/>
              </w:rPr>
              <w:t>CohortMethod</w:t>
            </w:r>
            <w:proofErr w:type="spellEnd"/>
            <w:r>
              <w:rPr>
                <w:sz w:val="20"/>
                <w:szCs w:val="20"/>
              </w:rPr>
              <w:t xml:space="preserve"> + </w:t>
            </w:r>
            <w:proofErr w:type="spellStart"/>
            <w:r>
              <w:rPr>
                <w:sz w:val="20"/>
                <w:szCs w:val="20"/>
              </w:rPr>
              <w:t>FeatureExtraction</w:t>
            </w:r>
            <w:proofErr w:type="spellEnd"/>
            <w:r>
              <w:rPr>
                <w:sz w:val="20"/>
                <w:szCs w:val="20"/>
              </w:rPr>
              <w:t xml:space="preserve"> packages</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DA2947" w:rsidRDefault="00000000">
            <w:pPr>
              <w:spacing w:before="40" w:after="40"/>
            </w:pPr>
            <w:r>
              <w:rPr>
                <w:sz w:val="20"/>
                <w:szCs w:val="20"/>
              </w:rPr>
              <w:t>Large-scale PS computation, matching, balance diagnostics, effect estimation</w:t>
            </w:r>
          </w:p>
        </w:tc>
      </w:tr>
      <w:tr w:rsidR="00DA294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vAlign w:val="center"/>
          </w:tcPr>
          <w:p w:rsidR="00DA2947" w:rsidRDefault="00000000">
            <w:pPr>
              <w:spacing w:before="40" w:after="40"/>
            </w:pPr>
            <w:r>
              <w:rPr>
                <w:sz w:val="20"/>
                <w:szCs w:val="20"/>
              </w:rPr>
              <w:t>ROI Calculator</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DA2947" w:rsidRDefault="00000000">
            <w:pPr>
              <w:spacing w:before="40" w:after="40"/>
            </w:pPr>
            <w:r>
              <w:rPr>
                <w:sz w:val="20"/>
                <w:szCs w:val="20"/>
              </w:rPr>
              <w:t xml:space="preserve">Python + </w:t>
            </w:r>
            <w:proofErr w:type="spellStart"/>
            <w:proofErr w:type="gramStart"/>
            <w:r>
              <w:rPr>
                <w:sz w:val="20"/>
                <w:szCs w:val="20"/>
              </w:rPr>
              <w:t>scipy.stats</w:t>
            </w:r>
            <w:proofErr w:type="spellEnd"/>
            <w:proofErr w:type="gramEnd"/>
            <w:r>
              <w:rPr>
                <w:sz w:val="20"/>
                <w:szCs w:val="20"/>
              </w:rPr>
              <w:t xml:space="preserve"> + bootstrapping engine</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DA2947" w:rsidRDefault="00000000">
            <w:pPr>
              <w:spacing w:before="40" w:after="40"/>
            </w:pPr>
            <w:r>
              <w:rPr>
                <w:sz w:val="20"/>
                <w:szCs w:val="20"/>
              </w:rPr>
              <w:t>Per-gap and per-bundle ROI, NNT, break-even, confidence intervals</w:t>
            </w:r>
          </w:p>
        </w:tc>
      </w:tr>
      <w:tr w:rsidR="00DA294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vAlign w:val="center"/>
          </w:tcPr>
          <w:p w:rsidR="00DA2947" w:rsidRDefault="00000000">
            <w:pPr>
              <w:spacing w:before="40" w:after="40"/>
            </w:pPr>
            <w:r>
              <w:rPr>
                <w:sz w:val="20"/>
                <w:szCs w:val="20"/>
              </w:rPr>
              <w:t>Scenario Modeler</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DA2947" w:rsidRDefault="00000000">
            <w:pPr>
              <w:spacing w:before="40" w:after="40"/>
            </w:pPr>
            <w:r>
              <w:rPr>
                <w:sz w:val="20"/>
                <w:szCs w:val="20"/>
              </w:rPr>
              <w:t>React 19 + Recharts + Monte Carlo simulation in Web Workers</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DA2947" w:rsidRDefault="00000000">
            <w:pPr>
              <w:spacing w:before="40" w:after="40"/>
            </w:pPr>
            <w:r>
              <w:rPr>
                <w:sz w:val="20"/>
                <w:szCs w:val="20"/>
              </w:rPr>
              <w:t>Population projection, Star Rating impact, risk corridor modeling</w:t>
            </w:r>
          </w:p>
        </w:tc>
      </w:tr>
      <w:tr w:rsidR="00DA294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vAlign w:val="center"/>
          </w:tcPr>
          <w:p w:rsidR="00DA2947" w:rsidRDefault="00000000">
            <w:pPr>
              <w:spacing w:before="40" w:after="40"/>
            </w:pPr>
            <w:r>
              <w:rPr>
                <w:sz w:val="20"/>
                <w:szCs w:val="20"/>
              </w:rPr>
              <w:t>Evidence Generator</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DA2947" w:rsidRDefault="00000000">
            <w:pPr>
              <w:spacing w:before="40" w:after="40"/>
            </w:pPr>
            <w:r>
              <w:rPr>
                <w:sz w:val="20"/>
                <w:szCs w:val="20"/>
              </w:rPr>
              <w:t xml:space="preserve">Python </w:t>
            </w:r>
            <w:proofErr w:type="spellStart"/>
            <w:r>
              <w:rPr>
                <w:sz w:val="20"/>
                <w:szCs w:val="20"/>
              </w:rPr>
              <w:t>FastAPI</w:t>
            </w:r>
            <w:proofErr w:type="spellEnd"/>
            <w:r>
              <w:rPr>
                <w:sz w:val="20"/>
                <w:szCs w:val="20"/>
              </w:rPr>
              <w:t xml:space="preserve"> + AI evidence synthesis + docx/PDF export</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DA2947" w:rsidRDefault="00000000">
            <w:pPr>
              <w:spacing w:before="40" w:after="40"/>
            </w:pPr>
            <w:r>
              <w:rPr>
                <w:sz w:val="20"/>
                <w:szCs w:val="20"/>
              </w:rPr>
              <w:t>Automated HEOR report generation for contract negotiations</w:t>
            </w:r>
          </w:p>
        </w:tc>
      </w:tr>
    </w:tbl>
    <w:p w:rsidR="00DA2947" w:rsidRDefault="00DA2947">
      <w:pPr>
        <w:spacing w:before="200"/>
      </w:pPr>
    </w:p>
    <w:p w:rsidR="00DA2947" w:rsidRDefault="00000000">
      <w:pPr>
        <w:pStyle w:val="Heading2"/>
      </w:pPr>
      <w:r>
        <w:t>7.2 Data Flow</w:t>
      </w:r>
    </w:p>
    <w:p w:rsidR="00DA2947" w:rsidRDefault="00000000">
      <w:pPr>
        <w:spacing w:after="160" w:line="276" w:lineRule="auto"/>
      </w:pPr>
      <w:r>
        <w:rPr>
          <w:b/>
          <w:bCs/>
        </w:rPr>
        <w:t xml:space="preserve">Ingest: </w:t>
      </w:r>
      <w:r>
        <w:t>Claims data (837/835/NCPDP or flat-file extracts) → Claims ETL Service → OMOP COST + PAYER_PLAN_PERIOD + clinical tables. EHR data continues flowing through existing Parthenon ETL into OMOP clinical tables. Care gap tracking engine continuously updates gap state events.</w:t>
      </w:r>
    </w:p>
    <w:p w:rsidR="00DA2947" w:rsidRDefault="00000000">
      <w:pPr>
        <w:spacing w:after="160" w:line="276" w:lineRule="auto"/>
      </w:pPr>
      <w:r>
        <w:rPr>
          <w:b/>
          <w:bCs/>
        </w:rPr>
        <w:t xml:space="preserve">Analyze: </w:t>
      </w:r>
      <w:r>
        <w:t>Researcher selects disease bundle, care gap(s), comparison strategy, and follow-up window → Cost Accumulation Engine computes cost windows for all patients → Propensity Score Module constructs matched cohorts → ROI Calculator computes all economic metrics with bootstrap CIs → Results stored in evidence repository.</w:t>
      </w:r>
    </w:p>
    <w:p w:rsidR="00DA2947" w:rsidRDefault="00000000">
      <w:pPr>
        <w:spacing w:after="160" w:line="276" w:lineRule="auto"/>
      </w:pPr>
      <w:r>
        <w:rPr>
          <w:b/>
          <w:bCs/>
        </w:rPr>
        <w:t xml:space="preserve">Decide: </w:t>
      </w:r>
      <w:r>
        <w:t>Decision-maker opens Scenario Modeler → inputs target population and proposed quality improvement → Monte Carlo simulation projects financial outcomes using stored ROI parameters → Contract Simulator generates shared-savings projections → Evidence Generator exports negotiation-ready reports.</w:t>
      </w:r>
    </w:p>
    <w:p w:rsidR="00DA2947" w:rsidRDefault="00000000">
      <w:pPr>
        <w:spacing w:after="160" w:line="276" w:lineRule="auto"/>
      </w:pPr>
      <w:r>
        <w:rPr>
          <w:b/>
          <w:bCs/>
        </w:rPr>
        <w:t xml:space="preserve">Learn: </w:t>
      </w:r>
      <w:r>
        <w:t>As new claims data accumulates, the HEOR engine continuously updates ROI estimates. Automated monitoring detects when new evidence reaches significance thresholds. Federated layer shares aggregate economics across Parthenon network. The evidence base grows with every claim processed.</w:t>
      </w:r>
    </w:p>
    <w:p w:rsidR="00DA2947" w:rsidRDefault="00000000">
      <w:r>
        <w:lastRenderedPageBreak/>
        <w:br w:type="page"/>
      </w:r>
    </w:p>
    <w:p w:rsidR="00DA2947" w:rsidRDefault="00000000">
      <w:pPr>
        <w:pStyle w:val="Heading1"/>
      </w:pPr>
      <w:r>
        <w:lastRenderedPageBreak/>
        <w:t>8. Convergence with Genomics and Imaging Plans</w:t>
      </w:r>
    </w:p>
    <w:p w:rsidR="00DA2947" w:rsidRDefault="00000000">
      <w:pPr>
        <w:pStyle w:val="Heading2"/>
      </w:pPr>
      <w:r>
        <w:t>8.1 Pharmacogenomic Care Gap Economics</w:t>
      </w:r>
    </w:p>
    <w:p w:rsidR="00DA2947" w:rsidRDefault="00000000">
      <w:pPr>
        <w:spacing w:after="160" w:line="276" w:lineRule="auto"/>
      </w:pPr>
      <w:r>
        <w:t xml:space="preserve">Parthenon’s Genomics Enhancement Plan (companion document) adds molecular variant data to the OMOP CDM. The HEOR extension enables a revolutionary analysis: </w:t>
      </w:r>
      <w:r>
        <w:rPr>
          <w:b/>
          <w:bCs/>
        </w:rPr>
        <w:t>pharmacogenomic-adjusted care gap economics</w:t>
      </w:r>
      <w:r>
        <w:t>. For example, the statin therapy care gap (a diabetes and cardiovascular bundle gap) has different economics for patients with CYP2C19 poor-metabolizer genotypes versus normal metabolizers. Poor metabolizers on standard-dose statins have higher rates of adverse drug reactions, medication discontinuation, and treatment failure—all of which appear as downstream costs. Parthenon can compute the ROI of pharmacogenomic-guided statin selection versus empiric prescribing, quantifying the economic case for precision medicine at the care gap level.</w:t>
      </w:r>
    </w:p>
    <w:p w:rsidR="00DA2947" w:rsidRDefault="00000000">
      <w:pPr>
        <w:pStyle w:val="Heading2"/>
      </w:pPr>
      <w:r>
        <w:t>8.2 Imaging-Augmented Screening Economics</w:t>
      </w:r>
    </w:p>
    <w:p w:rsidR="00DA2947" w:rsidRDefault="00000000">
      <w:pPr>
        <w:spacing w:after="160" w:line="276" w:lineRule="auto"/>
      </w:pPr>
      <w:r>
        <w:t>The DICOM/Imaging Enhancement Plan adds quantitative imaging features to the CDM. Combined with HEOR, Parthenon can analyze: does AI-augmented diabetic retinopathy screening (a specific care gap closure mechanism) produce different economic outcomes than traditional ophthalmologic referral? Are the costs of deploying retinal AI cameras in primary care offset by earlier detection and reduced progression to vision-threatening disease? The imaging features (retinopathy grade, macular thickness) become covariates in the economic model, enabling precision stratification of screening ROI.</w:t>
      </w:r>
    </w:p>
    <w:p w:rsidR="00DA2947" w:rsidRDefault="00000000">
      <w:pPr>
        <w:pStyle w:val="Heading2"/>
      </w:pPr>
      <w:r>
        <w:t>8.3 The Unified Evidence Model</w:t>
      </w:r>
    </w:p>
    <w:p w:rsidR="00DA2947" w:rsidRDefault="00000000">
      <w:pPr>
        <w:spacing w:after="160" w:line="276" w:lineRule="auto"/>
      </w:pPr>
      <w:r>
        <w:t>When all three enhancement plans converge, Parthenon produces evidence of unprecedented granularity: for a 55-year-old male with Type 2 Diabetes, CYP2C9 intermediate metabolizer genotype, baseline retinopathy on AI screening, and HbA1c of 8.5%, closing the statin dose-optimization care gap and the retinal follow-up gap within 60 days is expected to avoid $12,400 in complication costs over 24 months (95% CI: $8,200–$17,100), representing an ROI of 5.8:1. This is the convergence of clinical quality, molecular precision, imaging intelligence, and economic evidence—all computable, all reproducible, all built on the OMOP CDM.</w:t>
      </w:r>
    </w:p>
    <w:p w:rsidR="00DA2947" w:rsidRDefault="00000000">
      <w:r>
        <w:br w:type="page"/>
      </w:r>
    </w:p>
    <w:p w:rsidR="00DA2947" w:rsidRDefault="00000000">
      <w:pPr>
        <w:pStyle w:val="Heading1"/>
      </w:pPr>
      <w:r>
        <w:lastRenderedPageBreak/>
        <w:t>9. Strategic Positioning</w:t>
      </w:r>
    </w:p>
    <w:p w:rsidR="00DA2947" w:rsidRDefault="00000000">
      <w:pPr>
        <w:pStyle w:val="Heading2"/>
      </w:pPr>
      <w:r>
        <w:t>9.1 Market Differentiation</w:t>
      </w:r>
    </w:p>
    <w:p w:rsidR="00DA2947" w:rsidRDefault="00000000">
      <w:pPr>
        <w:spacing w:after="160" w:line="276" w:lineRule="auto"/>
      </w:pPr>
      <w:r>
        <w:t xml:space="preserve">No existing platform combines OMOP CDM-native care gap tracking, claims data integration, propensity-score-matched comparative cost-effectiveness analysis, and ROI quantification at the individual care gap level. </w:t>
      </w:r>
      <w:r>
        <w:rPr>
          <w:b/>
          <w:bCs/>
        </w:rPr>
        <w:t>Milliman</w:t>
      </w:r>
      <w:r>
        <w:t xml:space="preserve"> provides actuarial cost models but has no clinical quality integration. </w:t>
      </w:r>
      <w:r>
        <w:rPr>
          <w:b/>
          <w:bCs/>
        </w:rPr>
        <w:t>Cotiviti/Eliza</w:t>
      </w:r>
      <w:r>
        <w:t xml:space="preserve"> and </w:t>
      </w:r>
      <w:proofErr w:type="spellStart"/>
      <w:r>
        <w:rPr>
          <w:b/>
          <w:bCs/>
        </w:rPr>
        <w:t>Healthmine</w:t>
      </w:r>
      <w:proofErr w:type="spellEnd"/>
      <w:r>
        <w:t xml:space="preserve"> track HEDIS gap closure but cannot link gaps to downstream cost outcomes. </w:t>
      </w:r>
      <w:r>
        <w:rPr>
          <w:b/>
          <w:bCs/>
        </w:rPr>
        <w:t>Optum/UHG Analytics</w:t>
      </w:r>
      <w:r>
        <w:t xml:space="preserve"> has the claims data but uses proprietary, non-reproducible models. </w:t>
      </w:r>
      <w:r>
        <w:rPr>
          <w:b/>
          <w:bCs/>
        </w:rPr>
        <w:t xml:space="preserve">OHDSI’s </w:t>
      </w:r>
      <w:proofErr w:type="spellStart"/>
      <w:r>
        <w:rPr>
          <w:b/>
          <w:bCs/>
        </w:rPr>
        <w:t>CohortMethod</w:t>
      </w:r>
      <w:proofErr w:type="spellEnd"/>
      <w:r>
        <w:t xml:space="preserve"> provides the comparative effectiveness framework but has no care gap concept and no economic outcome capability. Parthenon occupies a unique position: the only platform where every care gap has a price tag, every bundle has an ROI, and every quality improvement proposal has a projected financial return.</w:t>
      </w:r>
    </w:p>
    <w:p w:rsidR="00DA2947" w:rsidRDefault="00000000">
      <w:pPr>
        <w:pStyle w:val="Heading2"/>
      </w:pPr>
      <w:r>
        <w:t>9.2 Target Buyers and Use Cases</w:t>
      </w:r>
    </w:p>
    <w:p w:rsidR="00DA2947" w:rsidRDefault="00000000">
      <w:pPr>
        <w:pStyle w:val="ListParagraph"/>
        <w:numPr>
          <w:ilvl w:val="0"/>
          <w:numId w:val="2"/>
        </w:numPr>
        <w:spacing w:after="80"/>
      </w:pPr>
      <w:r>
        <w:rPr>
          <w:b/>
          <w:bCs/>
        </w:rPr>
        <w:t xml:space="preserve">Medicare Advantage Plans: </w:t>
      </w:r>
      <w:r>
        <w:t>Star Rating optimization strategy backed by per-gap ROI evidence. Contract negotiation with provider networks using shared-savings projections. Member outreach prioritization based on economic impact modeling.</w:t>
      </w:r>
    </w:p>
    <w:p w:rsidR="00DA2947" w:rsidRDefault="00000000">
      <w:pPr>
        <w:pStyle w:val="ListParagraph"/>
        <w:numPr>
          <w:ilvl w:val="0"/>
          <w:numId w:val="2"/>
        </w:numPr>
        <w:spacing w:after="80"/>
      </w:pPr>
      <w:r>
        <w:rPr>
          <w:b/>
          <w:bCs/>
        </w:rPr>
        <w:t xml:space="preserve">Accountable Care Organizations: </w:t>
      </w:r>
      <w:r>
        <w:t>Shared savings maximization through evidence-based care gap prioritization. Risk stratification that integrates clinical and economic dimensions. Quality improvement investment cases with projected financial returns for board approval.</w:t>
      </w:r>
    </w:p>
    <w:p w:rsidR="00DA2947" w:rsidRDefault="00000000">
      <w:pPr>
        <w:pStyle w:val="ListParagraph"/>
        <w:numPr>
          <w:ilvl w:val="0"/>
          <w:numId w:val="2"/>
        </w:numPr>
        <w:spacing w:after="80"/>
      </w:pPr>
      <w:r>
        <w:rPr>
          <w:b/>
          <w:bCs/>
        </w:rPr>
        <w:t xml:space="preserve">Hospital Systems in Value-Based Contracts: </w:t>
      </w:r>
      <w:r>
        <w:t>Demonstrate the economic value of quality programs to payer partners. Optimize resource allocation across care bundles based on ROI ranking. Contract term negotiation informed by time-to-break-even analysis.</w:t>
      </w:r>
    </w:p>
    <w:p w:rsidR="00DA2947" w:rsidRDefault="00000000">
      <w:pPr>
        <w:pStyle w:val="ListParagraph"/>
        <w:numPr>
          <w:ilvl w:val="0"/>
          <w:numId w:val="2"/>
        </w:numPr>
        <w:spacing w:after="80"/>
      </w:pPr>
      <w:r>
        <w:rPr>
          <w:b/>
          <w:bCs/>
        </w:rPr>
        <w:t xml:space="preserve">Pharmaceutical &amp; Device Manufacturers: </w:t>
      </w:r>
      <w:r>
        <w:t>Real-world value dossiers demonstrating the cost-effectiveness of therapies in the context of care gap closure. Health technology assessment evidence for payer formulary submissions. Post-market economic surveillance.</w:t>
      </w:r>
    </w:p>
    <w:p w:rsidR="00DA2947" w:rsidRDefault="00000000">
      <w:pPr>
        <w:pStyle w:val="ListParagraph"/>
        <w:numPr>
          <w:ilvl w:val="0"/>
          <w:numId w:val="2"/>
        </w:numPr>
        <w:spacing w:after="80"/>
      </w:pPr>
      <w:r>
        <w:rPr>
          <w:b/>
          <w:bCs/>
        </w:rPr>
        <w:t xml:space="preserve">State Medicaid Programs: </w:t>
      </w:r>
      <w:r>
        <w:t>Population-level care gap economics for managed care contract design. Quality incentive program calibration based on achievable ROI evidence. Health equity analysis: which populations face the largest economic burden from unaddressed care gaps?</w:t>
      </w:r>
    </w:p>
    <w:p w:rsidR="00DA2947" w:rsidRDefault="00000000">
      <w:pPr>
        <w:pStyle w:val="Heading2"/>
      </w:pPr>
      <w:r>
        <w:t>9.3 The Vision: Making Prevention Profitable</w:t>
      </w:r>
    </w:p>
    <w:p w:rsidR="00DA2947" w:rsidRDefault="00000000">
      <w:pPr>
        <w:spacing w:after="160" w:line="276" w:lineRule="auto"/>
      </w:pPr>
      <w:r>
        <w:t xml:space="preserve">The fundamental challenge of preventive care is that the costs are immediate and the benefits are deferred, often accruing to a different payer than the one who invested. Parthenon’s HEOR extension solves this by making the economic case for prevention </w:t>
      </w:r>
      <w:r>
        <w:rPr>
          <w:i/>
          <w:iCs/>
        </w:rPr>
        <w:t>computable, specific, and defensible</w:t>
      </w:r>
      <w:r>
        <w:t xml:space="preserve">. Every open care gap carries a calculable cost burden. Every closed gap generates a quantifiable return. Every quality improvement proposal comes with a financial model, not just a clinical rationale. When a quality director proposes investing $500,000 in a diabetic retinopathy screening program, Parthenon can project: this investment will close an estimated 3,200 retinal screening care gaps, preventing an expected 45 cases of vision-threatening diabetic retinopathy (NNT = 71), avoiding $2.8 million in ophthalmologic treatment costs over 36 months (95% CI: $1.9M–$3.9M), for an ROI of 5.6:1 and a break-even at month 14. </w:t>
      </w:r>
      <w:r>
        <w:rPr>
          <w:b/>
          <w:bCs/>
        </w:rPr>
        <w:t>That is how you make prevention profitable—by proving it.</w:t>
      </w:r>
    </w:p>
    <w:p w:rsidR="00DA2947" w:rsidRDefault="00DA2947">
      <w:pPr>
        <w:spacing w:before="200"/>
      </w:pPr>
    </w:p>
    <w:p w:rsidR="00DA2947" w:rsidRDefault="00000000">
      <w:pPr>
        <w:pStyle w:val="Heading1"/>
      </w:pPr>
      <w:r>
        <w:t>10. Implementation Roadmap</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3420"/>
        <w:gridCol w:w="3000"/>
      </w:tblGrid>
      <w:tr w:rsidR="00DA294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DA2947" w:rsidRDefault="00000000">
            <w:pPr>
              <w:spacing w:before="40" w:after="40"/>
            </w:pPr>
            <w:r>
              <w:rPr>
                <w:b/>
                <w:bCs/>
                <w:color w:val="FFFFFF"/>
                <w:sz w:val="20"/>
                <w:szCs w:val="20"/>
              </w:rPr>
              <w:t>Phase</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DA2947" w:rsidRDefault="00000000">
            <w:pPr>
              <w:spacing w:before="40" w:after="40"/>
            </w:pPr>
            <w:r>
              <w:rPr>
                <w:b/>
                <w:bCs/>
                <w:color w:val="FFFFFF"/>
                <w:sz w:val="20"/>
                <w:szCs w:val="20"/>
              </w:rPr>
              <w:t>Timeline</w:t>
            </w:r>
          </w:p>
        </w:tc>
        <w:tc>
          <w:tcPr>
            <w:tcW w:w="34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DA2947" w:rsidRDefault="00000000">
            <w:pPr>
              <w:spacing w:before="40" w:after="40"/>
            </w:pPr>
            <w:r>
              <w:rPr>
                <w:b/>
                <w:bCs/>
                <w:color w:val="FFFFFF"/>
                <w:sz w:val="20"/>
                <w:szCs w:val="20"/>
              </w:rPr>
              <w:t>Key Deliverables</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DA2947" w:rsidRDefault="00000000">
            <w:pPr>
              <w:spacing w:before="40" w:after="40"/>
            </w:pPr>
            <w:r>
              <w:rPr>
                <w:b/>
                <w:bCs/>
                <w:color w:val="FFFFFF"/>
                <w:sz w:val="20"/>
                <w:szCs w:val="20"/>
              </w:rPr>
              <w:t>Dependencies</w:t>
            </w:r>
          </w:p>
        </w:tc>
      </w:tr>
      <w:tr w:rsidR="00DA294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vAlign w:val="center"/>
          </w:tcPr>
          <w:p w:rsidR="00DA2947" w:rsidRDefault="00000000">
            <w:pPr>
              <w:spacing w:before="40" w:after="40"/>
            </w:pPr>
            <w:r>
              <w:rPr>
                <w:sz w:val="20"/>
                <w:szCs w:val="20"/>
              </w:rPr>
              <w:t>I: Cost Foundation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DA2947" w:rsidRDefault="00000000">
            <w:pPr>
              <w:spacing w:before="40" w:after="40"/>
            </w:pPr>
            <w:r>
              <w:rPr>
                <w:sz w:val="20"/>
                <w:szCs w:val="20"/>
              </w:rPr>
              <w:t>Months 1–4</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DA2947" w:rsidRDefault="00000000">
            <w:pPr>
              <w:spacing w:before="40" w:after="40"/>
            </w:pPr>
            <w:r>
              <w:rPr>
                <w:sz w:val="20"/>
                <w:szCs w:val="20"/>
              </w:rPr>
              <w:t>Claims ETL pipeline, COST/PAYER_PLAN_PERIOD population, care gap event formalization, complication concept sets, cost accumulation engine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DA2947" w:rsidRDefault="00000000">
            <w:pPr>
              <w:spacing w:before="40" w:after="40"/>
            </w:pPr>
            <w:r>
              <w:rPr>
                <w:sz w:val="20"/>
                <w:szCs w:val="20"/>
              </w:rPr>
              <w:t>Claims data source agreement(s), OMOP CDM v5.4, existing 45 bundle / 438 gap definitions</w:t>
            </w:r>
          </w:p>
        </w:tc>
      </w:tr>
      <w:tr w:rsidR="00DA294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rsidR="00DA2947" w:rsidRDefault="00000000">
            <w:pPr>
              <w:spacing w:before="40" w:after="40"/>
            </w:pPr>
            <w:r>
              <w:rPr>
                <w:sz w:val="20"/>
                <w:szCs w:val="20"/>
              </w:rPr>
              <w:t>II: Comparative Engine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DA2947" w:rsidRDefault="00000000">
            <w:pPr>
              <w:spacing w:before="40" w:after="40"/>
            </w:pPr>
            <w:r>
              <w:rPr>
                <w:sz w:val="20"/>
                <w:szCs w:val="20"/>
              </w:rPr>
              <w:t>Months 3–8</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DA2947" w:rsidRDefault="00000000">
            <w:pPr>
              <w:spacing w:before="40" w:after="40"/>
            </w:pPr>
            <w:r>
              <w:rPr>
                <w:sz w:val="20"/>
                <w:szCs w:val="20"/>
              </w:rPr>
              <w:t xml:space="preserve">Propensity score module, </w:t>
            </w:r>
            <w:proofErr w:type="spellStart"/>
            <w:r>
              <w:rPr>
                <w:sz w:val="20"/>
                <w:szCs w:val="20"/>
              </w:rPr>
              <w:t>DiD</w:t>
            </w:r>
            <w:proofErr w:type="spellEnd"/>
            <w:r>
              <w:rPr>
                <w:sz w:val="20"/>
                <w:szCs w:val="20"/>
              </w:rPr>
              <w:t xml:space="preserve"> framework, ROI calculator, Bundle Prioritization Engine, Care Gap Economics Dashboard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DA2947" w:rsidRDefault="00000000">
            <w:pPr>
              <w:spacing w:before="40" w:after="40"/>
            </w:pPr>
            <w:r>
              <w:rPr>
                <w:sz w:val="20"/>
                <w:szCs w:val="20"/>
              </w:rPr>
              <w:t xml:space="preserve">Phase I cost data, OHDSI </w:t>
            </w:r>
            <w:proofErr w:type="spellStart"/>
            <w:r>
              <w:rPr>
                <w:sz w:val="20"/>
                <w:szCs w:val="20"/>
              </w:rPr>
              <w:t>CohortMethod</w:t>
            </w:r>
            <w:proofErr w:type="spellEnd"/>
            <w:r>
              <w:rPr>
                <w:sz w:val="20"/>
                <w:szCs w:val="20"/>
              </w:rPr>
              <w:t xml:space="preserve"> + </w:t>
            </w:r>
            <w:proofErr w:type="spellStart"/>
            <w:r>
              <w:rPr>
                <w:sz w:val="20"/>
                <w:szCs w:val="20"/>
              </w:rPr>
              <w:t>FeatureExtraction</w:t>
            </w:r>
            <w:proofErr w:type="spellEnd"/>
            <w:r>
              <w:rPr>
                <w:sz w:val="20"/>
                <w:szCs w:val="20"/>
              </w:rPr>
              <w:t xml:space="preserve"> R packages, minimum 10,000 patients per condition for adequate matching</w:t>
            </w:r>
          </w:p>
        </w:tc>
      </w:tr>
      <w:tr w:rsidR="00DA294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0E8"/>
            <w:tcMar>
              <w:top w:w="80" w:type="dxa"/>
              <w:left w:w="120" w:type="dxa"/>
              <w:bottom w:w="80" w:type="dxa"/>
              <w:right w:w="120" w:type="dxa"/>
            </w:tcMar>
            <w:vAlign w:val="center"/>
          </w:tcPr>
          <w:p w:rsidR="00DA2947" w:rsidRDefault="00000000">
            <w:pPr>
              <w:spacing w:before="40" w:after="40"/>
            </w:pPr>
            <w:r>
              <w:rPr>
                <w:sz w:val="20"/>
                <w:szCs w:val="20"/>
              </w:rPr>
              <w:t>III: Decision Support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DA2947" w:rsidRDefault="00000000">
            <w:pPr>
              <w:spacing w:before="40" w:after="40"/>
            </w:pPr>
            <w:r>
              <w:rPr>
                <w:sz w:val="20"/>
                <w:szCs w:val="20"/>
              </w:rPr>
              <w:t>Months 6–12</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DA2947" w:rsidRDefault="00000000">
            <w:pPr>
              <w:spacing w:before="40" w:after="40"/>
            </w:pPr>
            <w:r>
              <w:rPr>
                <w:sz w:val="20"/>
                <w:szCs w:val="20"/>
              </w:rPr>
              <w:t>Population Scenario Modeler, Star Rating impact model, Value-Based Contract Simulator, automated HEOR evidence pipeline, exportable reports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DA2947" w:rsidRDefault="00000000">
            <w:pPr>
              <w:spacing w:before="40" w:after="40"/>
            </w:pPr>
            <w:r>
              <w:rPr>
                <w:sz w:val="20"/>
                <w:szCs w:val="20"/>
              </w:rPr>
              <w:t>Phase II ROI parameters, CMS Star Rating specifications and cut-point data, Monte Carlo simulation framework</w:t>
            </w:r>
          </w:p>
        </w:tc>
      </w:tr>
      <w:tr w:rsidR="00DA294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E8E8"/>
            <w:tcMar>
              <w:top w:w="80" w:type="dxa"/>
              <w:left w:w="120" w:type="dxa"/>
              <w:bottom w:w="80" w:type="dxa"/>
              <w:right w:w="120" w:type="dxa"/>
            </w:tcMar>
            <w:vAlign w:val="center"/>
          </w:tcPr>
          <w:p w:rsidR="00DA2947" w:rsidRDefault="00000000">
            <w:pPr>
              <w:spacing w:before="40" w:after="40"/>
            </w:pPr>
            <w:r>
              <w:rPr>
                <w:sz w:val="20"/>
                <w:szCs w:val="20"/>
              </w:rPr>
              <w:t>IV: Federated Economics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DA2947" w:rsidRDefault="00000000">
            <w:pPr>
              <w:spacing w:before="40" w:after="40"/>
            </w:pPr>
            <w:r>
              <w:rPr>
                <w:sz w:val="20"/>
                <w:szCs w:val="20"/>
              </w:rPr>
              <w:t>Months 10–18</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DA2947" w:rsidRDefault="00000000">
            <w:pPr>
              <w:spacing w:before="40" w:after="40"/>
            </w:pPr>
            <w:r>
              <w:rPr>
                <w:sz w:val="20"/>
                <w:szCs w:val="20"/>
              </w:rPr>
              <w:t>Federated cost benchmarking, cross-institutional ROI pooling, evidence marketplace, payer-provider evidence exchange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DA2947" w:rsidRDefault="00000000">
            <w:pPr>
              <w:spacing w:before="40" w:after="40"/>
            </w:pPr>
            <w:r>
              <w:rPr>
                <w:sz w:val="20"/>
                <w:szCs w:val="20"/>
              </w:rPr>
              <w:t>Multiple Parthenon nodes with claims data, Genomics + Imaging plans Phase III for convergence analytics</w:t>
            </w:r>
          </w:p>
        </w:tc>
      </w:tr>
    </w:tbl>
    <w:p w:rsidR="00DA2947" w:rsidRDefault="00DA2947">
      <w:pPr>
        <w:spacing w:before="200"/>
      </w:pPr>
    </w:p>
    <w:p w:rsidR="00DA2947" w:rsidRDefault="00DA2947">
      <w:pPr>
        <w:spacing w:before="200"/>
      </w:pPr>
    </w:p>
    <w:p w:rsidR="00DA2947" w:rsidRDefault="00000000">
      <w:pPr>
        <w:pBdr>
          <w:top w:val="single" w:sz="4" w:space="8" w:color="0D2B4A"/>
        </w:pBdr>
        <w:spacing w:before="200"/>
        <w:jc w:val="center"/>
      </w:pPr>
      <w:r>
        <w:rPr>
          <w:i/>
          <w:iCs/>
          <w:color w:val="888888"/>
          <w:sz w:val="20"/>
          <w:szCs w:val="20"/>
        </w:rPr>
        <w:t>END OF DOCUMENT</w:t>
      </w:r>
    </w:p>
    <w:sectPr w:rsidR="00DA2947">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F62E0" w:rsidRDefault="004F62E0">
      <w:r>
        <w:separator/>
      </w:r>
    </w:p>
  </w:endnote>
  <w:endnote w:type="continuationSeparator" w:id="0">
    <w:p w:rsidR="004F62E0" w:rsidRDefault="004F62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2947" w:rsidRDefault="00000000">
    <w:pPr>
      <w:pBdr>
        <w:top w:val="single" w:sz="2" w:space="4" w:color="CCCCCC"/>
      </w:pBdr>
      <w:jc w:val="center"/>
    </w:pPr>
    <w:proofErr w:type="spellStart"/>
    <w:r>
      <w:rPr>
        <w:color w:val="888888"/>
        <w:sz w:val="16"/>
        <w:szCs w:val="16"/>
      </w:rPr>
      <w:t>Acumenus</w:t>
    </w:r>
    <w:proofErr w:type="spellEnd"/>
    <w:r>
      <w:rPr>
        <w:color w:val="888888"/>
        <w:sz w:val="16"/>
        <w:szCs w:val="16"/>
      </w:rPr>
      <w:t xml:space="preserve"> Data </w:t>
    </w:r>
    <w:proofErr w:type="gramStart"/>
    <w:r>
      <w:rPr>
        <w:color w:val="888888"/>
        <w:sz w:val="16"/>
        <w:szCs w:val="16"/>
      </w:rPr>
      <w:t>Sciences  |</w:t>
    </w:r>
    <w:proofErr w:type="gramEnd"/>
    <w:r>
      <w:rPr>
        <w:color w:val="888888"/>
        <w:sz w:val="16"/>
        <w:szCs w:val="16"/>
      </w:rPr>
      <w:t xml:space="preserve">  Confidential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8A6C05">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F62E0" w:rsidRDefault="004F62E0">
      <w:r>
        <w:separator/>
      </w:r>
    </w:p>
  </w:footnote>
  <w:footnote w:type="continuationSeparator" w:id="0">
    <w:p w:rsidR="004F62E0" w:rsidRDefault="004F62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2947" w:rsidRDefault="00000000">
    <w:pPr>
      <w:pBdr>
        <w:bottom w:val="single" w:sz="4" w:space="4" w:color="0D2B4A"/>
      </w:pBdr>
      <w:jc w:val="right"/>
    </w:pPr>
    <w:r>
      <w:rPr>
        <w:color w:val="888888"/>
        <w:sz w:val="16"/>
        <w:szCs w:val="16"/>
      </w:rPr>
      <w:t>PARTHENON HEOR &amp; CARE GAP ECONOMICS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4C0D78"/>
    <w:multiLevelType w:val="hybridMultilevel"/>
    <w:tmpl w:val="CB144534"/>
    <w:lvl w:ilvl="0" w:tplc="2C20261C">
      <w:start w:val="1"/>
      <w:numFmt w:val="bullet"/>
      <w:lvlText w:val="•"/>
      <w:lvlJc w:val="left"/>
      <w:pPr>
        <w:ind w:left="720" w:hanging="360"/>
      </w:pPr>
    </w:lvl>
    <w:lvl w:ilvl="1" w:tplc="6FD0F002">
      <w:start w:val="1"/>
      <w:numFmt w:val="bullet"/>
      <w:lvlText w:val="◦"/>
      <w:lvlJc w:val="left"/>
      <w:pPr>
        <w:ind w:left="1440" w:hanging="360"/>
      </w:pPr>
    </w:lvl>
    <w:lvl w:ilvl="2" w:tplc="2B723FFA">
      <w:numFmt w:val="decimal"/>
      <w:lvlText w:val=""/>
      <w:lvlJc w:val="left"/>
    </w:lvl>
    <w:lvl w:ilvl="3" w:tplc="E062C384">
      <w:numFmt w:val="decimal"/>
      <w:lvlText w:val=""/>
      <w:lvlJc w:val="left"/>
    </w:lvl>
    <w:lvl w:ilvl="4" w:tplc="18B42D84">
      <w:numFmt w:val="decimal"/>
      <w:lvlText w:val=""/>
      <w:lvlJc w:val="left"/>
    </w:lvl>
    <w:lvl w:ilvl="5" w:tplc="754A2AF0">
      <w:numFmt w:val="decimal"/>
      <w:lvlText w:val=""/>
      <w:lvlJc w:val="left"/>
    </w:lvl>
    <w:lvl w:ilvl="6" w:tplc="8F80AD96">
      <w:numFmt w:val="decimal"/>
      <w:lvlText w:val=""/>
      <w:lvlJc w:val="left"/>
    </w:lvl>
    <w:lvl w:ilvl="7" w:tplc="082A8324">
      <w:numFmt w:val="decimal"/>
      <w:lvlText w:val=""/>
      <w:lvlJc w:val="left"/>
    </w:lvl>
    <w:lvl w:ilvl="8" w:tplc="8CE842BA">
      <w:numFmt w:val="decimal"/>
      <w:lvlText w:val=""/>
      <w:lvlJc w:val="left"/>
    </w:lvl>
  </w:abstractNum>
  <w:abstractNum w:abstractNumId="1" w15:restartNumberingAfterBreak="0">
    <w:nsid w:val="78496D1C"/>
    <w:multiLevelType w:val="hybridMultilevel"/>
    <w:tmpl w:val="3C38AA62"/>
    <w:lvl w:ilvl="0" w:tplc="E2C2B184">
      <w:start w:val="1"/>
      <w:numFmt w:val="bullet"/>
      <w:lvlText w:val="●"/>
      <w:lvlJc w:val="left"/>
      <w:pPr>
        <w:ind w:left="720" w:hanging="360"/>
      </w:pPr>
    </w:lvl>
    <w:lvl w:ilvl="1" w:tplc="CAAA6152">
      <w:start w:val="1"/>
      <w:numFmt w:val="bullet"/>
      <w:lvlText w:val="○"/>
      <w:lvlJc w:val="left"/>
      <w:pPr>
        <w:ind w:left="1440" w:hanging="360"/>
      </w:pPr>
    </w:lvl>
    <w:lvl w:ilvl="2" w:tplc="F01E43E6">
      <w:start w:val="1"/>
      <w:numFmt w:val="bullet"/>
      <w:lvlText w:val="■"/>
      <w:lvlJc w:val="left"/>
      <w:pPr>
        <w:ind w:left="2160" w:hanging="360"/>
      </w:pPr>
    </w:lvl>
    <w:lvl w:ilvl="3" w:tplc="5B180E10">
      <w:start w:val="1"/>
      <w:numFmt w:val="bullet"/>
      <w:lvlText w:val="●"/>
      <w:lvlJc w:val="left"/>
      <w:pPr>
        <w:ind w:left="2880" w:hanging="360"/>
      </w:pPr>
    </w:lvl>
    <w:lvl w:ilvl="4" w:tplc="E11EF0F2">
      <w:start w:val="1"/>
      <w:numFmt w:val="bullet"/>
      <w:lvlText w:val="○"/>
      <w:lvlJc w:val="left"/>
      <w:pPr>
        <w:ind w:left="3600" w:hanging="360"/>
      </w:pPr>
    </w:lvl>
    <w:lvl w:ilvl="5" w:tplc="206A0F08">
      <w:start w:val="1"/>
      <w:numFmt w:val="bullet"/>
      <w:lvlText w:val="■"/>
      <w:lvlJc w:val="left"/>
      <w:pPr>
        <w:ind w:left="4320" w:hanging="360"/>
      </w:pPr>
    </w:lvl>
    <w:lvl w:ilvl="6" w:tplc="EC1CAD9E">
      <w:start w:val="1"/>
      <w:numFmt w:val="bullet"/>
      <w:lvlText w:val="●"/>
      <w:lvlJc w:val="left"/>
      <w:pPr>
        <w:ind w:left="5040" w:hanging="360"/>
      </w:pPr>
    </w:lvl>
    <w:lvl w:ilvl="7" w:tplc="25BE4654">
      <w:start w:val="1"/>
      <w:numFmt w:val="bullet"/>
      <w:lvlText w:val="●"/>
      <w:lvlJc w:val="left"/>
      <w:pPr>
        <w:ind w:left="5760" w:hanging="360"/>
      </w:pPr>
    </w:lvl>
    <w:lvl w:ilvl="8" w:tplc="6A3859CE">
      <w:start w:val="1"/>
      <w:numFmt w:val="bullet"/>
      <w:lvlText w:val="●"/>
      <w:lvlJc w:val="left"/>
      <w:pPr>
        <w:ind w:left="6480" w:hanging="360"/>
      </w:pPr>
    </w:lvl>
  </w:abstractNum>
  <w:num w:numId="1" w16cid:durableId="1695350970">
    <w:abstractNumId w:val="1"/>
    <w:lvlOverride w:ilvl="0">
      <w:startOverride w:val="1"/>
    </w:lvlOverride>
  </w:num>
  <w:num w:numId="2" w16cid:durableId="4759246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947"/>
    <w:rsid w:val="004F62E0"/>
    <w:rsid w:val="008A6C05"/>
    <w:rsid w:val="00DA2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50F1DC37-01B4-C44C-89F5-9FD5F3892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D2B4A"/>
      <w:sz w:val="36"/>
      <w:szCs w:val="36"/>
    </w:rPr>
  </w:style>
  <w:style w:type="paragraph" w:styleId="Heading2">
    <w:name w:val="heading 2"/>
    <w:uiPriority w:val="9"/>
    <w:unhideWhenUsed/>
    <w:qFormat/>
    <w:pPr>
      <w:spacing w:before="280" w:after="160"/>
      <w:outlineLvl w:val="1"/>
    </w:pPr>
    <w:rPr>
      <w:b/>
      <w:bCs/>
      <w:color w:val="1A4D7E"/>
      <w:sz w:val="28"/>
      <w:szCs w:val="28"/>
    </w:rPr>
  </w:style>
  <w:style w:type="paragraph" w:styleId="Heading3">
    <w:name w:val="heading 3"/>
    <w:uiPriority w:val="9"/>
    <w:unhideWhenUsed/>
    <w:qFormat/>
    <w:pPr>
      <w:spacing w:before="200" w:after="120"/>
      <w:outlineLvl w:val="2"/>
    </w:pPr>
    <w:rPr>
      <w:b/>
      <w:bCs/>
      <w:color w:val="2B6E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6072</Words>
  <Characters>34612</Characters>
  <Application>Microsoft Office Word</Application>
  <DocSecurity>0</DocSecurity>
  <Lines>288</Lines>
  <Paragraphs>81</Paragraphs>
  <ScaleCrop>false</ScaleCrop>
  <Company/>
  <LinksUpToDate>false</LinksUpToDate>
  <CharactersWithSpaces>40603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2026-03-03T20:40:00Z</dcterms:created>
  <dcterms:modified xsi:type="dcterms:W3CDTF">2026-03-03T20:40:00Z</dcterms:modified>
</cp:coreProperties>
</file>