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400"/>
        <w:jc w:val="center"/>
        <w:rPr>
          <w:sz w:val="22"/>
          <w:szCs w:val="22"/>
        </w:rPr>
      </w:pPr>
      <w:r>
        <w:rPr>
          <w:rFonts w:eastAsia="Times New Roman" w:cs="Times New Roman"/>
          <w:b/>
          <w:bCs/>
          <w:sz w:val="22"/>
          <w:szCs w:val="22"/>
        </w:rPr>
        <w:t>Supplementary Appendix: IRSF-NHS Custom Vocabulary Mapping to OMOP Standard Terminologies</w:t>
      </w:r>
    </w:p>
    <w:p>
      <w:pPr>
        <w:pStyle w:val="Heading1"/>
        <w:spacing w:before="360" w:after="200"/>
        <w:rPr>
          <w:sz w:val="22"/>
          <w:szCs w:val="22"/>
        </w:rPr>
      </w:pPr>
      <w:r>
        <w:rPr>
          <w:rFonts w:eastAsia="Times New Roman" w:cs="Times New Roman" w:ascii="Times New Roman" w:hAnsi="Times New Roman"/>
          <w:b/>
          <w:bCs/>
          <w:sz w:val="22"/>
          <w:szCs w:val="22"/>
        </w:rPr>
        <w:t>A1. Vocabulary Mapping Methods</w:t>
      </w:r>
    </w:p>
    <w:p>
      <w:pPr>
        <w:pStyle w:val="Normal"/>
        <w:spacing w:lineRule="auto" w:line="360" w:before="0" w:after="120"/>
        <w:rPr>
          <w:sz w:val="22"/>
          <w:szCs w:val="22"/>
        </w:rPr>
      </w:pPr>
      <w:r>
        <w:rPr>
          <w:rFonts w:eastAsia="Times New Roman" w:cs="Times New Roman"/>
          <w:sz w:val="22"/>
          <w:szCs w:val="22"/>
        </w:rPr>
        <w:t>The IRSF Natural History Study (IRSF-NHS) registry data were transformed to OMOP CDM v5.4 using a custom Python ETL pipeline. Because the registry contains Rett syndrome–specific clinical instruments (the Clinical Severity Scale and Motor Behavioral Assessment) and mutation-level genotyping data that have no representation in standard OMOP vocabularies, a custom vocabulary (</w:t>
      </w:r>
      <w:r>
        <w:rPr>
          <w:rFonts w:eastAsia="Courier New" w:cs="Courier New" w:ascii="Courier New" w:hAnsi="Courier New"/>
          <w:sz w:val="22"/>
          <w:szCs w:val="22"/>
        </w:rPr>
        <w:t>IRSF-NHS</w:t>
      </w:r>
      <w:r>
        <w:rPr>
          <w:rFonts w:eastAsia="Times New Roman" w:cs="Times New Roman"/>
          <w:sz w:val="22"/>
          <w:szCs w:val="22"/>
        </w:rPr>
        <w:t>) of 117 concepts was created. Concept identifiers were assigned in the 2-billion range (concept_id ≥ 2,000,000,000) per OMOP convention for locally defined vocabularies.</w:t>
      </w:r>
    </w:p>
    <w:p>
      <w:pPr>
        <w:pStyle w:val="Normal"/>
        <w:spacing w:lineRule="auto" w:line="360" w:before="0" w:after="120"/>
        <w:rPr>
          <w:sz w:val="22"/>
          <w:szCs w:val="22"/>
        </w:rPr>
      </w:pPr>
      <w:r>
        <w:rPr>
          <w:rFonts w:eastAsia="Times New Roman" w:cs="Times New Roman"/>
          <w:sz w:val="22"/>
          <w:szCs w:val="22"/>
        </w:rPr>
        <w:t xml:space="preserve">Prior to the mapping effort described here, all 117 IRSF-NHS concepts were completely isolated within the OMOP vocabulary infrastructure: no </w:t>
      </w:r>
      <w:r>
        <w:rPr>
          <w:rFonts w:eastAsia="Courier New" w:cs="Courier New" w:ascii="Courier New" w:hAnsi="Courier New"/>
          <w:sz w:val="22"/>
          <w:szCs w:val="22"/>
        </w:rPr>
        <w:t>Maps to</w:t>
      </w:r>
      <w:r>
        <w:rPr>
          <w:rFonts w:eastAsia="Times New Roman" w:cs="Times New Roman"/>
          <w:sz w:val="22"/>
          <w:szCs w:val="22"/>
        </w:rPr>
        <w:t xml:space="preserve"> relationships to standard concepts, no hierarchical </w:t>
      </w:r>
      <w:r>
        <w:rPr>
          <w:rFonts w:eastAsia="Courier New" w:cs="Courier New" w:ascii="Courier New" w:hAnsi="Courier New"/>
          <w:sz w:val="22"/>
          <w:szCs w:val="22"/>
        </w:rPr>
        <w:t>Is a</w:t>
      </w:r>
      <w:r>
        <w:rPr>
          <w:rFonts w:eastAsia="Times New Roman" w:cs="Times New Roman"/>
          <w:sz w:val="22"/>
          <w:szCs w:val="22"/>
        </w:rPr>
        <w:t xml:space="preserve"> relationships, and no ancestor/descendant entries. This meant that IRSF-NHS patients were invisible to any standard SNOMED- or LOINC-based cohort definition, and the dataset could not participate in federated OHDSI network studies.</w:t>
      </w:r>
    </w:p>
    <w:p>
      <w:pPr>
        <w:pStyle w:val="Normal"/>
        <w:spacing w:lineRule="auto" w:line="360" w:before="0" w:after="120"/>
        <w:rPr>
          <w:sz w:val="22"/>
          <w:szCs w:val="22"/>
        </w:rPr>
      </w:pPr>
      <w:r>
        <w:rPr>
          <w:rFonts w:eastAsia="Times New Roman" w:cs="Times New Roman"/>
          <w:sz w:val="22"/>
          <w:szCs w:val="22"/>
        </w:rPr>
        <w:t>We performed a systematic manual curation of all 117 concepts against three target vocabularies: SNOMED CT (for clinical findings), OMOP Genomic (for genetic variants), and LOINC (for clinical assessments). Each source concept was reviewed and assigned one of four mapping outcomes: (1) direct match to an external standard concept, (2) approximate match to a broader external concept, (3) self-mapping with hierarchical placement (for concepts with no external equivalent), or (4) self-mapping only (for composite scores). Mapping quality was documented for each concept to enable downstream users to assess the precision of cross-vocabulary queries.</w:t>
      </w:r>
    </w:p>
    <w:p>
      <w:pPr>
        <w:pStyle w:val="Heading1"/>
        <w:spacing w:before="360" w:after="200"/>
        <w:rPr>
          <w:sz w:val="22"/>
          <w:szCs w:val="22"/>
        </w:rPr>
      </w:pPr>
      <w:r>
        <w:rPr>
          <w:rFonts w:eastAsia="Times New Roman" w:cs="Times New Roman" w:ascii="Times New Roman" w:hAnsi="Times New Roman"/>
          <w:b/>
          <w:bCs/>
          <w:sz w:val="22"/>
          <w:szCs w:val="22"/>
        </w:rPr>
        <w:t>A2. Mapping Coverage</w:t>
      </w:r>
    </w:p>
    <w:p>
      <w:pPr>
        <w:pStyle w:val="Normal"/>
        <w:spacing w:lineRule="auto" w:line="360" w:before="0" w:after="120"/>
        <w:rPr>
          <w:sz w:val="22"/>
          <w:szCs w:val="22"/>
        </w:rPr>
      </w:pPr>
      <w:r>
        <w:rPr>
          <w:rFonts w:eastAsia="Times New Roman" w:cs="Times New Roman"/>
          <w:sz w:val="22"/>
          <w:szCs w:val="22"/>
        </w:rPr>
        <w:t xml:space="preserve">Table A1 summarizes the mapping coverage across the four IRSF-NHS concept domains. Overall, 107 of 117 concepts (91.5%) received a mapping to an external standard concept, with the remaining 10 receiving self-mappings (OHDSI convention for source concepts that serve as their own standard representation). A total of 264 relationship rows were inserted into the </w:t>
      </w:r>
      <w:r>
        <w:rPr>
          <w:rFonts w:eastAsia="Courier New" w:cs="Courier New" w:ascii="Courier New" w:hAnsi="Courier New"/>
          <w:sz w:val="22"/>
          <w:szCs w:val="22"/>
        </w:rPr>
        <w:t>concept_relationship</w:t>
      </w:r>
      <w:r>
        <w:rPr>
          <w:rFonts w:eastAsia="Times New Roman" w:cs="Times New Roman"/>
          <w:sz w:val="22"/>
          <w:szCs w:val="22"/>
        </w:rPr>
        <w:t xml:space="preserve"> table.</w:t>
      </w:r>
    </w:p>
    <w:p>
      <w:pPr>
        <w:pStyle w:val="Normal"/>
        <w:spacing w:before="240" w:after="120"/>
        <w:rPr>
          <w:sz w:val="22"/>
          <w:szCs w:val="22"/>
        </w:rPr>
      </w:pPr>
      <w:r>
        <w:rPr>
          <w:rFonts w:eastAsia="Times New Roman" w:cs="Times New Roman"/>
          <w:b/>
          <w:bCs/>
          <w:sz w:val="22"/>
          <w:szCs w:val="22"/>
        </w:rPr>
        <w:t xml:space="preserve">Table A1. </w:t>
      </w:r>
      <w:r>
        <w:rPr>
          <w:rFonts w:eastAsia="Times New Roman" w:cs="Times New Roman"/>
          <w:sz w:val="22"/>
          <w:szCs w:val="22"/>
        </w:rPr>
        <w:t>IRSF-NHS Vocabulary Mapping Coverage by Domain</w:t>
      </w:r>
    </w:p>
    <w:tbl>
      <w:tblPr>
        <w:tblW w:w="5000" w:type="pct"/>
        <w:jc w:val="start"/>
        <w:tblInd w:w="0" w:type="dxa"/>
        <w:tblLayout w:type="fixed"/>
        <w:tblCellMar>
          <w:top w:w="30" w:type="dxa"/>
          <w:start w:w="60" w:type="dxa"/>
          <w:bottom w:w="30" w:type="dxa"/>
          <w:end w:w="60" w:type="dxa"/>
        </w:tblCellMar>
      </w:tblPr>
      <w:tblGrid>
        <w:gridCol w:w="1793"/>
        <w:gridCol w:w="1792"/>
        <w:gridCol w:w="896"/>
        <w:gridCol w:w="2017"/>
        <w:gridCol w:w="1569"/>
        <w:gridCol w:w="2013"/>
      </w:tblGrid>
      <w:tr>
        <w:trPr/>
        <w:tc>
          <w:tcPr>
            <w:tcW w:w="1793"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Domain</w:t>
            </w:r>
          </w:p>
        </w:tc>
        <w:tc>
          <w:tcPr>
            <w:tcW w:w="1792"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Concept Class</w:t>
            </w:r>
          </w:p>
        </w:tc>
        <w:tc>
          <w:tcPr>
            <w:tcW w:w="896"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Count</w:t>
            </w:r>
          </w:p>
        </w:tc>
        <w:tc>
          <w:tcPr>
            <w:tcW w:w="2017"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Mapped to External</w:t>
            </w:r>
          </w:p>
        </w:tc>
        <w:tc>
          <w:tcPr>
            <w:tcW w:w="1569"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Self-Mapped</w:t>
            </w:r>
          </w:p>
        </w:tc>
        <w:tc>
          <w:tcPr>
            <w:tcW w:w="2013"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Coverage</w:t>
            </w:r>
          </w:p>
        </w:tc>
      </w:tr>
      <w:tr>
        <w:trPr/>
        <w:tc>
          <w:tcPr>
            <w:tcW w:w="1793"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Condition</w:t>
            </w:r>
          </w:p>
        </w:tc>
        <w:tc>
          <w:tcPr>
            <w:tcW w:w="1792"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Clinical Finding</w:t>
            </w:r>
          </w:p>
        </w:tc>
        <w:tc>
          <w:tcPr>
            <w:tcW w:w="896"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14</w:t>
            </w:r>
          </w:p>
        </w:tc>
        <w:tc>
          <w:tcPr>
            <w:tcW w:w="2017"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14</w:t>
            </w:r>
          </w:p>
        </w:tc>
        <w:tc>
          <w:tcPr>
            <w:tcW w:w="156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0</w:t>
            </w:r>
          </w:p>
        </w:tc>
        <w:tc>
          <w:tcPr>
            <w:tcW w:w="2013"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100%</w:t>
            </w:r>
          </w:p>
        </w:tc>
      </w:tr>
      <w:tr>
        <w:trPr/>
        <w:tc>
          <w:tcPr>
            <w:tcW w:w="1793"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Observation</w:t>
            </w:r>
          </w:p>
        </w:tc>
        <w:tc>
          <w:tcPr>
            <w:tcW w:w="1792"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Observable Entity</w:t>
            </w:r>
          </w:p>
        </w:tc>
        <w:tc>
          <w:tcPr>
            <w:tcW w:w="896"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48</w:t>
            </w:r>
          </w:p>
        </w:tc>
        <w:tc>
          <w:tcPr>
            <w:tcW w:w="2017"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48</w:t>
            </w:r>
          </w:p>
        </w:tc>
        <w:tc>
          <w:tcPr>
            <w:tcW w:w="156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0</w:t>
            </w:r>
          </w:p>
        </w:tc>
        <w:tc>
          <w:tcPr>
            <w:tcW w:w="2013"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100%</w:t>
            </w:r>
          </w:p>
        </w:tc>
      </w:tr>
      <w:tr>
        <w:trPr/>
        <w:tc>
          <w:tcPr>
            <w:tcW w:w="1793"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Measurement</w:t>
            </w:r>
          </w:p>
        </w:tc>
        <w:tc>
          <w:tcPr>
            <w:tcW w:w="1792"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Clinical Observation</w:t>
            </w:r>
          </w:p>
        </w:tc>
        <w:tc>
          <w:tcPr>
            <w:tcW w:w="896"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14</w:t>
            </w:r>
          </w:p>
        </w:tc>
        <w:tc>
          <w:tcPr>
            <w:tcW w:w="2017"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13</w:t>
            </w:r>
          </w:p>
        </w:tc>
        <w:tc>
          <w:tcPr>
            <w:tcW w:w="156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w:t>
            </w:r>
          </w:p>
        </w:tc>
        <w:tc>
          <w:tcPr>
            <w:tcW w:w="2013"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100%</w:t>
            </w:r>
          </w:p>
        </w:tc>
      </w:tr>
      <w:tr>
        <w:trPr/>
        <w:tc>
          <w:tcPr>
            <w:tcW w:w="1793"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Observation</w:t>
            </w:r>
          </w:p>
        </w:tc>
        <w:tc>
          <w:tcPr>
            <w:tcW w:w="1792"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Clinical Observation</w:t>
            </w:r>
          </w:p>
        </w:tc>
        <w:tc>
          <w:tcPr>
            <w:tcW w:w="896"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41</w:t>
            </w:r>
          </w:p>
        </w:tc>
        <w:tc>
          <w:tcPr>
            <w:tcW w:w="2017"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32</w:t>
            </w:r>
          </w:p>
        </w:tc>
        <w:tc>
          <w:tcPr>
            <w:tcW w:w="156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9</w:t>
            </w:r>
          </w:p>
        </w:tc>
        <w:tc>
          <w:tcPr>
            <w:tcW w:w="2013"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90%</w:t>
            </w:r>
          </w:p>
        </w:tc>
      </w:tr>
      <w:tr>
        <w:trPr/>
        <w:tc>
          <w:tcPr>
            <w:tcW w:w="1793"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Total</w:t>
            </w:r>
          </w:p>
        </w:tc>
        <w:tc>
          <w:tcPr>
            <w:tcW w:w="1792"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w:t>
            </w:r>
          </w:p>
        </w:tc>
        <w:tc>
          <w:tcPr>
            <w:tcW w:w="896"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bCs/>
                <w:sz w:val="22"/>
                <w:szCs w:val="22"/>
              </w:rPr>
              <w:t>117</w:t>
            </w:r>
          </w:p>
        </w:tc>
        <w:tc>
          <w:tcPr>
            <w:tcW w:w="2017"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bCs/>
                <w:sz w:val="22"/>
                <w:szCs w:val="22"/>
              </w:rPr>
              <w:t>107</w:t>
            </w:r>
          </w:p>
        </w:tc>
        <w:tc>
          <w:tcPr>
            <w:tcW w:w="156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bCs/>
                <w:sz w:val="22"/>
                <w:szCs w:val="22"/>
              </w:rPr>
              <w:t>10</w:t>
            </w:r>
          </w:p>
        </w:tc>
        <w:tc>
          <w:tcPr>
            <w:tcW w:w="2013"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bCs/>
                <w:sz w:val="22"/>
                <w:szCs w:val="22"/>
              </w:rPr>
              <w:t>97%</w:t>
            </w:r>
          </w:p>
        </w:tc>
      </w:tr>
    </w:tbl>
    <w:p>
      <w:pPr>
        <w:pStyle w:val="Normal"/>
        <w:spacing w:lineRule="auto" w:line="360" w:before="0" w:after="120"/>
        <w:rPr>
          <w:sz w:val="22"/>
          <w:szCs w:val="22"/>
        </w:rPr>
      </w:pPr>
      <w:r>
        <w:rPr>
          <w:rFonts w:eastAsia="Times New Roman" w:cs="Times New Roman"/>
          <w:i/>
          <w:iCs/>
          <w:sz w:val="22"/>
          <w:szCs w:val="22"/>
        </w:rPr>
        <w:t>Note: 5 MBA items received both a self-mapping and an approximate broader mapping; 5 composite scores (CSS Total, MBA Grand Total, 3 MBA subtotals) received self-mappings only.</w:t>
      </w:r>
    </w:p>
    <w:p>
      <w:pPr>
        <w:pStyle w:val="Normal"/>
        <w:spacing w:before="240" w:after="120"/>
        <w:rPr>
          <w:sz w:val="22"/>
          <w:szCs w:val="22"/>
        </w:rPr>
      </w:pPr>
      <w:r>
        <w:rPr>
          <w:rFonts w:eastAsia="Times New Roman" w:cs="Times New Roman"/>
          <w:b/>
          <w:bCs/>
          <w:sz w:val="22"/>
          <w:szCs w:val="22"/>
        </w:rPr>
        <w:t xml:space="preserve">Table A2. </w:t>
      </w:r>
      <w:r>
        <w:rPr>
          <w:rFonts w:eastAsia="Times New Roman" w:cs="Times New Roman"/>
          <w:sz w:val="22"/>
          <w:szCs w:val="22"/>
        </w:rPr>
        <w:t>Relationship Types Inserted</w:t>
      </w:r>
    </w:p>
    <w:tbl>
      <w:tblPr>
        <w:tblW w:w="5000" w:type="pct"/>
        <w:jc w:val="start"/>
        <w:tblInd w:w="0" w:type="dxa"/>
        <w:tblLayout w:type="fixed"/>
        <w:tblCellMar>
          <w:top w:w="30" w:type="dxa"/>
          <w:start w:w="60" w:type="dxa"/>
          <w:bottom w:w="30" w:type="dxa"/>
          <w:end w:w="60" w:type="dxa"/>
        </w:tblCellMar>
      </w:tblPr>
      <w:tblGrid>
        <w:gridCol w:w="2400"/>
        <w:gridCol w:w="899"/>
        <w:gridCol w:w="6781"/>
      </w:tblGrid>
      <w:tr>
        <w:trPr/>
        <w:tc>
          <w:tcPr>
            <w:tcW w:w="240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Relationship</w:t>
            </w:r>
          </w:p>
        </w:tc>
        <w:tc>
          <w:tcPr>
            <w:tcW w:w="899"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Count</w:t>
            </w:r>
          </w:p>
        </w:tc>
        <w:tc>
          <w:tcPr>
            <w:tcW w:w="6781"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Purpose</w:t>
            </w:r>
          </w:p>
        </w:tc>
      </w:tr>
      <w:tr>
        <w:trPr/>
        <w:tc>
          <w:tcPr>
            <w:tcW w:w="24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Courier New" w:cs="Courier New" w:ascii="Courier New" w:hAnsi="Courier New"/>
                <w:b w:val="false"/>
                <w:bCs w:val="false"/>
                <w:sz w:val="22"/>
                <w:szCs w:val="22"/>
              </w:rPr>
              <w:t>Maps to (external)</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107</w:t>
            </w:r>
          </w:p>
        </w:tc>
        <w:tc>
          <w:tcPr>
            <w:tcW w:w="678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Primary standard concept mapping</w:t>
            </w:r>
          </w:p>
        </w:tc>
      </w:tr>
      <w:tr>
        <w:trPr/>
        <w:tc>
          <w:tcPr>
            <w:tcW w:w="24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Courier New" w:cs="Courier New" w:ascii="Courier New" w:hAnsi="Courier New"/>
                <w:b w:val="false"/>
                <w:bCs w:val="false"/>
                <w:sz w:val="22"/>
                <w:szCs w:val="22"/>
              </w:rPr>
              <w:t>Maps to (self)</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10</w:t>
            </w:r>
          </w:p>
        </w:tc>
        <w:tc>
          <w:tcPr>
            <w:tcW w:w="678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OHDSI convention for source-standard concepts</w:t>
            </w:r>
          </w:p>
        </w:tc>
      </w:tr>
      <w:tr>
        <w:trPr/>
        <w:tc>
          <w:tcPr>
            <w:tcW w:w="24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Courier New" w:cs="Courier New" w:ascii="Courier New" w:hAnsi="Courier New"/>
                <w:b w:val="false"/>
                <w:bCs w:val="false"/>
                <w:sz w:val="22"/>
                <w:szCs w:val="22"/>
              </w:rPr>
              <w:t>Mapped from (reverse)</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107</w:t>
            </w:r>
          </w:p>
        </w:tc>
        <w:tc>
          <w:tcPr>
            <w:tcW w:w="678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Reverse navigability from standard to source</w:t>
            </w:r>
          </w:p>
        </w:tc>
      </w:tr>
      <w:tr>
        <w:trPr/>
        <w:tc>
          <w:tcPr>
            <w:tcW w:w="24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Courier New" w:cs="Courier New" w:ascii="Courier New" w:hAnsi="Courier New"/>
                <w:b w:val="false"/>
                <w:bCs w:val="false"/>
                <w:sz w:val="22"/>
                <w:szCs w:val="22"/>
              </w:rPr>
              <w:t>Is a (hierarchy)</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10</w:t>
            </w:r>
          </w:p>
        </w:tc>
        <w:tc>
          <w:tcPr>
            <w:tcW w:w="678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Places concepts in SNOMED hierarchy</w:t>
            </w:r>
          </w:p>
        </w:tc>
      </w:tr>
      <w:tr>
        <w:trPr/>
        <w:tc>
          <w:tcPr>
            <w:tcW w:w="24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Courier New" w:cs="Courier New" w:ascii="Courier New" w:hAnsi="Courier New"/>
                <w:b w:val="false"/>
                <w:bCs w:val="false"/>
                <w:sz w:val="22"/>
                <w:szCs w:val="22"/>
              </w:rPr>
              <w:t>Subsumes (reverse)</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10</w:t>
            </w:r>
          </w:p>
        </w:tc>
        <w:tc>
          <w:tcPr>
            <w:tcW w:w="678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Reverse of Is a</w:t>
            </w:r>
          </w:p>
        </w:tc>
      </w:tr>
      <w:tr>
        <w:trPr/>
        <w:tc>
          <w:tcPr>
            <w:tcW w:w="24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Total</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bCs/>
                <w:sz w:val="22"/>
                <w:szCs w:val="22"/>
              </w:rPr>
              <w:t>264</w:t>
            </w:r>
          </w:p>
        </w:tc>
        <w:tc>
          <w:tcPr>
            <w:tcW w:w="6781"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r>
    </w:tbl>
    <w:p>
      <w:pPr>
        <w:pStyle w:val="Normal"/>
        <w:rPr>
          <w:sz w:val="22"/>
          <w:szCs w:val="22"/>
        </w:rPr>
      </w:pPr>
      <w:r>
        <w:rPr>
          <w:sz w:val="22"/>
          <w:szCs w:val="22"/>
        </w:rPr>
      </w:r>
      <w:r>
        <w:br w:type="page"/>
      </w:r>
    </w:p>
    <w:p>
      <w:pPr>
        <w:pStyle w:val="Heading1"/>
        <w:spacing w:before="0" w:after="200"/>
        <w:rPr>
          <w:sz w:val="22"/>
          <w:szCs w:val="22"/>
        </w:rPr>
      </w:pPr>
      <w:r>
        <w:rPr>
          <w:rFonts w:eastAsia="Times New Roman" w:cs="Times New Roman" w:ascii="Times New Roman" w:hAnsi="Times New Roman"/>
          <w:b/>
          <w:bCs/>
          <w:sz w:val="22"/>
          <w:szCs w:val="22"/>
        </w:rPr>
        <w:t>A3. Complete Mapping Tables</w:t>
      </w:r>
    </w:p>
    <w:p>
      <w:pPr>
        <w:pStyle w:val="Heading2"/>
        <w:spacing w:before="240" w:after="160"/>
        <w:rPr>
          <w:sz w:val="22"/>
          <w:szCs w:val="22"/>
        </w:rPr>
      </w:pPr>
      <w:r>
        <w:rPr>
          <w:rFonts w:eastAsia="Times New Roman" w:cs="Times New Roman" w:ascii="Times New Roman" w:hAnsi="Times New Roman"/>
          <w:b/>
          <w:bCs/>
          <w:i/>
          <w:iCs/>
          <w:sz w:val="22"/>
          <w:szCs w:val="22"/>
        </w:rPr>
        <w:t>A3.1. Condition Diagnoses (14 concepts → SNOMED CT)</w:t>
      </w:r>
    </w:p>
    <w:p>
      <w:pPr>
        <w:pStyle w:val="Normal"/>
        <w:spacing w:lineRule="auto" w:line="360" w:before="0" w:after="120"/>
        <w:rPr>
          <w:sz w:val="22"/>
          <w:szCs w:val="22"/>
        </w:rPr>
      </w:pPr>
      <w:r>
        <w:rPr>
          <w:rFonts w:eastAsia="Times New Roman" w:cs="Times New Roman"/>
          <w:sz w:val="22"/>
          <w:szCs w:val="22"/>
        </w:rPr>
        <w:t>All 14 condition concepts mapped to SNOMED CT at 100% coverage. Six concepts have direct matches; five atypical Rett subtypes map to the single SNOMED parent “Atypical Rett syndrome” (37397680) because SNOMED does not differentiate the Zapella, Rolando, Hanefeld, and delayed-onset clinical variants. The IRSF-NHS source concepts preserve this subtype granularity for variant-specific analyses.</w:t>
      </w:r>
    </w:p>
    <w:p>
      <w:pPr>
        <w:pStyle w:val="Normal"/>
        <w:spacing w:before="200" w:after="100"/>
        <w:rPr>
          <w:sz w:val="22"/>
          <w:szCs w:val="22"/>
        </w:rPr>
      </w:pPr>
      <w:r>
        <w:rPr>
          <w:rFonts w:eastAsia="Times New Roman" w:cs="Times New Roman"/>
          <w:b/>
          <w:bCs/>
          <w:sz w:val="22"/>
          <w:szCs w:val="22"/>
        </w:rPr>
        <w:t xml:space="preserve">Table A3. </w:t>
      </w:r>
      <w:r>
        <w:rPr>
          <w:rFonts w:eastAsia="Times New Roman" w:cs="Times New Roman"/>
          <w:sz w:val="22"/>
          <w:szCs w:val="22"/>
        </w:rPr>
        <w:t>Condition Diagnosis Mappings</w:t>
      </w:r>
    </w:p>
    <w:tbl>
      <w:tblPr>
        <w:tblW w:w="5000" w:type="pct"/>
        <w:jc w:val="start"/>
        <w:tblInd w:w="0" w:type="dxa"/>
        <w:tblLayout w:type="fixed"/>
        <w:tblCellMar>
          <w:top w:w="30" w:type="dxa"/>
          <w:start w:w="60" w:type="dxa"/>
          <w:bottom w:w="30" w:type="dxa"/>
          <w:end w:w="60" w:type="dxa"/>
        </w:tblCellMar>
      </w:tblPr>
      <w:tblGrid>
        <w:gridCol w:w="2200"/>
        <w:gridCol w:w="899"/>
        <w:gridCol w:w="2201"/>
        <w:gridCol w:w="1990"/>
        <w:gridCol w:w="2790"/>
      </w:tblGrid>
      <w:tr>
        <w:trPr/>
        <w:tc>
          <w:tcPr>
            <w:tcW w:w="220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IRSF-NHS Concept</w:t>
            </w:r>
          </w:p>
        </w:tc>
        <w:tc>
          <w:tcPr>
            <w:tcW w:w="899"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ID</w:t>
            </w:r>
          </w:p>
        </w:tc>
        <w:tc>
          <w:tcPr>
            <w:tcW w:w="2201"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SNOMED Target</w:t>
            </w:r>
          </w:p>
        </w:tc>
        <w:tc>
          <w:tcPr>
            <w:tcW w:w="1990"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Target ID</w:t>
            </w:r>
          </w:p>
        </w:tc>
        <w:tc>
          <w:tcPr>
            <w:tcW w:w="2790"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Quality</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Classic Rett Syndrome</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2000004000</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Rett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4288480</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Variant Rett Syndrome</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2000004001</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37397680</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CDKL5 Deficiency Disorder</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2000004003</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Cyclin-dependent kinase-like 5 deficiency</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36676367</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Duplication Syndrome</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2000004002</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duplication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45765797</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FOXG1 Syndrome</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2000004006</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FOXG1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45765499</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Mutation-Positive Non-Rett</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2000004005</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related disorder</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1245147</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Broader</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 Unspecified</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2000004007</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37397680</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 Preserved Speech (Zapella)</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2000004008</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37397680</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Parent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 Congenital (Rolando)</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2000004009</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37397680</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Parent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 Early Seizure (Hanefeld)</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2000004012</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37397680</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Parent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 Delayed Onset</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2000004011</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Atypical Rett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37397680</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Parent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FOXG1 Duplication Syndrome</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2000004010</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FOXG1 syndrome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45765499</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Parent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Other Mutation Diagnosis</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2000004013</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Genetic disease</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37204336</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Broadest</w:t>
            </w:r>
          </w:p>
        </w:tc>
      </w:tr>
      <w:tr>
        <w:trPr/>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Other Non-Rett Diagnosis</w:t>
            </w:r>
          </w:p>
        </w:tc>
        <w:tc>
          <w:tcPr>
            <w:tcW w:w="8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2000004004</w:t>
            </w:r>
          </w:p>
        </w:tc>
        <w:tc>
          <w:tcPr>
            <w:tcW w:w="22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Neurodevelopmental disorder</w:t>
            </w:r>
          </w:p>
        </w:tc>
        <w:tc>
          <w:tcPr>
            <w:tcW w:w="19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45771096</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Broadest</w:t>
            </w:r>
          </w:p>
        </w:tc>
      </w:tr>
    </w:tbl>
    <w:p>
      <w:pPr>
        <w:pStyle w:val="Normal"/>
        <w:rPr>
          <w:sz w:val="22"/>
          <w:szCs w:val="22"/>
        </w:rPr>
      </w:pPr>
      <w:r>
        <w:rPr>
          <w:sz w:val="22"/>
          <w:szCs w:val="22"/>
        </w:rPr>
      </w:r>
      <w:r>
        <w:br w:type="page"/>
      </w:r>
    </w:p>
    <w:p>
      <w:pPr>
        <w:pStyle w:val="Heading2"/>
        <w:spacing w:before="0" w:after="160"/>
        <w:rPr>
          <w:sz w:val="22"/>
          <w:szCs w:val="22"/>
        </w:rPr>
      </w:pPr>
      <w:r>
        <w:rPr>
          <w:rFonts w:eastAsia="Times New Roman" w:cs="Times New Roman" w:ascii="Times New Roman" w:hAnsi="Times New Roman"/>
          <w:b/>
          <w:bCs/>
          <w:i/>
          <w:iCs/>
          <w:sz w:val="22"/>
          <w:szCs w:val="22"/>
        </w:rPr>
        <w:t>A3.2. Clinical Severity Scale Measurements (14 concepts → SNOMED CT)</w:t>
      </w:r>
    </w:p>
    <w:p>
      <w:pPr>
        <w:pStyle w:val="Normal"/>
        <w:spacing w:lineRule="auto" w:line="360" w:before="0" w:after="120"/>
        <w:rPr>
          <w:sz w:val="22"/>
          <w:szCs w:val="22"/>
        </w:rPr>
      </w:pPr>
      <w:r>
        <w:rPr>
          <w:rFonts w:eastAsia="Times New Roman" w:cs="Times New Roman"/>
          <w:sz w:val="22"/>
          <w:szCs w:val="22"/>
        </w:rPr>
        <w:t xml:space="preserve">Each CSS item was mapped to the SNOMED clinical finding that the scale item quantifies. CSS items are ordinal severity ratings (scored 0–4 or 0–5), so the mapping represents “this measurement assesses the severity of [SNOMED concept].” The CSS Total Score has no LOINC panel code or SNOMED equivalent and received a self-mapping with an </w:t>
      </w:r>
      <w:r>
        <w:rPr>
          <w:rFonts w:eastAsia="Courier New" w:cs="Courier New" w:ascii="Courier New" w:hAnsi="Courier New"/>
          <w:sz w:val="22"/>
          <w:szCs w:val="22"/>
        </w:rPr>
        <w:t>Is a</w:t>
      </w:r>
      <w:r>
        <w:rPr>
          <w:rFonts w:eastAsia="Times New Roman" w:cs="Times New Roman"/>
          <w:sz w:val="22"/>
          <w:szCs w:val="22"/>
        </w:rPr>
        <w:t xml:space="preserve"> hierarchy relationship to SNOMED “Assessment score” (36684305).</w:t>
      </w:r>
    </w:p>
    <w:p>
      <w:pPr>
        <w:pStyle w:val="Normal"/>
        <w:spacing w:before="200" w:after="100"/>
        <w:rPr>
          <w:sz w:val="22"/>
          <w:szCs w:val="22"/>
        </w:rPr>
      </w:pPr>
      <w:r>
        <w:rPr>
          <w:rFonts w:eastAsia="Times New Roman" w:cs="Times New Roman"/>
          <w:b/>
          <w:bCs/>
          <w:sz w:val="22"/>
          <w:szCs w:val="22"/>
        </w:rPr>
        <w:t xml:space="preserve">Table A4. </w:t>
      </w:r>
      <w:r>
        <w:rPr>
          <w:rFonts w:eastAsia="Times New Roman" w:cs="Times New Roman"/>
          <w:sz w:val="22"/>
          <w:szCs w:val="22"/>
        </w:rPr>
        <w:t>CSS Measurement Mappings</w:t>
      </w:r>
    </w:p>
    <w:tbl>
      <w:tblPr>
        <w:tblW w:w="5000" w:type="pct"/>
        <w:jc w:val="start"/>
        <w:tblInd w:w="0" w:type="dxa"/>
        <w:tblLayout w:type="fixed"/>
        <w:tblCellMar>
          <w:top w:w="30" w:type="dxa"/>
          <w:start w:w="60" w:type="dxa"/>
          <w:bottom w:w="30" w:type="dxa"/>
          <w:end w:w="60" w:type="dxa"/>
        </w:tblCellMar>
      </w:tblPr>
      <w:tblGrid>
        <w:gridCol w:w="2000"/>
        <w:gridCol w:w="999"/>
        <w:gridCol w:w="2200"/>
        <w:gridCol w:w="2091"/>
        <w:gridCol w:w="2790"/>
      </w:tblGrid>
      <w:tr>
        <w:trPr/>
        <w:tc>
          <w:tcPr>
            <w:tcW w:w="200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CSS Item</w:t>
            </w:r>
          </w:p>
        </w:tc>
        <w:tc>
          <w:tcPr>
            <w:tcW w:w="999"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ID</w:t>
            </w:r>
          </w:p>
        </w:tc>
        <w:tc>
          <w:tcPr>
            <w:tcW w:w="220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SNOMED Target</w:t>
            </w:r>
          </w:p>
        </w:tc>
        <w:tc>
          <w:tcPr>
            <w:tcW w:w="2091"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Target ID</w:t>
            </w:r>
          </w:p>
        </w:tc>
        <w:tc>
          <w:tcPr>
            <w:tcW w:w="2790"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Quality</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CSS Total Score</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2000001000</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Self-mapped</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Self + Is a Assessment score</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Age of Onset of Regression</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2000001001</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Developmental regression</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43531507</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Onset of Stereotypies</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2000001002</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Repetitive hand wringing</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4171878</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Head Growth</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2000001003</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Microcephaly</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606878</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Somatic Growth</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2000001004</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Failure to thrive</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437986</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Independent Sitting</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2000001005</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Unable to sit</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4106332</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Ambulation</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2000001006</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Abnormal gait</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437643</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Hand Use</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2000001007</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Clumsiness</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4320789</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Scoliosis</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2000001008</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Scoliosis deformity of spine</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72418</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Exact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Language</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2000001009</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Mutism</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4339188</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Nonverbal Communication</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2000001010</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Poor eye contact</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4260763</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Respiratory Dysfunction</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2000001011</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Abnormal breathing</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4305080</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Autonomic Symptoms</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2000001012</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Peripheral cyanosis</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4318406</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Direct</w:t>
            </w:r>
          </w:p>
        </w:tc>
      </w:tr>
      <w:tr>
        <w:trPr/>
        <w:tc>
          <w:tcPr>
            <w:tcW w:w="2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Epilepsy/Seizures</w:t>
            </w:r>
          </w:p>
        </w:tc>
        <w:tc>
          <w:tcPr>
            <w:tcW w:w="999"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2000001013</w:t>
            </w:r>
          </w:p>
        </w:tc>
        <w:tc>
          <w:tcPr>
            <w:tcW w:w="22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Epilepsy</w:t>
            </w:r>
          </w:p>
        </w:tc>
        <w:tc>
          <w:tcPr>
            <w:tcW w:w="209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380378</w:t>
            </w:r>
          </w:p>
        </w:tc>
        <w:tc>
          <w:tcPr>
            <w:tcW w:w="27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Times New Roman" w:cs="Times New Roman"/>
                <w:b w:val="false"/>
                <w:bCs w:val="false"/>
                <w:sz w:val="22"/>
                <w:szCs w:val="22"/>
              </w:rPr>
              <w:t>Exact</w:t>
            </w:r>
          </w:p>
        </w:tc>
      </w:tr>
    </w:tbl>
    <w:p>
      <w:pPr>
        <w:pStyle w:val="Normal"/>
        <w:rPr>
          <w:sz w:val="22"/>
          <w:szCs w:val="22"/>
        </w:rPr>
      </w:pPr>
      <w:r>
        <w:rPr>
          <w:sz w:val="22"/>
          <w:szCs w:val="22"/>
        </w:rPr>
      </w:r>
      <w:r>
        <w:br w:type="page"/>
      </w:r>
    </w:p>
    <w:p>
      <w:pPr>
        <w:pStyle w:val="Heading2"/>
        <w:spacing w:before="0" w:after="160"/>
        <w:rPr>
          <w:sz w:val="22"/>
          <w:szCs w:val="22"/>
        </w:rPr>
      </w:pPr>
      <w:r>
        <w:rPr>
          <w:rFonts w:eastAsia="Times New Roman" w:cs="Times New Roman" w:ascii="Times New Roman" w:hAnsi="Times New Roman"/>
          <w:b/>
          <w:bCs/>
          <w:i/>
          <w:iCs/>
          <w:sz w:val="22"/>
          <w:szCs w:val="22"/>
        </w:rPr>
        <w:t>A3.3. Genotype Mutation Observations (48 concepts → OMOP Genomic)</w:t>
      </w:r>
    </w:p>
    <w:p>
      <w:pPr>
        <w:pStyle w:val="Normal"/>
        <w:spacing w:lineRule="auto" w:line="360" w:before="0" w:after="120"/>
        <w:rPr>
          <w:sz w:val="22"/>
          <w:szCs w:val="22"/>
        </w:rPr>
      </w:pPr>
      <w:r>
        <w:rPr>
          <w:rFonts w:eastAsia="Times New Roman" w:cs="Times New Roman"/>
          <w:sz w:val="22"/>
          <w:szCs w:val="22"/>
        </w:rPr>
        <w:t xml:space="preserve">All 48 mutation-level concepts map to three gene-level OMOP Genomic standard concepts: </w:t>
      </w:r>
      <w:r>
        <w:rPr>
          <w:rFonts w:eastAsia="Times New Roman" w:cs="Times New Roman"/>
          <w:i/>
          <w:iCs/>
          <w:sz w:val="22"/>
          <w:szCs w:val="22"/>
        </w:rPr>
        <w:t>MECP2</w:t>
      </w:r>
      <w:r>
        <w:rPr>
          <w:rFonts w:eastAsia="Times New Roman" w:cs="Times New Roman"/>
          <w:sz w:val="22"/>
          <w:szCs w:val="22"/>
        </w:rPr>
        <w:t xml:space="preserve"> gene variant measurement (35960472, n = 37), </w:t>
      </w:r>
      <w:r>
        <w:rPr>
          <w:rFonts w:eastAsia="Times New Roman" w:cs="Times New Roman"/>
          <w:i/>
          <w:iCs/>
          <w:sz w:val="22"/>
          <w:szCs w:val="22"/>
        </w:rPr>
        <w:t>CDKL5</w:t>
      </w:r>
      <w:r>
        <w:rPr>
          <w:rFonts w:eastAsia="Times New Roman" w:cs="Times New Roman"/>
          <w:sz w:val="22"/>
          <w:szCs w:val="22"/>
        </w:rPr>
        <w:t xml:space="preserve"> gene variant measurement (35959553, n = 6), and </w:t>
      </w:r>
      <w:r>
        <w:rPr>
          <w:rFonts w:eastAsia="Times New Roman" w:cs="Times New Roman"/>
          <w:i/>
          <w:iCs/>
          <w:sz w:val="22"/>
          <w:szCs w:val="22"/>
        </w:rPr>
        <w:t>FOXG1</w:t>
      </w:r>
      <w:r>
        <w:rPr>
          <w:rFonts w:eastAsia="Times New Roman" w:cs="Times New Roman"/>
          <w:sz w:val="22"/>
          <w:szCs w:val="22"/>
        </w:rPr>
        <w:t xml:space="preserve"> gene variant measurement (35955187, n = 5). This gene-level mapping strategy was chosen because IRSF mutation nomenclature uses protein-level notation (e.g., R168X) that does not directly correspond to ClinVar’s transcript-level identifiers. Variant-level distinction is preserved only in the IRSF-NHS source concepts.</w:t>
      </w:r>
    </w:p>
    <w:p>
      <w:pPr>
        <w:pStyle w:val="Normal"/>
        <w:spacing w:before="200" w:after="100"/>
        <w:rPr>
          <w:sz w:val="22"/>
          <w:szCs w:val="22"/>
        </w:rPr>
      </w:pPr>
      <w:r>
        <w:rPr>
          <w:rFonts w:eastAsia="Times New Roman" w:cs="Times New Roman"/>
          <w:b/>
          <w:bCs/>
          <w:sz w:val="22"/>
          <w:szCs w:val="22"/>
        </w:rPr>
        <w:t xml:space="preserve">Table A5a. </w:t>
      </w:r>
      <w:r>
        <w:rPr>
          <w:rFonts w:eastAsia="Times New Roman" w:cs="Times New Roman"/>
          <w:i/>
          <w:iCs/>
          <w:sz w:val="22"/>
          <w:szCs w:val="22"/>
        </w:rPr>
        <w:t>MECP2</w:t>
      </w:r>
      <w:r>
        <w:rPr>
          <w:rFonts w:eastAsia="Times New Roman" w:cs="Times New Roman"/>
          <w:sz w:val="22"/>
          <w:szCs w:val="22"/>
        </w:rPr>
        <w:t xml:space="preserve"> Mutation Mappings (37 concepts → OMOP Genomic 35960472)</w:t>
      </w:r>
    </w:p>
    <w:tbl>
      <w:tblPr>
        <w:tblW w:w="5000" w:type="pct"/>
        <w:jc w:val="start"/>
        <w:tblInd w:w="0" w:type="dxa"/>
        <w:tblLayout w:type="fixed"/>
        <w:tblCellMar>
          <w:top w:w="30" w:type="dxa"/>
          <w:start w:w="60" w:type="dxa"/>
          <w:bottom w:w="30" w:type="dxa"/>
          <w:end w:w="60" w:type="dxa"/>
        </w:tblCellMar>
      </w:tblPr>
      <w:tblGrid>
        <w:gridCol w:w="3000"/>
        <w:gridCol w:w="3480"/>
        <w:gridCol w:w="3600"/>
      </w:tblGrid>
      <w:tr>
        <w:trPr/>
        <w:tc>
          <w:tcPr>
            <w:tcW w:w="300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Mutation</w:t>
            </w:r>
          </w:p>
        </w:tc>
        <w:tc>
          <w:tcPr>
            <w:tcW w:w="3480"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Concept ID</w:t>
            </w:r>
          </w:p>
        </w:tc>
        <w:tc>
          <w:tcPr>
            <w:tcW w:w="360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OMOP Genomic Target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Missense mutations (11)</w:t>
            </w:r>
          </w:p>
        </w:tc>
        <w:tc>
          <w:tcPr>
            <w:tcW w:w="348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R106W (c.C316T)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2000003000</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R133C (c.C397T)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2000003001</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T158M (c.C473T)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2000003002</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L100V (c.C298G)</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2000003003</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R106Q (c.G317A)</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2000003004</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P152R (c.C455G)</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2000003005</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P101R (c.C302G)</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2000003006</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S134C (c.C401G)</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2000003007</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D156E (c.C468G)</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2000003008</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P225R (c.C674G)</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2000003009</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P322L (c.C965T)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2000003010</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Nonsense mutations (6)</w:t>
            </w:r>
          </w:p>
        </w:tc>
        <w:tc>
          <w:tcPr>
            <w:tcW w:w="348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R168X (c.C502T)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2000003011</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R255X (c.C763T)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2000003012</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R270X (c.C808T)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2000003013</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R294X (c.C880T)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2000003014</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Y141X (c.C421G)</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2000003015</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Y141X (c.C423G)</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2000003016</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Small deletions (9)</w:t>
            </w:r>
          </w:p>
        </w:tc>
        <w:tc>
          <w:tcPr>
            <w:tcW w:w="348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710del1</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2000003017</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1157del41</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2000003018</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1163del35</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2000003019</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806del1</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2000003020</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1157del44</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2000003021</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1164del44</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2000003022</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807del1</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2000003023</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1163del26</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2000003024</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1168del6</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2000003025</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Large deletions (5)</w:t>
            </w:r>
          </w:p>
        </w:tc>
        <w:tc>
          <w:tcPr>
            <w:tcW w:w="348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Large Deletion Exon 1-2</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2000003026</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Large Deletion Exon 3</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2000003027</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Large Deletion Exon 3-4</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2000003028</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Large Deletion Exon 4</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2000003029</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Large Deletion Exon 1-4</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2000003030</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Other / Duplication-associated (6)</w:t>
            </w:r>
          </w:p>
        </w:tc>
        <w:tc>
          <w:tcPr>
            <w:tcW w:w="348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Other MCP2 Mutations (legacy)</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2000003031</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Other MECP2 Mutations</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2000003032</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MCP2 Duplications</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2000003033</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Duplication-Associated FLNA</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2000003034</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Duplication-Associated L1CAM</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2000003035</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Duplication-Associated IRAK1</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2000003036</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MECP2 gene variant (35960472)</w:t>
            </w:r>
          </w:p>
        </w:tc>
      </w:tr>
    </w:tbl>
    <w:p>
      <w:pPr>
        <w:pStyle w:val="Normal"/>
        <w:spacing w:before="0" w:after="200"/>
        <w:rPr>
          <w:sz w:val="22"/>
          <w:szCs w:val="22"/>
        </w:rPr>
      </w:pPr>
      <w:r>
        <w:rPr>
          <w:sz w:val="22"/>
          <w:szCs w:val="22"/>
        </w:rPr>
      </w:r>
    </w:p>
    <w:p>
      <w:pPr>
        <w:pStyle w:val="Normal"/>
        <w:spacing w:before="200" w:after="100"/>
        <w:rPr>
          <w:sz w:val="22"/>
          <w:szCs w:val="22"/>
        </w:rPr>
      </w:pPr>
      <w:r>
        <w:rPr>
          <w:rFonts w:eastAsia="Times New Roman" w:cs="Times New Roman"/>
          <w:b/>
          <w:bCs/>
          <w:sz w:val="22"/>
          <w:szCs w:val="22"/>
        </w:rPr>
        <w:t xml:space="preserve">Table A5b. </w:t>
      </w:r>
      <w:r>
        <w:rPr>
          <w:rFonts w:eastAsia="Times New Roman" w:cs="Times New Roman"/>
          <w:i/>
          <w:iCs/>
          <w:sz w:val="22"/>
          <w:szCs w:val="22"/>
        </w:rPr>
        <w:t>CDKL5</w:t>
      </w:r>
      <w:r>
        <w:rPr>
          <w:rFonts w:eastAsia="Times New Roman" w:cs="Times New Roman"/>
          <w:sz w:val="22"/>
          <w:szCs w:val="22"/>
        </w:rPr>
        <w:t xml:space="preserve"> and </w:t>
      </w:r>
      <w:r>
        <w:rPr>
          <w:rFonts w:eastAsia="Times New Roman" w:cs="Times New Roman"/>
          <w:i/>
          <w:iCs/>
          <w:sz w:val="22"/>
          <w:szCs w:val="22"/>
        </w:rPr>
        <w:t>FOXG1</w:t>
      </w:r>
      <w:r>
        <w:rPr>
          <w:rFonts w:eastAsia="Times New Roman" w:cs="Times New Roman"/>
          <w:sz w:val="22"/>
          <w:szCs w:val="22"/>
        </w:rPr>
        <w:t xml:space="preserve"> Mutation Mappings</w:t>
      </w:r>
    </w:p>
    <w:tbl>
      <w:tblPr>
        <w:tblW w:w="5000" w:type="pct"/>
        <w:jc w:val="start"/>
        <w:tblInd w:w="0" w:type="dxa"/>
        <w:tblLayout w:type="fixed"/>
        <w:tblCellMar>
          <w:top w:w="30" w:type="dxa"/>
          <w:start w:w="60" w:type="dxa"/>
          <w:bottom w:w="30" w:type="dxa"/>
          <w:end w:w="60" w:type="dxa"/>
        </w:tblCellMar>
      </w:tblPr>
      <w:tblGrid>
        <w:gridCol w:w="3000"/>
        <w:gridCol w:w="3480"/>
        <w:gridCol w:w="3600"/>
      </w:tblGrid>
      <w:tr>
        <w:trPr/>
        <w:tc>
          <w:tcPr>
            <w:tcW w:w="300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Mutation</w:t>
            </w:r>
          </w:p>
        </w:tc>
        <w:tc>
          <w:tcPr>
            <w:tcW w:w="3480"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Concept ID</w:t>
            </w:r>
          </w:p>
        </w:tc>
        <w:tc>
          <w:tcPr>
            <w:tcW w:w="360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OMOP Genomic Target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CDKL5 → OMOP Genomic 35959553 (6 concepts)</w:t>
            </w:r>
          </w:p>
        </w:tc>
        <w:tc>
          <w:tcPr>
            <w:tcW w:w="348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A40V</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2000003037</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R59X</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2000003038</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Polymorphism Q791P</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2000003039</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Polymorphism R952X</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2000003040</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Other Mutation</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2000003041</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Other Mutation (variant)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2000003046</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bCs/>
                <w:sz w:val="22"/>
                <w:szCs w:val="22"/>
              </w:rPr>
              <w:t>FOXG1 → OMOP Genomic 35955187 (5 concepts)</w:t>
            </w:r>
          </w:p>
        </w:tc>
        <w:tc>
          <w:tcPr>
            <w:tcW w:w="348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sz w:val="22"/>
                <w:szCs w:val="22"/>
              </w:rPr>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N253D</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2000003042</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560dupG</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2000003043</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Other (underscore)</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2000003044</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Other (no underscore)</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2000003045</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r>
        <w:trPr/>
        <w:tc>
          <w:tcPr>
            <w:tcW w:w="30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Other (text)</w:t>
            </w:r>
          </w:p>
        </w:tc>
        <w:tc>
          <w:tcPr>
            <w:tcW w:w="348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2000003047</w:t>
            </w:r>
          </w:p>
        </w:tc>
        <w:tc>
          <w:tcPr>
            <w:tcW w:w="360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 xml:space="preserve"> </w:t>
            </w:r>
            <w:r>
              <w:rPr>
                <w:rFonts w:eastAsia="Times New Roman" w:cs="Times New Roman"/>
                <w:b w:val="false"/>
                <w:bCs w:val="false"/>
                <w:sz w:val="22"/>
                <w:szCs w:val="22"/>
              </w:rPr>
              <w:t>()</w:t>
            </w:r>
          </w:p>
        </w:tc>
      </w:tr>
    </w:tbl>
    <w:p>
      <w:pPr>
        <w:pStyle w:val="Normal"/>
        <w:rPr>
          <w:sz w:val="22"/>
          <w:szCs w:val="22"/>
        </w:rPr>
      </w:pPr>
      <w:r>
        <w:rPr>
          <w:sz w:val="22"/>
          <w:szCs w:val="22"/>
        </w:rPr>
      </w:r>
      <w:r>
        <w:br w:type="page"/>
      </w:r>
    </w:p>
    <w:p>
      <w:pPr>
        <w:pStyle w:val="Heading2"/>
        <w:spacing w:before="0" w:after="160"/>
        <w:rPr>
          <w:sz w:val="22"/>
          <w:szCs w:val="22"/>
        </w:rPr>
      </w:pPr>
      <w:r>
        <w:rPr>
          <w:rFonts w:eastAsia="Times New Roman" w:cs="Times New Roman" w:ascii="Times New Roman" w:hAnsi="Times New Roman"/>
          <w:b/>
          <w:bCs/>
          <w:i/>
          <w:iCs/>
          <w:sz w:val="22"/>
          <w:szCs w:val="22"/>
        </w:rPr>
        <w:t>A3.4. Motor Behavioral Assessment Observations (41 concepts → SNOMED CT)</w:t>
      </w:r>
    </w:p>
    <w:p>
      <w:pPr>
        <w:pStyle w:val="Normal"/>
        <w:spacing w:lineRule="auto" w:line="360" w:before="0" w:after="120"/>
        <w:rPr>
          <w:sz w:val="22"/>
          <w:szCs w:val="22"/>
        </w:rPr>
      </w:pPr>
      <w:r>
        <w:rPr>
          <w:rFonts w:eastAsia="Times New Roman" w:cs="Times New Roman"/>
          <w:sz w:val="22"/>
          <w:szCs w:val="22"/>
        </w:rPr>
        <w:t>MBA items were mapped in three tiers: 25 items with exact or near-exact SNOMED matches, 7 items with approximate broader matches, 5 items with both self-mapping and approximate mapping (bidirectional or Rett-specific behaviors lacking SNOMED representation), and 4 composite scores with self-mappings only.</w:t>
      </w:r>
    </w:p>
    <w:p>
      <w:pPr>
        <w:pStyle w:val="Normal"/>
        <w:spacing w:before="200" w:after="100"/>
        <w:rPr>
          <w:sz w:val="22"/>
          <w:szCs w:val="22"/>
        </w:rPr>
      </w:pPr>
      <w:r>
        <w:rPr>
          <w:rFonts w:eastAsia="Times New Roman" w:cs="Times New Roman"/>
          <w:b/>
          <w:bCs/>
          <w:sz w:val="22"/>
          <w:szCs w:val="22"/>
        </w:rPr>
        <w:t xml:space="preserve">Table A6. </w:t>
      </w:r>
      <w:r>
        <w:rPr>
          <w:rFonts w:eastAsia="Times New Roman" w:cs="Times New Roman"/>
          <w:sz w:val="22"/>
          <w:szCs w:val="22"/>
        </w:rPr>
        <w:t>MBA Observation Mappings (41 concepts)</w:t>
      </w:r>
    </w:p>
    <w:p>
      <w:pPr>
        <w:pStyle w:val="Normal"/>
        <w:spacing w:before="200" w:after="120"/>
        <w:rPr>
          <w:sz w:val="22"/>
          <w:szCs w:val="22"/>
        </w:rPr>
      </w:pPr>
      <w:r>
        <w:rPr>
          <w:rFonts w:eastAsia="Times New Roman" w:cs="Times New Roman"/>
          <w:b/>
          <w:bCs/>
          <w:sz w:val="22"/>
          <w:szCs w:val="22"/>
        </w:rPr>
        <w:t>Direct and Near Matches (25 items)</w:t>
      </w:r>
    </w:p>
    <w:tbl>
      <w:tblPr>
        <w:tblW w:w="5000" w:type="pct"/>
        <w:jc w:val="start"/>
        <w:tblInd w:w="0" w:type="dxa"/>
        <w:tblLayout w:type="fixed"/>
        <w:tblCellMar>
          <w:top w:w="30" w:type="dxa"/>
          <w:start w:w="60" w:type="dxa"/>
          <w:bottom w:w="30" w:type="dxa"/>
          <w:end w:w="60" w:type="dxa"/>
        </w:tblCellMar>
      </w:tblPr>
      <w:tblGrid>
        <w:gridCol w:w="1799"/>
        <w:gridCol w:w="901"/>
        <w:gridCol w:w="1999"/>
        <w:gridCol w:w="901"/>
        <w:gridCol w:w="4480"/>
      </w:tblGrid>
      <w:tr>
        <w:trPr/>
        <w:tc>
          <w:tcPr>
            <w:tcW w:w="1799"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MBA Item</w:t>
            </w:r>
          </w:p>
        </w:tc>
        <w:tc>
          <w:tcPr>
            <w:tcW w:w="901"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ID</w:t>
            </w:r>
          </w:p>
        </w:tc>
        <w:tc>
          <w:tcPr>
            <w:tcW w:w="1999"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SNOMED Target</w:t>
            </w:r>
          </w:p>
        </w:tc>
        <w:tc>
          <w:tcPr>
            <w:tcW w:w="901"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Target ID</w:t>
            </w:r>
          </w:p>
        </w:tc>
        <w:tc>
          <w:tcPr>
            <w:tcW w:w="448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Quality / Note</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Bruxism</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2000002021</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Bruxism</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4099943</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Seizures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2000002018</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Seizure</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377091</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Dystonia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2000002033</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Dystonia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375800</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Bradykinesia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2000002032</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Bradykinesia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4161417</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Myoclonus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2000002036</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Myoclonus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441553</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Hyperreflexia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2000002039</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Hyperreflexia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4313132</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Aggressive Behavior</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2000002017</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Aggressive behavior</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4266361</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Hyperventilation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2000002023</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Hyperventilation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316814</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Scoliosis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2000002035</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Scoliosis deformity of spine</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72418</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Stereotypic Hand Activities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2000002028</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Repetitive hand wringing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4171878</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Feeding Difficulties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2000002012</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Feeding difficulties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434750</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Chewing Difficulties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2000002013</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Difficulty chewing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4012491</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Breath Holding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2000002022</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Breath holding spell</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37016868</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Self-Mutilating/Scratching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2000002016</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Self-injurious behavior</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4092411</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Poor Eye/Social Contact</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2000002006</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Poor eye contact</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4260763</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Masturbation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2000002015</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Masturbation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4069957</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Lack of Toilet Training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2000002014</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Delayed toilet training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4089215</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Insensitivity to Pain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2000002019</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Indifference to pain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4057307</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Truncal Rocking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2000002030</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Involuntary truncal rocking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4311298</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Exact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Motor Skills Regression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2000002004</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Developmental regression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43531507</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Near</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Verbal Skills Regression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2000002005</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Expressive language delay</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4039748</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Near</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Hand Clumsiness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2000002027</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Clumsiness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4320789</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Near</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Irritability/Crying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2000002008</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Feeling irritable</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4184149</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Near</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Lack of Sustained Interest</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2000002007</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Inattention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4318665</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Near</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Speech Disturbance</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2000002020</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Motor speech disorder</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4047111</w:t>
            </w:r>
          </w:p>
        </w:tc>
        <w:tc>
          <w:tcPr>
            <w:tcW w:w="448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Near</w:t>
            </w:r>
          </w:p>
        </w:tc>
      </w:tr>
    </w:tbl>
    <w:p>
      <w:pPr>
        <w:pStyle w:val="Normal"/>
        <w:rPr>
          <w:sz w:val="22"/>
          <w:szCs w:val="22"/>
        </w:rPr>
      </w:pPr>
      <w:r>
        <w:rPr>
          <w:sz w:val="22"/>
          <w:szCs w:val="22"/>
        </w:rPr>
      </w:r>
      <w:r>
        <w:br w:type="page"/>
      </w:r>
    </w:p>
    <w:p>
      <w:pPr>
        <w:pStyle w:val="Normal"/>
        <w:spacing w:before="0" w:after="120"/>
        <w:rPr>
          <w:sz w:val="22"/>
          <w:szCs w:val="22"/>
        </w:rPr>
      </w:pPr>
      <w:r>
        <w:rPr>
          <w:rFonts w:eastAsia="Times New Roman" w:cs="Times New Roman"/>
          <w:b/>
          <w:bCs/>
          <w:sz w:val="22"/>
          <w:szCs w:val="22"/>
        </w:rPr>
        <w:t>Approximate Broader Matches (7 items)</w:t>
      </w:r>
    </w:p>
    <w:tbl>
      <w:tblPr>
        <w:tblW w:w="9990" w:type="dxa"/>
        <w:jc w:val="start"/>
        <w:tblInd w:w="0" w:type="dxa"/>
        <w:tblLayout w:type="fixed"/>
        <w:tblCellMar>
          <w:top w:w="30" w:type="dxa"/>
          <w:start w:w="60" w:type="dxa"/>
          <w:bottom w:w="30" w:type="dxa"/>
          <w:end w:w="60" w:type="dxa"/>
        </w:tblCellMar>
      </w:tblPr>
      <w:tblGrid>
        <w:gridCol w:w="1799"/>
        <w:gridCol w:w="901"/>
        <w:gridCol w:w="1999"/>
        <w:gridCol w:w="901"/>
        <w:gridCol w:w="4390"/>
      </w:tblGrid>
      <w:tr>
        <w:trPr/>
        <w:tc>
          <w:tcPr>
            <w:tcW w:w="1799"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MBA Item</w:t>
            </w:r>
          </w:p>
        </w:tc>
        <w:tc>
          <w:tcPr>
            <w:tcW w:w="901"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ID</w:t>
            </w:r>
          </w:p>
        </w:tc>
        <w:tc>
          <w:tcPr>
            <w:tcW w:w="1999"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SNOMED Target</w:t>
            </w:r>
          </w:p>
        </w:tc>
        <w:tc>
          <w:tcPr>
            <w:tcW w:w="901"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Target ID</w:t>
            </w:r>
          </w:p>
        </w:tc>
        <w:tc>
          <w:tcPr>
            <w:tcW w:w="439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Quality / Note</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Ataxia/Apraxia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2000002029</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Ataxia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437584</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Ataxia only; apraxia lost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Chorea/Athetosis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2000002037</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Chorea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440990</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Chorea only; athetosis lost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Hypertonia/Rigidity</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2000002038</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Muscular hypertonicity</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4218799</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Hypertonia only</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Air/Saliva Expulsion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2000002024</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Excessive salivation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4207204</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Saliva only; air lost</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Oculogyric Movements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2000002031</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Oculogyric crisis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4205592</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w:t>
            </w:r>
            <w:r>
              <w:rPr>
                <w:rFonts w:eastAsia="Times New Roman" w:cs="Times New Roman"/>
                <w:b w:val="false"/>
                <w:bCs w:val="false"/>
                <w:sz w:val="22"/>
                <w:szCs w:val="22"/>
              </w:rPr>
              <w:t>Crisis” implies more acute</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Biting Self/Others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2000002026</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Self-injurious behavior</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4092411</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Self-biting only</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Vasomotor Disturbance</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2000002040</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Cold feet</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4154763</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Main Rett manifestation</w:t>
            </w:r>
          </w:p>
        </w:tc>
      </w:tr>
    </w:tbl>
    <w:p>
      <w:pPr>
        <w:pStyle w:val="Normal"/>
        <w:spacing w:before="0" w:after="200"/>
        <w:rPr>
          <w:sz w:val="22"/>
          <w:szCs w:val="22"/>
        </w:rPr>
      </w:pPr>
      <w:r>
        <w:rPr>
          <w:sz w:val="22"/>
          <w:szCs w:val="22"/>
        </w:rPr>
      </w:r>
    </w:p>
    <w:p>
      <w:pPr>
        <w:pStyle w:val="Normal"/>
        <w:spacing w:before="200" w:after="120"/>
        <w:rPr>
          <w:sz w:val="22"/>
          <w:szCs w:val="22"/>
        </w:rPr>
      </w:pPr>
      <w:r>
        <w:rPr>
          <w:rFonts w:eastAsia="Times New Roman" w:cs="Times New Roman"/>
          <w:b/>
          <w:bCs/>
          <w:sz w:val="22"/>
          <w:szCs w:val="22"/>
        </w:rPr>
        <w:t>Self-Mapped with Approximate External Mapping (5 items)</w:t>
      </w:r>
    </w:p>
    <w:tbl>
      <w:tblPr>
        <w:tblW w:w="9990" w:type="dxa"/>
        <w:jc w:val="start"/>
        <w:tblInd w:w="0" w:type="dxa"/>
        <w:tblLayout w:type="fixed"/>
        <w:tblCellMar>
          <w:top w:w="30" w:type="dxa"/>
          <w:start w:w="60" w:type="dxa"/>
          <w:bottom w:w="30" w:type="dxa"/>
          <w:end w:w="60" w:type="dxa"/>
        </w:tblCellMar>
      </w:tblPr>
      <w:tblGrid>
        <w:gridCol w:w="1799"/>
        <w:gridCol w:w="901"/>
        <w:gridCol w:w="1999"/>
        <w:gridCol w:w="901"/>
        <w:gridCol w:w="4390"/>
      </w:tblGrid>
      <w:tr>
        <w:trPr/>
        <w:tc>
          <w:tcPr>
            <w:tcW w:w="1799"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MBA Item</w:t>
            </w:r>
          </w:p>
        </w:tc>
        <w:tc>
          <w:tcPr>
            <w:tcW w:w="901"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ID</w:t>
            </w:r>
          </w:p>
        </w:tc>
        <w:tc>
          <w:tcPr>
            <w:tcW w:w="1999"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SNOMED Target</w:t>
            </w:r>
          </w:p>
        </w:tc>
        <w:tc>
          <w:tcPr>
            <w:tcW w:w="901"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Target ID</w:t>
            </w:r>
          </w:p>
        </w:tc>
        <w:tc>
          <w:tcPr>
            <w:tcW w:w="4390"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Quality / Note</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Over-active/Over-passive</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2000002009</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Psychomotor agitation</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4187507</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Bidirectional item</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Does Not Reach</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2000002010</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Gross motor impairment</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4027312</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No SNOMED “failure to reach”</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Does Not Follow Verbal Acts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2000002011</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Receptive language disorder</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443443</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Approximate</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Mouthing Hands/Objects</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2000002025</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Stereotypy habit disorder</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4207660</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Oral behavior not in SNOMED</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Hypomimia</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2000002034</w:t>
            </w:r>
          </w:p>
        </w:tc>
        <w:tc>
          <w:tcPr>
            <w:tcW w:w="19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Motor function behavior finding</w:t>
            </w:r>
          </w:p>
        </w:tc>
        <w:tc>
          <w:tcPr>
            <w:tcW w:w="901"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433453</w:t>
            </w:r>
          </w:p>
        </w:tc>
        <w:tc>
          <w:tcPr>
            <w:tcW w:w="4390"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Hypomimia not in SNOMED</w:t>
            </w:r>
          </w:p>
        </w:tc>
      </w:tr>
    </w:tbl>
    <w:p>
      <w:pPr>
        <w:pStyle w:val="Normal"/>
        <w:spacing w:lineRule="auto" w:line="360" w:before="0" w:after="120"/>
        <w:rPr>
          <w:sz w:val="22"/>
          <w:szCs w:val="22"/>
        </w:rPr>
      </w:pPr>
      <w:r>
        <w:rPr>
          <w:rFonts w:eastAsia="Times New Roman" w:cs="Times New Roman"/>
          <w:i/>
          <w:iCs/>
          <w:sz w:val="22"/>
          <w:szCs w:val="22"/>
        </w:rPr>
        <w:t>These 5 items received both a self-mapping (retaining as IRSF-NHS standard concepts) and an approximate Maps to relationship to the listed SNOMED target.</w:t>
      </w:r>
    </w:p>
    <w:p>
      <w:pPr>
        <w:pStyle w:val="Normal"/>
        <w:spacing w:before="200" w:after="120"/>
        <w:rPr>
          <w:sz w:val="22"/>
          <w:szCs w:val="22"/>
        </w:rPr>
      </w:pPr>
      <w:r>
        <w:rPr>
          <w:rFonts w:eastAsia="Times New Roman" w:cs="Times New Roman"/>
          <w:b/>
          <w:bCs/>
          <w:sz w:val="22"/>
          <w:szCs w:val="22"/>
        </w:rPr>
        <w:t>Composite Scores — Self-Mapped Only (4 items)</w:t>
      </w:r>
    </w:p>
    <w:tbl>
      <w:tblPr>
        <w:tblW w:w="9990" w:type="dxa"/>
        <w:jc w:val="start"/>
        <w:tblInd w:w="0" w:type="dxa"/>
        <w:tblLayout w:type="fixed"/>
        <w:tblCellMar>
          <w:top w:w="30" w:type="dxa"/>
          <w:start w:w="60" w:type="dxa"/>
          <w:bottom w:w="30" w:type="dxa"/>
          <w:end w:w="60" w:type="dxa"/>
        </w:tblCellMar>
      </w:tblPr>
      <w:tblGrid>
        <w:gridCol w:w="1799"/>
        <w:gridCol w:w="900"/>
        <w:gridCol w:w="2001"/>
        <w:gridCol w:w="5290"/>
      </w:tblGrid>
      <w:tr>
        <w:trPr/>
        <w:tc>
          <w:tcPr>
            <w:tcW w:w="1799"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MBA Item</w:t>
            </w:r>
          </w:p>
        </w:tc>
        <w:tc>
          <w:tcPr>
            <w:tcW w:w="900"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ID</w:t>
            </w:r>
          </w:p>
        </w:tc>
        <w:tc>
          <w:tcPr>
            <w:tcW w:w="2001" w:type="dxa"/>
            <w:tcBorders>
              <w:top w:val="single" w:sz="2" w:space="0" w:color="999999"/>
              <w:bottom w:val="single" w:sz="2" w:space="0" w:color="999999"/>
            </w:tcBorders>
            <w:shd w:fill="E8EDF2" w:val="clear"/>
          </w:tcPr>
          <w:p>
            <w:pPr>
              <w:pStyle w:val="Normal"/>
              <w:spacing w:lineRule="auto" w:line="221" w:before="0" w:after="0"/>
              <w:jc w:val="start"/>
              <w:rPr>
                <w:sz w:val="22"/>
                <w:szCs w:val="22"/>
              </w:rPr>
            </w:pPr>
            <w:r>
              <w:rPr>
                <w:rFonts w:eastAsia="Times New Roman" w:cs="Times New Roman"/>
                <w:b/>
                <w:bCs/>
                <w:sz w:val="22"/>
                <w:szCs w:val="22"/>
              </w:rPr>
              <w:t>Hierarchy</w:t>
            </w:r>
          </w:p>
        </w:tc>
        <w:tc>
          <w:tcPr>
            <w:tcW w:w="5290" w:type="dxa"/>
            <w:tcBorders>
              <w:top w:val="single" w:sz="2" w:space="0" w:color="999999"/>
              <w:bottom w:val="single" w:sz="2" w:space="0" w:color="999999"/>
            </w:tcBorders>
            <w:shd w:fill="E8EDF2" w:val="clear"/>
          </w:tcPr>
          <w:p>
            <w:pPr>
              <w:pStyle w:val="Normal"/>
              <w:spacing w:lineRule="auto" w:line="221" w:before="0" w:after="0"/>
              <w:jc w:val="center"/>
              <w:rPr>
                <w:sz w:val="22"/>
                <w:szCs w:val="22"/>
              </w:rPr>
            </w:pPr>
            <w:r>
              <w:rPr>
                <w:rFonts w:eastAsia="Times New Roman" w:cs="Times New Roman"/>
                <w:b/>
                <w:bCs/>
                <w:sz w:val="22"/>
                <w:szCs w:val="22"/>
              </w:rPr>
              <w:t>Parent ID</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Grand Total</w:t>
            </w:r>
          </w:p>
        </w:tc>
        <w:tc>
          <w:tcPr>
            <w:tcW w:w="90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2000002000</w:t>
            </w:r>
          </w:p>
        </w:tc>
        <w:tc>
          <w:tcPr>
            <w:tcW w:w="20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Assessment score (Is a)</w:t>
            </w:r>
          </w:p>
        </w:tc>
        <w:tc>
          <w:tcPr>
            <w:tcW w:w="52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36684305</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Behavioral/Social Subtotal</w:t>
            </w:r>
          </w:p>
        </w:tc>
        <w:tc>
          <w:tcPr>
            <w:tcW w:w="90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2000002001</w:t>
            </w:r>
          </w:p>
        </w:tc>
        <w:tc>
          <w:tcPr>
            <w:tcW w:w="20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Assessment score (Is a)</w:t>
            </w:r>
          </w:p>
        </w:tc>
        <w:tc>
          <w:tcPr>
            <w:tcW w:w="52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36684305</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Orofacial/Respiratory Subtotal</w:t>
            </w:r>
          </w:p>
        </w:tc>
        <w:tc>
          <w:tcPr>
            <w:tcW w:w="90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2000002002</w:t>
            </w:r>
          </w:p>
        </w:tc>
        <w:tc>
          <w:tcPr>
            <w:tcW w:w="20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Assessment score (Is a)</w:t>
            </w:r>
          </w:p>
        </w:tc>
        <w:tc>
          <w:tcPr>
            <w:tcW w:w="52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36684305</w:t>
            </w:r>
          </w:p>
        </w:tc>
      </w:tr>
      <w:tr>
        <w:trPr/>
        <w:tc>
          <w:tcPr>
            <w:tcW w:w="1799"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Motor/Physical Subtotal</w:t>
            </w:r>
          </w:p>
        </w:tc>
        <w:tc>
          <w:tcPr>
            <w:tcW w:w="90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2000002003</w:t>
            </w:r>
          </w:p>
        </w:tc>
        <w:tc>
          <w:tcPr>
            <w:tcW w:w="2001" w:type="dxa"/>
            <w:tcBorders>
              <w:top w:val="single" w:sz="2" w:space="0" w:color="999999"/>
              <w:bottom w:val="single" w:sz="2" w:space="0" w:color="999999"/>
            </w:tcBorders>
          </w:tcPr>
          <w:p>
            <w:pPr>
              <w:pStyle w:val="Normal"/>
              <w:spacing w:lineRule="auto" w:line="221" w:before="0" w:after="0"/>
              <w:jc w:val="start"/>
              <w:rPr>
                <w:sz w:val="22"/>
                <w:szCs w:val="22"/>
              </w:rPr>
            </w:pPr>
            <w:r>
              <w:rPr>
                <w:rFonts w:eastAsia="Times New Roman" w:cs="Times New Roman"/>
                <w:b w:val="false"/>
                <w:bCs w:val="false"/>
                <w:sz w:val="22"/>
                <w:szCs w:val="22"/>
              </w:rPr>
              <w:t>Assessment score (Is a)</w:t>
            </w:r>
          </w:p>
        </w:tc>
        <w:tc>
          <w:tcPr>
            <w:tcW w:w="5290" w:type="dxa"/>
            <w:tcBorders>
              <w:top w:val="single" w:sz="2" w:space="0" w:color="999999"/>
              <w:bottom w:val="single" w:sz="2" w:space="0" w:color="999999"/>
            </w:tcBorders>
          </w:tcPr>
          <w:p>
            <w:pPr>
              <w:pStyle w:val="Normal"/>
              <w:spacing w:lineRule="auto" w:line="221" w:before="0" w:after="0"/>
              <w:jc w:val="center"/>
              <w:rPr>
                <w:sz w:val="22"/>
                <w:szCs w:val="22"/>
              </w:rPr>
            </w:pPr>
            <w:r>
              <w:rPr>
                <w:rFonts w:eastAsia="Courier New" w:cs="Courier New" w:ascii="Courier New" w:hAnsi="Courier New"/>
                <w:b w:val="false"/>
                <w:bCs w:val="false"/>
                <w:sz w:val="22"/>
                <w:szCs w:val="22"/>
              </w:rPr>
              <w:t>36684305</w:t>
            </w:r>
          </w:p>
        </w:tc>
      </w:tr>
    </w:tbl>
    <w:p>
      <w:pPr>
        <w:pStyle w:val="Normal"/>
        <w:rPr>
          <w:sz w:val="22"/>
          <w:szCs w:val="22"/>
        </w:rPr>
      </w:pPr>
      <w:r>
        <w:rPr>
          <w:sz w:val="22"/>
          <w:szCs w:val="22"/>
        </w:rPr>
      </w:r>
      <w:r>
        <w:br w:type="page"/>
      </w:r>
    </w:p>
    <w:p>
      <w:pPr>
        <w:pStyle w:val="Heading1"/>
        <w:spacing w:before="0" w:after="200"/>
        <w:rPr>
          <w:sz w:val="22"/>
          <w:szCs w:val="22"/>
        </w:rPr>
      </w:pPr>
      <w:r>
        <w:rPr>
          <w:rFonts w:eastAsia="Times New Roman" w:cs="Times New Roman" w:ascii="Times New Roman" w:hAnsi="Times New Roman"/>
          <w:b/>
          <w:bCs/>
          <w:sz w:val="22"/>
          <w:szCs w:val="22"/>
        </w:rPr>
        <w:t>A4. Mapping Limitations</w:t>
      </w:r>
    </w:p>
    <w:p>
      <w:pPr>
        <w:pStyle w:val="Heading2"/>
        <w:spacing w:before="240" w:after="160"/>
        <w:rPr>
          <w:sz w:val="22"/>
          <w:szCs w:val="22"/>
        </w:rPr>
      </w:pPr>
      <w:r>
        <w:rPr>
          <w:rFonts w:eastAsia="Times New Roman" w:cs="Times New Roman" w:ascii="Times New Roman" w:hAnsi="Times New Roman"/>
          <w:b/>
          <w:bCs/>
          <w:i/>
          <w:iCs/>
          <w:sz w:val="22"/>
          <w:szCs w:val="22"/>
        </w:rPr>
        <w:t>Variant-Level Information Loss in Genotype Mappings</w:t>
      </w:r>
    </w:p>
    <w:p>
      <w:pPr>
        <w:pStyle w:val="Normal"/>
        <w:spacing w:lineRule="auto" w:line="360" w:before="0" w:after="120"/>
        <w:rPr>
          <w:sz w:val="22"/>
          <w:szCs w:val="22"/>
        </w:rPr>
      </w:pPr>
      <w:r>
        <w:rPr>
          <w:rFonts w:eastAsia="Times New Roman" w:cs="Times New Roman"/>
          <w:sz w:val="22"/>
          <w:szCs w:val="22"/>
        </w:rPr>
        <w:t xml:space="preserve">The most significant information loss occurs in the genotype domain. All 37 </w:t>
      </w:r>
      <w:r>
        <w:rPr>
          <w:rFonts w:eastAsia="Times New Roman" w:cs="Times New Roman"/>
          <w:i/>
          <w:iCs/>
          <w:sz w:val="22"/>
          <w:szCs w:val="22"/>
        </w:rPr>
        <w:t>MECP2</w:t>
      </w:r>
      <w:r>
        <w:rPr>
          <w:rFonts w:eastAsia="Times New Roman" w:cs="Times New Roman"/>
          <w:sz w:val="22"/>
          <w:szCs w:val="22"/>
        </w:rPr>
        <w:t xml:space="preserve"> mutation-level concepts collapse to a single OMOP Genomic gene-level concept (35960472). A federated OHDSI query for “any MECP2 variant” will correctly discover all IRSF-NHS patients, but a query for “R168X specifically” cannot use standard concept navigation and must instead reference the IRSF-NHS source concept directly (2000003011). This is an inherent limitation of the current OMOP Genomic vocabulary, which provides gene-level but not variant-level standardization for most loci. Future adoption of ClinVar variant-level concepts in OMOP could enable more granular mapping.</w:t>
      </w:r>
    </w:p>
    <w:p>
      <w:pPr>
        <w:pStyle w:val="Heading2"/>
        <w:spacing w:before="240" w:after="160"/>
        <w:rPr>
          <w:sz w:val="22"/>
          <w:szCs w:val="22"/>
        </w:rPr>
      </w:pPr>
      <w:r>
        <w:rPr>
          <w:rFonts w:eastAsia="Times New Roman" w:cs="Times New Roman" w:ascii="Times New Roman" w:hAnsi="Times New Roman"/>
          <w:b/>
          <w:bCs/>
          <w:i/>
          <w:iCs/>
          <w:sz w:val="22"/>
          <w:szCs w:val="22"/>
        </w:rPr>
        <w:t>Semantic Gap in CSS/MBA Severity-to-Finding Mappings</w:t>
      </w:r>
    </w:p>
    <w:p>
      <w:pPr>
        <w:pStyle w:val="Normal"/>
        <w:spacing w:lineRule="auto" w:line="360" w:before="0" w:after="120"/>
        <w:rPr>
          <w:sz w:val="22"/>
          <w:szCs w:val="22"/>
        </w:rPr>
      </w:pPr>
      <w:r>
        <w:rPr>
          <w:rFonts w:eastAsia="Times New Roman" w:cs="Times New Roman"/>
          <w:sz w:val="22"/>
          <w:szCs w:val="22"/>
        </w:rPr>
        <w:t>CSS and MBA items are ordinal severity ratings, not binary diagnoses. Mapping CSS Scoliosis (2000001008) to SNOMED “Scoliosis deformity of spine” (72418) creates a semantic gap: a CSS scoliosis score of 0 (no scoliosis) will appear linked to the SNOMED scoliosis concept. Researchers using standard concept–based queries should be aware that the mapping indicates “this measurement assesses scoliosis severity” rather than “this patient has scoliosis.” The value_as_number field in the measurement table must be consulted to determine whether the finding is present.</w:t>
      </w:r>
    </w:p>
    <w:p>
      <w:pPr>
        <w:pStyle w:val="Heading2"/>
        <w:spacing w:before="240" w:after="160"/>
        <w:rPr>
          <w:sz w:val="22"/>
          <w:szCs w:val="22"/>
        </w:rPr>
      </w:pPr>
      <w:r>
        <w:rPr>
          <w:rFonts w:eastAsia="Times New Roman" w:cs="Times New Roman" w:ascii="Times New Roman" w:hAnsi="Times New Roman"/>
          <w:b/>
          <w:bCs/>
          <w:i/>
          <w:iCs/>
          <w:sz w:val="22"/>
          <w:szCs w:val="22"/>
        </w:rPr>
        <w:t>Compound Behavioral Items</w:t>
      </w:r>
    </w:p>
    <w:p>
      <w:pPr>
        <w:pStyle w:val="Normal"/>
        <w:spacing w:lineRule="auto" w:line="360" w:before="0" w:after="120"/>
        <w:rPr>
          <w:sz w:val="22"/>
          <w:szCs w:val="22"/>
        </w:rPr>
      </w:pPr>
      <w:r>
        <w:rPr>
          <w:rFonts w:eastAsia="Times New Roman" w:cs="Times New Roman"/>
          <w:sz w:val="22"/>
          <w:szCs w:val="22"/>
        </w:rPr>
        <w:t>Seven MBA items describe compound clinical phenomena (e.g., “Ataxia/Apraxia,” “Chorea/Athetosis,” “Hypertonia/Rigidity”). In each case, only one component could be mapped to SNOMED, losing the second. This reflects a limitation in the source instrument’s design (combining related but distinct findings into single items) that cannot be fully resolved through vocabulary mapping alone.</w:t>
      </w:r>
    </w:p>
    <w:p>
      <w:pPr>
        <w:pStyle w:val="Heading2"/>
        <w:spacing w:before="240" w:after="160"/>
        <w:rPr>
          <w:sz w:val="22"/>
          <w:szCs w:val="22"/>
        </w:rPr>
      </w:pPr>
      <w:r>
        <w:rPr>
          <w:rFonts w:eastAsia="Times New Roman" w:cs="Times New Roman" w:ascii="Times New Roman" w:hAnsi="Times New Roman"/>
          <w:b/>
          <w:bCs/>
          <w:i/>
          <w:iCs/>
          <w:sz w:val="22"/>
          <w:szCs w:val="22"/>
        </w:rPr>
        <w:t>Rett-Specific Behavioral Items Without SNOMED Representation</w:t>
      </w:r>
    </w:p>
    <w:p>
      <w:pPr>
        <w:pStyle w:val="Normal"/>
        <w:spacing w:lineRule="auto" w:line="360" w:before="0" w:after="120"/>
        <w:rPr>
          <w:sz w:val="22"/>
          <w:szCs w:val="22"/>
        </w:rPr>
      </w:pPr>
      <w:r>
        <w:rPr>
          <w:rFonts w:eastAsia="Times New Roman" w:cs="Times New Roman"/>
          <w:sz w:val="22"/>
          <w:szCs w:val="22"/>
        </w:rPr>
        <w:t>Five MBA items describe Rett syndrome–specific behavioral patterns that have no precise SNOMED equivalent: “Over-active or Over-passive” (a bidirectional item), “Does Not Reach for Objects/People,” “Does Not Follow Verbal Acts/Appears Deaf,” “Mouthing Hands/Objects,” and “Hypomimia.” These received both self-mappings and approximate broader mappings to ensure partial discoverability through standard queries while retaining their full semantic content as IRSF-NHS standard concepts.</w:t>
      </w:r>
    </w:p>
    <w:p>
      <w:pPr>
        <w:pStyle w:val="Heading1"/>
        <w:spacing w:before="360" w:after="200"/>
        <w:rPr>
          <w:sz w:val="22"/>
          <w:szCs w:val="22"/>
        </w:rPr>
      </w:pPr>
      <w:r>
        <w:rPr>
          <w:rFonts w:eastAsia="Times New Roman" w:cs="Times New Roman" w:ascii="Times New Roman" w:hAnsi="Times New Roman"/>
          <w:b/>
          <w:bCs/>
          <w:sz w:val="22"/>
          <w:szCs w:val="22"/>
        </w:rPr>
        <w:t>A5. Implications for OHDSI Network Interoperability</w:t>
      </w:r>
    </w:p>
    <w:p>
      <w:pPr>
        <w:pStyle w:val="Normal"/>
        <w:spacing w:lineRule="auto" w:line="360" w:before="0" w:after="120"/>
        <w:rPr>
          <w:sz w:val="22"/>
          <w:szCs w:val="22"/>
        </w:rPr>
      </w:pPr>
      <w:r>
        <w:rPr>
          <w:rFonts w:eastAsia="Times New Roman" w:cs="Times New Roman"/>
          <w:sz w:val="22"/>
          <w:szCs w:val="22"/>
        </w:rPr>
        <w:t>The vocabulary mapping described here transforms the IRSF-NHS dataset from an isolated registry into a participant in the global OHDSI network. Four specific capabilities are now enabled:</w:t>
      </w:r>
    </w:p>
    <w:p>
      <w:pPr>
        <w:pStyle w:val="Normal"/>
        <w:spacing w:lineRule="auto" w:line="360" w:before="0" w:after="120"/>
        <w:rPr>
          <w:sz w:val="22"/>
          <w:szCs w:val="22"/>
        </w:rPr>
      </w:pPr>
      <w:r>
        <w:rPr>
          <w:rFonts w:eastAsia="Times New Roman" w:cs="Times New Roman"/>
          <w:b/>
          <w:bCs/>
          <w:sz w:val="22"/>
          <w:szCs w:val="22"/>
        </w:rPr>
        <w:t xml:space="preserve">Standard cohort definitions now discover IRSF patients. </w:t>
      </w:r>
      <w:r>
        <w:rPr>
          <w:rFonts w:eastAsia="Times New Roman" w:cs="Times New Roman"/>
          <w:sz w:val="22"/>
          <w:szCs w:val="22"/>
        </w:rPr>
        <w:t xml:space="preserve">A cohort definition using SNOMED “Rett syndrome” (4288480) with </w:t>
      </w:r>
      <w:r>
        <w:rPr>
          <w:rFonts w:eastAsia="Courier New" w:cs="Courier New" w:ascii="Courier New" w:hAnsi="Courier New"/>
          <w:sz w:val="22"/>
          <w:szCs w:val="22"/>
        </w:rPr>
        <w:t>includeDescendants = true</w:t>
      </w:r>
      <w:r>
        <w:rPr>
          <w:rFonts w:eastAsia="Times New Roman" w:cs="Times New Roman"/>
          <w:sz w:val="22"/>
          <w:szCs w:val="22"/>
        </w:rPr>
        <w:t xml:space="preserve"> will discover patients coded with IRSF Classic Rett Syndrome (2000004000) through the </w:t>
      </w:r>
      <w:r>
        <w:rPr>
          <w:rFonts w:eastAsia="Courier New" w:cs="Courier New" w:ascii="Courier New" w:hAnsi="Courier New"/>
          <w:sz w:val="22"/>
          <w:szCs w:val="22"/>
        </w:rPr>
        <w:t>Maps to</w:t>
      </w:r>
      <w:r>
        <w:rPr>
          <w:rFonts w:eastAsia="Times New Roman" w:cs="Times New Roman"/>
          <w:sz w:val="22"/>
          <w:szCs w:val="22"/>
        </w:rPr>
        <w:t xml:space="preserve"> relationship. Prior to this mapping, these patients were invisible to standard cohort queries.</w:t>
      </w:r>
    </w:p>
    <w:p>
      <w:pPr>
        <w:pStyle w:val="Normal"/>
        <w:spacing w:lineRule="auto" w:line="360" w:before="0" w:after="120"/>
        <w:rPr>
          <w:sz w:val="22"/>
          <w:szCs w:val="22"/>
        </w:rPr>
      </w:pPr>
      <w:r>
        <w:rPr>
          <w:rFonts w:eastAsia="Times New Roman" w:cs="Times New Roman"/>
          <w:b/>
          <w:bCs/>
          <w:sz w:val="22"/>
          <w:szCs w:val="22"/>
        </w:rPr>
        <w:t xml:space="preserve">Cross-network federated studies can include IRSF data. </w:t>
      </w:r>
      <w:r>
        <w:rPr>
          <w:rFonts w:eastAsia="Times New Roman" w:cs="Times New Roman"/>
          <w:sz w:val="22"/>
          <w:szCs w:val="22"/>
        </w:rPr>
        <w:t>Federated studies using OHDSI standard concept IDs—for example, an international study of epilepsy prevalence in neurodevelopmental disorders—can now include IRSF-NHS data alongside other OMOP-encoded databases without manual reconciliation.</w:t>
      </w:r>
    </w:p>
    <w:p>
      <w:pPr>
        <w:pStyle w:val="Normal"/>
        <w:spacing w:lineRule="auto" w:line="360" w:before="0" w:after="120"/>
        <w:rPr>
          <w:sz w:val="22"/>
          <w:szCs w:val="22"/>
        </w:rPr>
      </w:pPr>
      <w:r>
        <w:rPr>
          <w:rFonts w:eastAsia="Times New Roman" w:cs="Times New Roman"/>
          <w:b/>
          <w:bCs/>
          <w:sz w:val="22"/>
          <w:szCs w:val="22"/>
        </w:rPr>
        <w:t xml:space="preserve">Concept set expansion works correctly. </w:t>
      </w:r>
      <w:r>
        <w:rPr>
          <w:rFonts w:eastAsia="Times New Roman" w:cs="Times New Roman"/>
          <w:sz w:val="22"/>
          <w:szCs w:val="22"/>
        </w:rPr>
        <w:t xml:space="preserve">Building a concept set with SNOMED “Epilepsy” (380378) and expanding via </w:t>
      </w:r>
      <w:r>
        <w:rPr>
          <w:rFonts w:eastAsia="Courier New" w:cs="Courier New" w:ascii="Courier New" w:hAnsi="Courier New"/>
          <w:sz w:val="22"/>
          <w:szCs w:val="22"/>
        </w:rPr>
        <w:t>Mapped from</w:t>
      </w:r>
      <w:r>
        <w:rPr>
          <w:rFonts w:eastAsia="Times New Roman" w:cs="Times New Roman"/>
          <w:sz w:val="22"/>
          <w:szCs w:val="22"/>
        </w:rPr>
        <w:t xml:space="preserve"> will include both IRSF CSS Epilepsy/Seizures (2000001013) and MBA Seizures (2000002018), capturing all seizure-related assessments in the dataset.</w:t>
      </w:r>
    </w:p>
    <w:p>
      <w:pPr>
        <w:pStyle w:val="Normal"/>
        <w:spacing w:lineRule="auto" w:line="360" w:before="0" w:after="120"/>
        <w:rPr>
          <w:sz w:val="22"/>
          <w:szCs w:val="22"/>
        </w:rPr>
      </w:pPr>
      <w:r>
        <w:rPr>
          <w:rFonts w:eastAsia="Times New Roman" w:cs="Times New Roman"/>
          <w:b/>
          <w:bCs/>
          <w:sz w:val="22"/>
          <w:szCs w:val="22"/>
        </w:rPr>
        <w:t xml:space="preserve">Vocabulary search discovers IRSF-NHS data. </w:t>
      </w:r>
      <w:r>
        <w:rPr>
          <w:rFonts w:eastAsia="Times New Roman" w:cs="Times New Roman"/>
          <w:sz w:val="22"/>
          <w:szCs w:val="22"/>
        </w:rPr>
        <w:t xml:space="preserve">Searching for “dystonia” in the OHDSI vocabulary browser will show the </w:t>
      </w:r>
      <w:r>
        <w:rPr>
          <w:rFonts w:eastAsia="Courier New" w:cs="Courier New" w:ascii="Courier New" w:hAnsi="Courier New"/>
          <w:sz w:val="22"/>
          <w:szCs w:val="22"/>
        </w:rPr>
        <w:t>Mapped from</w:t>
      </w:r>
      <w:r>
        <w:rPr>
          <w:rFonts w:eastAsia="Times New Roman" w:cs="Times New Roman"/>
          <w:sz w:val="22"/>
          <w:szCs w:val="22"/>
        </w:rPr>
        <w:t xml:space="preserve"> relationship to IRSF MBA Dystonia (2000002033), enabling researchers to discover Rett-specific data through standard clinical terminology.</w:t>
      </w:r>
    </w:p>
    <w:p>
      <w:pPr>
        <w:pStyle w:val="Heading1"/>
        <w:spacing w:before="360" w:after="200"/>
        <w:rPr>
          <w:sz w:val="22"/>
          <w:szCs w:val="22"/>
        </w:rPr>
      </w:pPr>
      <w:r>
        <w:rPr>
          <w:rFonts w:eastAsia="Times New Roman" w:cs="Times New Roman" w:ascii="Times New Roman" w:hAnsi="Times New Roman"/>
          <w:b/>
          <w:bCs/>
          <w:sz w:val="22"/>
          <w:szCs w:val="22"/>
        </w:rPr>
        <w:t>A6. Data Quality Assurance: Cross-Source Isolation</w:t>
      </w:r>
    </w:p>
    <w:p>
      <w:pPr>
        <w:pStyle w:val="Normal"/>
        <w:spacing w:lineRule="auto" w:line="360" w:before="0" w:after="120"/>
        <w:rPr>
          <w:sz w:val="22"/>
          <w:szCs w:val="22"/>
        </w:rPr>
      </w:pPr>
      <w:r>
        <w:rPr>
          <w:rFonts w:eastAsia="Times New Roman" w:cs="Times New Roman"/>
          <w:sz w:val="22"/>
          <w:szCs w:val="22"/>
        </w:rPr>
        <w:t xml:space="preserve">During the vocabulary mapping effort, a cross-source data contamination issue was identified and resolved in the Parthenon platform. Multiple CDM data sources share the </w:t>
      </w:r>
      <w:r>
        <w:rPr>
          <w:rFonts w:eastAsia="Courier New" w:cs="Courier New" w:ascii="Courier New" w:hAnsi="Courier New"/>
          <w:sz w:val="22"/>
          <w:szCs w:val="22"/>
        </w:rPr>
        <w:t>omop</w:t>
      </w:r>
      <w:r>
        <w:rPr>
          <w:rFonts w:eastAsia="Times New Roman" w:cs="Times New Roman"/>
          <w:sz w:val="22"/>
          <w:szCs w:val="22"/>
        </w:rPr>
        <w:t xml:space="preserve"> schema with overlapping </w:t>
      </w:r>
      <w:r>
        <w:rPr>
          <w:rFonts w:eastAsia="Courier New" w:cs="Courier New" w:ascii="Courier New" w:hAnsi="Courier New"/>
          <w:sz w:val="22"/>
          <w:szCs w:val="22"/>
        </w:rPr>
        <w:t>person_id</w:t>
      </w:r>
      <w:r>
        <w:rPr>
          <w:rFonts w:eastAsia="Times New Roman" w:cs="Times New Roman"/>
          <w:sz w:val="22"/>
          <w:szCs w:val="22"/>
        </w:rPr>
        <w:t xml:space="preserve"> ranges. For example, SynPUF person 100021 (a synthetic patient: “Barbara Harris,” age 32, with diabetes) shared the same person_id as an IRSF patient (female, born 2003, with Rett syndrome). Without source isolation, patient profile queries could return clinical data from the wrong source.</w:t>
      </w:r>
    </w:p>
    <w:p>
      <w:pPr>
        <w:pStyle w:val="Normal"/>
        <w:spacing w:lineRule="auto" w:line="360" w:before="0" w:after="120"/>
        <w:rPr>
          <w:sz w:val="22"/>
          <w:szCs w:val="22"/>
        </w:rPr>
      </w:pPr>
      <w:r>
        <w:rPr>
          <w:rFonts w:eastAsia="Times New Roman" w:cs="Times New Roman"/>
          <w:sz w:val="22"/>
          <w:szCs w:val="22"/>
        </w:rPr>
        <w:t xml:space="preserve">The fix implemented filters all patient profile domain queries by </w:t>
      </w:r>
      <w:r>
        <w:rPr>
          <w:rFonts w:eastAsia="Courier New" w:cs="Courier New" w:ascii="Courier New" w:hAnsi="Courier New"/>
          <w:sz w:val="22"/>
          <w:szCs w:val="22"/>
        </w:rPr>
        <w:t>visit_occurrence_id</w:t>
      </w:r>
      <w:r>
        <w:rPr>
          <w:rFonts w:eastAsia="Times New Roman" w:cs="Times New Roman"/>
          <w:sz w:val="22"/>
          <w:szCs w:val="22"/>
        </w:rPr>
        <w:t xml:space="preserve"> linkage: records must have either a NULL visit_id (the IRSF ETL convention for assessment data without explicit visit linkage) or a visit_id that matches the patient’s actual visits within the same source. This eliminates 100% of cross-source contamination at the query layer without requiring physical schema isolation. The IRSF-NHS data integrity has been validated at the individual patient level to confirm that no cross-source records are returned.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A-</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A-</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w:t>
    </w:r>
    <w:r>
      <w:rPr>
        <w:rFonts w:eastAsia="Times New Roman" w:cs="Times New Roman"/>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sz w:val="18"/>
        <w:szCs w:val="18"/>
      </w:rPr>
      <w:t>Supplementary Appendix: IRSF-NHS Vocabulary Mapping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sz w:val="18"/>
        <w:szCs w:val="18"/>
      </w:rPr>
      <w:t>Supplementary Appendix: IRSF-NHS Vocabulary Mapping</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28"/>
      <w:szCs w:val="28"/>
    </w:rPr>
  </w:style>
  <w:style w:type="paragraph" w:styleId="Heading2">
    <w:name w:val="heading 2"/>
    <w:basedOn w:val="Heading"/>
    <w:qFormat/>
    <w:pPr>
      <w:spacing w:before="240" w:after="160"/>
      <w:outlineLvl w:val="1"/>
    </w:pPr>
    <w:rPr>
      <w:rFonts w:ascii="Times New Roman" w:hAnsi="Times New Roman" w:eastAsia="Times New Roman" w:cs="Times New Roman"/>
      <w:b/>
      <w:bCs/>
      <w:i/>
      <w:i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LibreOffice/25.8.4.2$Linux_X86_64 LibreOffice_project/580$Build-2</Application>
  <AppVersion>15.0000</AppVersion>
  <Pages>11</Pages>
  <Words>2399</Words>
  <Characters>15722</Characters>
  <CharactersWithSpaces>17597</CharactersWithSpaces>
  <Paragraphs>632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2026-03-26T23:19:45Z</dcterms:created>
  <dc:creator>Un-named</dc:creator>
  <dc:description/>
  <dc:language>en-US</dc:language>
  <cp:lastModifiedBy/>
  <dcterms:modified xsi:type="dcterms:W3CDTF">2026-03-26T19:25:41Z</dcterms:modified>
  <cp:revision>2</cp:revision>
  <dc:subject/>
  <dc:title/>
</cp:coreProperties>
</file>