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9B1B30"/>
          <w:sz w:val="56"/>
          <w:szCs w:val="56"/>
        </w:rPr>
        <w:t xml:space="preserve">PARTHENON</w:t>
      </w:r>
    </w:p>
    <w:p>
      <w:pPr>
        <w:pBdr>
          <w:bottom w:val="single" w:color="C9A227" w:sz="6" w:space="8"/>
        </w:pBdr>
        <w:spacing w:after="100"/>
        <w:jc w:val="center"/>
      </w:pPr>
      <w:r>
        <w:rPr>
          <w:rFonts w:ascii="Arial" w:cs="Arial" w:eastAsia="Arial" w:hAnsi="Arial"/>
          <w:color w:val="0E0E11"/>
          <w:sz w:val="36"/>
          <w:szCs w:val="36"/>
        </w:rPr>
        <w:t xml:space="preserve">Survey &amp; Questionnaire Data in the OMOP CDM</w:t>
      </w:r>
    </w:p>
    <w:p>
      <w:pPr>
        <w:spacing w:after="200" w:before="300"/>
        <w:jc w:val="center"/>
      </w:pPr>
      <w:r>
        <w:rPr>
          <w:rFonts w:ascii="Arial" w:cs="Arial" w:eastAsia="Arial" w:hAnsi="Arial"/>
          <w:i/>
          <w:iCs/>
          <w:color w:val="666666"/>
          <w:sz w:val="24"/>
          <w:szCs w:val="24"/>
        </w:rPr>
        <w:t xml:space="preserve">A Deep Investigation for Outcomes Researchers</w:t>
      </w:r>
    </w:p>
    <w:p>
      <w:pPr>
        <w:spacing w:before="600"/>
        <w:jc w:val="center"/>
      </w:pPr>
      <w:r>
        <w:rPr>
          <w:rFonts w:ascii="Arial" w:cs="Arial" w:eastAsia="Arial" w:hAnsi="Arial"/>
          <w:color w:val="0E0E11"/>
          <w:sz w:val="22"/>
          <w:szCs w:val="22"/>
        </w:rPr>
        <w:t xml:space="preserve">Including a Pre-Mapped Library of the Top 100 Survey Instruments</w:t>
      </w:r>
    </w:p>
    <w:p>
      <w:pPr>
        <w:spacing w:before="100"/>
        <w:jc w:val="center"/>
      </w:pPr>
      <w:r>
        <w:rPr>
          <w:rFonts w:ascii="Arial" w:cs="Arial" w:eastAsia="Arial" w:hAnsi="Arial"/>
          <w:color w:val="0E0E11"/>
          <w:sz w:val="22"/>
          <w:szCs w:val="22"/>
        </w:rPr>
        <w:t xml:space="preserve">and a Custom Survey Builder for Researcher-Defined Instruments</w:t>
      </w:r>
    </w:p>
    <w:p>
      <w:pPr>
        <w:spacing w:before="1200"/>
      </w:pPr>
    </w:p>
    <w:p>
      <w:pPr>
        <w:jc w:val="center"/>
      </w:pPr>
      <w:r>
        <w:rPr>
          <w:rFonts w:ascii="Arial" w:cs="Arial" w:eastAsia="Arial" w:hAnsi="Arial"/>
          <w:color w:val="999999"/>
          <w:sz w:val="20"/>
          <w:szCs w:val="20"/>
        </w:rPr>
        <w:t xml:space="preserve">Prepared by Parthenon Research Team</w:t>
      </w:r>
    </w:p>
    <w:p>
      <w:pPr>
        <w:spacing w:after="100"/>
        <w:jc w:val="center"/>
      </w:pPr>
      <w:r>
        <w:rPr>
          <w:rFonts w:ascii="Arial" w:cs="Arial" w:eastAsia="Arial" w:hAnsi="Arial"/>
          <w:color w:val="999999"/>
          <w:sz w:val="20"/>
          <w:szCs w:val="20"/>
        </w:rPr>
        <w:t xml:space="preserve">March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9B1B30"/>
          <w:sz w:val="32"/>
          <w:szCs w:val="32"/>
        </w:rPr>
        <w:t xml:space="preserve">Executive Summary</w:t>
      </w:r>
    </w:p>
    <w:p>
      <w:pPr>
        <w:spacing w:after="160"/>
      </w:pPr>
      <w:r>
        <w:rPr>
          <w:rFonts w:ascii="Arial" w:cs="Arial" w:eastAsia="Arial" w:hAnsi="Arial"/>
          <w:sz w:val="20"/>
          <w:szCs w:val="20"/>
        </w:rPr>
        <w:t xml:space="preserve">The incorporation of survey, questionnaire, and Patient-Reported Outcome (PRO) data into the OMOP Common Data Model remains one of the most significant unsolved challenges in the OHDSI ecosystem. Despite the CDM’s maturity for claims, EHR, and clinical trial data, survey instruments—the primary means of capturing the patient’s voice—lack standardized representation, pre-built concept mappings, ETL templates, and dedicated analytical tooling.</w:t>
      </w:r>
    </w:p>
    <w:p>
      <w:pPr>
        <w:spacing w:after="160"/>
      </w:pPr>
      <w:r>
        <w:rPr>
          <w:rFonts w:ascii="Arial" w:cs="Arial" w:eastAsia="Arial" w:hAnsi="Arial"/>
          <w:sz w:val="20"/>
          <w:szCs w:val="20"/>
        </w:rPr>
        <w:t xml:space="preserve">This document presents a comprehensive investigation of the problem, synthesizes the latest community strategies (including the NCI-led CDM Survey Sub-Workgroup’s 2025–2026 roadmap), audits Parthenon’s current capabilities, and proposes a four-pillar implementation plan. The plan includes: (1) a pre-mapped library of the top 100 most-utilized survey instruments with standard OMOP concepts for every question and answer choice, (2) a visual Survey Builder for researchers to define custom instruments and map them to standard concepts, (3) a survey_conduct metadata layer compatible with CDM v5.4 and forward-compatible with v6.0, and (4) dedicated Achilles-style analytics for survey completeness, response distributions, and longitudinal PRO tracking.</w:t>
      </w:r>
    </w:p>
    <w:p>
      <w:pPr>
        <w:spacing w:after="160"/>
      </w:pPr>
      <w:r>
        <w:rPr>
          <w:rFonts w:ascii="Arial" w:cs="Arial" w:eastAsia="Arial" w:hAnsi="Arial"/>
          <w:sz w:val="20"/>
          <w:szCs w:val="20"/>
        </w:rPr>
        <w:t xml:space="preserve">If implemented, Parthenon would become the first OHDSI-ecosystem platform to offer turnkey survey/PRO support—addressing a gap that has persisted for over a decade.</w:t>
      </w:r>
    </w:p>
    <w:p>
      <w:r>
        <w:br w:type="page"/>
      </w:r>
    </w:p>
    <w:p>
      <w:pPr>
        <w:pStyle w:val="Heading1"/>
        <w:spacing w:after="200" w:before="360"/>
      </w:pPr>
      <w:r>
        <w:rPr>
          <w:rFonts w:ascii="Arial" w:cs="Arial" w:eastAsia="Arial" w:hAnsi="Arial"/>
          <w:b/>
          <w:bCs/>
          <w:color w:val="9B1B30"/>
          <w:sz w:val="32"/>
          <w:szCs w:val="32"/>
        </w:rPr>
        <w:t xml:space="preserve">Part 1: The Problem</w:t>
      </w:r>
    </w:p>
    <w:p>
      <w:pPr>
        <w:pStyle w:val="Heading2"/>
        <w:spacing w:after="160" w:before="280"/>
      </w:pPr>
      <w:r>
        <w:rPr>
          <w:rFonts w:ascii="Arial" w:cs="Arial" w:eastAsia="Arial" w:hAnsi="Arial"/>
          <w:b/>
          <w:bCs/>
          <w:color w:val="0E0E11"/>
          <w:sz w:val="26"/>
          <w:szCs w:val="26"/>
        </w:rPr>
        <w:t xml:space="preserve">1.1 Why Survey Data Matters for Outcomes Research</w:t>
      </w:r>
    </w:p>
    <w:p>
      <w:pPr>
        <w:spacing w:after="160"/>
      </w:pPr>
      <w:r>
        <w:rPr>
          <w:rFonts w:ascii="Arial" w:cs="Arial" w:eastAsia="Arial" w:hAnsi="Arial"/>
          <w:sz w:val="20"/>
          <w:szCs w:val="20"/>
        </w:rPr>
        <w:t xml:space="preserve">Patient-Reported Outcomes (PROs) capture information about a patient’s health status that comes directly from the patient, without interpretation by clinicians. Instruments like the PHQ-9 (depression), EQ-5D (quality of life), and PROMIS measures (multi-domain health) are central to comparative effectiveness research, value-based care measurement, FDA label claims, and ICHOM outcome standard sets. CMS increasingly requires PRO collection for quality reporting. The FDA now accepts PRO evidence for drug labeling decisions.</w:t>
      </w:r>
    </w:p>
    <w:p>
      <w:pPr>
        <w:spacing w:after="160"/>
      </w:pPr>
      <w:r>
        <w:rPr>
          <w:rFonts w:ascii="Arial" w:cs="Arial" w:eastAsia="Arial" w:hAnsi="Arial"/>
          <w:sz w:val="20"/>
          <w:szCs w:val="20"/>
        </w:rPr>
        <w:t xml:space="preserve">Yet in the OHDSI ecosystem, these instruments have no standardized home. Each organization that wants to include survey data must solve the same problems from scratch: concept mapping, ETL design, metadata capture, and analytical tooling. The result is fragmented, non-portable implementations that cannot support the multi-site network studies that OHDSI was built for.</w:t>
      </w:r>
    </w:p>
    <w:p>
      <w:pPr>
        <w:pStyle w:val="Heading2"/>
        <w:spacing w:after="160" w:before="280"/>
      </w:pPr>
      <w:r>
        <w:rPr>
          <w:rFonts w:ascii="Arial" w:cs="Arial" w:eastAsia="Arial" w:hAnsi="Arial"/>
          <w:b/>
          <w:bCs/>
          <w:color w:val="0E0E11"/>
          <w:sz w:val="26"/>
          <w:szCs w:val="26"/>
        </w:rPr>
        <w:t xml:space="preserve">1.2 Current OMOP CDM Representation (v5.4)</w:t>
      </w:r>
    </w:p>
    <w:p>
      <w:pPr>
        <w:spacing w:after="160"/>
      </w:pPr>
      <w:r>
        <w:rPr>
          <w:rFonts w:ascii="Arial" w:cs="Arial" w:eastAsia="Arial" w:hAnsi="Arial"/>
          <w:sz w:val="20"/>
          <w:szCs w:val="20"/>
        </w:rPr>
        <w:t xml:space="preserve">In CDM v5.4—the current recommended production version—survey data is stored in the OBSERVATION table using a name/value pair pattern:</w:t>
      </w:r>
    </w:p>
    <w:p>
      <w:pPr>
        <w:pStyle w:val="ListParagraph"/>
        <w:numPr>
          <w:ilvl w:val="0"/>
          <w:numId w:val="2"/>
        </w:numPr>
        <w:spacing w:after="80"/>
      </w:pPr>
      <w:r>
        <w:rPr>
          <w:rFonts w:ascii="Arial" w:cs="Arial" w:eastAsia="Arial" w:hAnsi="Arial"/>
          <w:b/>
          <w:bCs/>
          <w:sz w:val="20"/>
          <w:szCs w:val="20"/>
        </w:rPr>
        <w:t xml:space="preserve">Question: </w:t>
      </w:r>
      <w:r>
        <w:rPr>
          <w:rFonts w:ascii="Arial" w:cs="Arial" w:eastAsia="Arial" w:hAnsi="Arial"/>
          <w:sz w:val="20"/>
          <w:szCs w:val="20"/>
        </w:rPr>
        <w:t xml:space="preserve">The survey item is stored as observation_concept_id, pointing to a concept representing the question (e.g., LOINC 44250-9 for PHQ-9 item 1: “Little interest or pleasure in doing things”).</w:t>
      </w:r>
    </w:p>
    <w:p>
      <w:pPr>
        <w:pStyle w:val="ListParagraph"/>
        <w:numPr>
          <w:ilvl w:val="0"/>
          <w:numId w:val="2"/>
        </w:numPr>
        <w:spacing w:after="80"/>
      </w:pPr>
      <w:r>
        <w:rPr>
          <w:rFonts w:ascii="Arial" w:cs="Arial" w:eastAsia="Arial" w:hAnsi="Arial"/>
          <w:b/>
          <w:bCs/>
          <w:sz w:val="20"/>
          <w:szCs w:val="20"/>
        </w:rPr>
        <w:t xml:space="preserve">Answer (categorical): </w:t>
      </w:r>
      <w:r>
        <w:rPr>
          <w:rFonts w:ascii="Arial" w:cs="Arial" w:eastAsia="Arial" w:hAnsi="Arial"/>
          <w:sz w:val="20"/>
          <w:szCs w:val="20"/>
        </w:rPr>
        <w:t xml:space="preserve">Stored in value_as_concept_id, pointing to an answer concept (e.g., LOINC LA6568-5 for “Not at all”).</w:t>
      </w:r>
    </w:p>
    <w:p>
      <w:pPr>
        <w:pStyle w:val="ListParagraph"/>
        <w:numPr>
          <w:ilvl w:val="0"/>
          <w:numId w:val="2"/>
        </w:numPr>
        <w:spacing w:after="80"/>
      </w:pPr>
      <w:r>
        <w:rPr>
          <w:rFonts w:ascii="Arial" w:cs="Arial" w:eastAsia="Arial" w:hAnsi="Arial"/>
          <w:b/>
          <w:bCs/>
          <w:sz w:val="20"/>
          <w:szCs w:val="20"/>
        </w:rPr>
        <w:t xml:space="preserve">Answer (numeric): </w:t>
      </w:r>
      <w:r>
        <w:rPr>
          <w:rFonts w:ascii="Arial" w:cs="Arial" w:eastAsia="Arial" w:hAnsi="Arial"/>
          <w:sz w:val="20"/>
          <w:szCs w:val="20"/>
        </w:rPr>
        <w:t xml:space="preserve">Stored in value_as_number (e.g., 0 for “Not at all” on the PHQ-9’s 0–3 scale).</w:t>
      </w:r>
    </w:p>
    <w:p>
      <w:pPr>
        <w:pStyle w:val="ListParagraph"/>
        <w:numPr>
          <w:ilvl w:val="0"/>
          <w:numId w:val="2"/>
        </w:numPr>
        <w:spacing w:after="80"/>
      </w:pPr>
      <w:r>
        <w:rPr>
          <w:rFonts w:ascii="Arial" w:cs="Arial" w:eastAsia="Arial" w:hAnsi="Arial"/>
          <w:b/>
          <w:bCs/>
          <w:sz w:val="20"/>
          <w:szCs w:val="20"/>
        </w:rPr>
        <w:t xml:space="preserve">Answer (free text): </w:t>
      </w:r>
      <w:r>
        <w:rPr>
          <w:rFonts w:ascii="Arial" w:cs="Arial" w:eastAsia="Arial" w:hAnsi="Arial"/>
          <w:sz w:val="20"/>
          <w:szCs w:val="20"/>
        </w:rPr>
        <w:t xml:space="preserve">Stored in value_as_string.</w:t>
      </w:r>
    </w:p>
    <w:p>
      <w:pPr>
        <w:pStyle w:val="ListParagraph"/>
        <w:numPr>
          <w:ilvl w:val="0"/>
          <w:numId w:val="2"/>
        </w:numPr>
        <w:spacing w:after="80"/>
      </w:pPr>
      <w:r>
        <w:rPr>
          <w:rFonts w:ascii="Arial" w:cs="Arial" w:eastAsia="Arial" w:hAnsi="Arial"/>
          <w:b/>
          <w:bCs/>
          <w:sz w:val="20"/>
          <w:szCs w:val="20"/>
        </w:rPr>
        <w:t xml:space="preserve">Survey type marker: </w:t>
      </w:r>
      <w:r>
        <w:rPr>
          <w:rFonts w:ascii="Arial" w:cs="Arial" w:eastAsia="Arial" w:hAnsi="Arial"/>
          <w:sz w:val="20"/>
          <w:szCs w:val="20"/>
        </w:rPr>
        <w:t xml:space="preserve">observation_type_concept_id = 32883 (“Survey”).</w:t>
      </w:r>
    </w:p>
    <w:p>
      <w:pPr>
        <w:spacing w:after="160"/>
      </w:pPr>
      <w:r>
        <w:rPr>
          <w:rFonts w:ascii="Arial" w:cs="Arial" w:eastAsia="Arial" w:hAnsi="Arial"/>
          <w:sz w:val="20"/>
          <w:szCs w:val="20"/>
        </w:rPr>
        <w:t xml:space="preserve">This pattern works for simple instruments but has critical limitations: there is no formal table to record survey-level metadata (who administered it, when, how, completion status), no mechanism to group question responses into a single survey instance, and no standard way to represent composite scores.</w:t>
      </w:r>
    </w:p>
    <w:p>
      <w:pPr>
        <w:pStyle w:val="Heading2"/>
        <w:spacing w:after="160" w:before="280"/>
      </w:pPr>
      <w:r>
        <w:rPr>
          <w:rFonts w:ascii="Arial" w:cs="Arial" w:eastAsia="Arial" w:hAnsi="Arial"/>
          <w:b/>
          <w:bCs/>
          <w:color w:val="0E0E11"/>
          <w:sz w:val="26"/>
          <w:szCs w:val="26"/>
        </w:rPr>
        <w:t xml:space="preserve">1.3 CDM v6.0 and the survey_conduct Table</w:t>
      </w:r>
    </w:p>
    <w:p>
      <w:pPr>
        <w:spacing w:after="160"/>
      </w:pPr>
      <w:r>
        <w:rPr>
          <w:rFonts w:ascii="Arial" w:cs="Arial" w:eastAsia="Arial" w:hAnsi="Arial"/>
          <w:sz w:val="20"/>
          <w:szCs w:val="20"/>
        </w:rPr>
        <w:t xml:space="preserve">CDM v6.0 introduced the SURVEY_CONDUCT table to address these gaps. It provides fields for survey_concept_id (which instrument), respondent_type_concept_id (patient self-report vs. proxy vs. clinician-administered), survey timing, visit linkage, and a parent reference for nested surveys. Individual question responses in the OBSERVATION table link back via a foreign key.</w:t>
      </w:r>
    </w:p>
    <w:p>
      <w:pPr>
        <w:spacing w:after="160"/>
      </w:pPr>
      <w:r>
        <w:rPr>
          <w:rFonts w:ascii="Arial" w:cs="Arial" w:eastAsia="Arial" w:hAnsi="Arial"/>
          <w:sz w:val="20"/>
          <w:szCs w:val="20"/>
        </w:rPr>
        <w:t xml:space="preserve">However, v6.0 is not recommended for new implementations as of 2026. The major OHDSI analytics tools (Characterization, CohortMethod, PatientLevelPrediction) have not been updated to support v6.0’s mandatory datetime fields and schema changes. The CDM Working Group’s 2025 OKRs indicate tool compatibility is targeted for a future 2026–2027 release. The OHDSI community’s official guidance remains: use CDM v5.4 for production.</w:t>
      </w:r>
    </w:p>
    <w:p>
      <w:pPr>
        <w:pStyle w:val="Heading2"/>
        <w:spacing w:after="160" w:before="280"/>
      </w:pPr>
      <w:r>
        <w:rPr>
          <w:rFonts w:ascii="Arial" w:cs="Arial" w:eastAsia="Arial" w:hAnsi="Arial"/>
          <w:b/>
          <w:bCs/>
          <w:color w:val="0E0E11"/>
          <w:sz w:val="26"/>
          <w:szCs w:val="26"/>
        </w:rPr>
        <w:t xml:space="preserve">1.4 The Six Core Pain Points</w:t>
      </w:r>
    </w:p>
    <w:p>
      <w:pPr>
        <w:pStyle w:val="Heading3"/>
        <w:spacing w:after="120" w:before="200"/>
      </w:pPr>
      <w:r>
        <w:rPr>
          <w:rFonts w:ascii="Arial" w:cs="Arial" w:eastAsia="Arial" w:hAnsi="Arial"/>
          <w:b/>
          <w:bCs/>
          <w:color w:val="0E0E11"/>
          <w:sz w:val="22"/>
          <w:szCs w:val="22"/>
        </w:rPr>
        <w:t xml:space="preserve">Pain Point 1: Vocabulary Mapping Gaps</w:t>
      </w:r>
    </w:p>
    <w:p>
      <w:pPr>
        <w:spacing w:after="160"/>
      </w:pPr>
      <w:r>
        <w:rPr>
          <w:rFonts w:ascii="Arial" w:cs="Arial" w:eastAsia="Arial" w:hAnsi="Arial"/>
          <w:sz w:val="20"/>
          <w:szCs w:val="20"/>
        </w:rPr>
        <w:t xml:space="preserve">The OMOP standardized vocabularies have incomplete coverage for survey instruments. While LOINC provides codes for some instruments (PHQ-9, GAD-7, some PROMIS measures), many widely-used instruments have no LOINC codes at all, and even those with LOINC codes have inconsistent mapping to OMOP standard concepts. Disease-specific instruments like EPIC-26 (prostate cancer), FACT-G (cancer general), and most proprietary tools have zero standard concept coverage.</w:t>
      </w:r>
    </w:p>
    <w:p>
      <w:pPr>
        <w:pStyle w:val="Heading3"/>
        <w:spacing w:after="120" w:before="200"/>
      </w:pPr>
      <w:r>
        <w:rPr>
          <w:rFonts w:ascii="Arial" w:cs="Arial" w:eastAsia="Arial" w:hAnsi="Arial"/>
          <w:b/>
          <w:bCs/>
          <w:color w:val="0E0E11"/>
          <w:sz w:val="22"/>
          <w:szCs w:val="22"/>
        </w:rPr>
        <w:t xml:space="preserve">Pain Point 2: No Pre-Built ETL Templates</w:t>
      </w:r>
    </w:p>
    <w:p>
      <w:pPr>
        <w:spacing w:after="160"/>
      </w:pPr>
      <w:r>
        <w:rPr>
          <w:rFonts w:ascii="Arial" w:cs="Arial" w:eastAsia="Arial" w:hAnsi="Arial"/>
          <w:sz w:val="20"/>
          <w:szCs w:val="20"/>
        </w:rPr>
        <w:t xml:space="preserve">Every organization that transforms survey data to OMOP must build the ETL from scratch. There are no reference implementations, no community-shared mapping files, and no automated tools. The Singapore T2DM study (2021) found questionnaire data to be “the most challenging” aspect of their OMOP transformation. The German PCO study (2024) resorted to ad-hoc patterns for EPIC-26 scores. Each site creates custom concept IDs (&gt; 2 billion range) that are incompatible with other sites.</w:t>
      </w:r>
    </w:p>
    <w:p>
      <w:pPr>
        <w:pStyle w:val="Heading3"/>
        <w:spacing w:after="120" w:before="200"/>
      </w:pPr>
      <w:r>
        <w:rPr>
          <w:rFonts w:ascii="Arial" w:cs="Arial" w:eastAsia="Arial" w:hAnsi="Arial"/>
          <w:b/>
          <w:bCs/>
          <w:color w:val="0E0E11"/>
          <w:sz w:val="22"/>
          <w:szCs w:val="22"/>
        </w:rPr>
        <w:t xml:space="preserve">Pain Point 3: Domain Classification Ambiguity</w:t>
      </w:r>
    </w:p>
    <w:p>
      <w:pPr>
        <w:spacing w:after="160"/>
      </w:pPr>
      <w:r>
        <w:rPr>
          <w:rFonts w:ascii="Arial" w:cs="Arial" w:eastAsia="Arial" w:hAnsi="Arial"/>
          <w:sz w:val="20"/>
          <w:szCs w:val="20"/>
        </w:rPr>
        <w:t xml:space="preserve">There is no standardized decision logic for whether a given assessment belongs in the Observation or Measurement domain. LOINC-encoded assessments typically land in Measurement; SNOMED-encoded ones land in Observation. This means the same clinical assessment (e.g., a depression screen) could end up in different tables depending on the source vocabulary, making cross-site queries unreliable.</w:t>
      </w:r>
    </w:p>
    <w:p>
      <w:pPr>
        <w:pStyle w:val="Heading3"/>
        <w:spacing w:after="120" w:before="200"/>
      </w:pPr>
      <w:r>
        <w:rPr>
          <w:rFonts w:ascii="Arial" w:cs="Arial" w:eastAsia="Arial" w:hAnsi="Arial"/>
          <w:b/>
          <w:bCs/>
          <w:color w:val="0E0E11"/>
          <w:sz w:val="22"/>
          <w:szCs w:val="22"/>
        </w:rPr>
        <w:t xml:space="preserve">Pain Point 4: Missing Survey Metadata</w:t>
      </w:r>
    </w:p>
    <w:p>
      <w:pPr>
        <w:spacing w:after="160"/>
      </w:pPr>
      <w:r>
        <w:rPr>
          <w:rFonts w:ascii="Arial" w:cs="Arial" w:eastAsia="Arial" w:hAnsi="Arial"/>
          <w:sz w:val="20"/>
          <w:szCs w:val="20"/>
        </w:rPr>
        <w:t xml:space="preserve">CDM v5.4 has no formal mechanism to capture: who completed the survey (patient vs. proxy), how it was administered (paper, electronic, phone), completion status (partial vs. complete), survey duration, or temporal relationship to treatment (baseline vs. follow-up). This metadata is essential for PRO data quality assessment and analysis.</w:t>
      </w:r>
    </w:p>
    <w:p>
      <w:pPr>
        <w:pStyle w:val="Heading3"/>
        <w:spacing w:after="120" w:before="200"/>
      </w:pPr>
      <w:r>
        <w:rPr>
          <w:rFonts w:ascii="Arial" w:cs="Arial" w:eastAsia="Arial" w:hAnsi="Arial"/>
          <w:b/>
          <w:bCs/>
          <w:color w:val="0E0E11"/>
          <w:sz w:val="22"/>
          <w:szCs w:val="22"/>
        </w:rPr>
        <w:t xml:space="preserve">Pain Point 5: Composite Score Representation</w:t>
      </w:r>
    </w:p>
    <w:p>
      <w:pPr>
        <w:spacing w:after="160"/>
      </w:pPr>
      <w:r>
        <w:rPr>
          <w:rFonts w:ascii="Arial" w:cs="Arial" w:eastAsia="Arial" w:hAnsi="Arial"/>
          <w:sz w:val="20"/>
          <w:szCs w:val="20"/>
        </w:rPr>
        <w:t xml:space="preserve">Many instruments produce both item-level responses and composite scores (e.g., PHQ-9 total score 0–27, SF-36 Physical Component Summary). There is no standardized convention for storing these. Some sites use a separate observation row with a score concept; others embed it in value_as_number on a panel-level concept. The lack of convention makes multi-site comparisons of summary scores unreliable.</w:t>
      </w:r>
    </w:p>
    <w:p>
      <w:pPr>
        <w:pStyle w:val="Heading3"/>
        <w:spacing w:after="120" w:before="200"/>
      </w:pPr>
      <w:r>
        <w:rPr>
          <w:rFonts w:ascii="Arial" w:cs="Arial" w:eastAsia="Arial" w:hAnsi="Arial"/>
          <w:b/>
          <w:bCs/>
          <w:color w:val="0E0E11"/>
          <w:sz w:val="22"/>
          <w:szCs w:val="22"/>
        </w:rPr>
        <w:t xml:space="preserve">Pain Point 6: No Dedicated Analytics</w:t>
      </w:r>
    </w:p>
    <w:p>
      <w:pPr>
        <w:spacing w:after="160"/>
      </w:pPr>
      <w:r>
        <w:rPr>
          <w:rFonts w:ascii="Arial" w:cs="Arial" w:eastAsia="Arial" w:hAnsi="Arial"/>
          <w:sz w:val="20"/>
          <w:szCs w:val="20"/>
        </w:rPr>
        <w:t xml:space="preserve">Achilles and DQD provide characterization for observations and measurements generically, but there are no survey-specific analytics: item completion rates, score distributions by subscale, floor/ceiling effects, missing data patterns, or longitudinal change tracking. Researchers have no way to assess PRO data quality without custom queries.</w:t>
      </w:r>
    </w:p>
    <w:p>
      <w:r>
        <w:br w:type="page"/>
      </w:r>
    </w:p>
    <w:p>
      <w:pPr>
        <w:pStyle w:val="Heading1"/>
        <w:spacing w:after="200" w:before="360"/>
      </w:pPr>
      <w:r>
        <w:rPr>
          <w:rFonts w:ascii="Arial" w:cs="Arial" w:eastAsia="Arial" w:hAnsi="Arial"/>
          <w:b/>
          <w:bCs/>
          <w:color w:val="9B1B30"/>
          <w:sz w:val="32"/>
          <w:szCs w:val="32"/>
        </w:rPr>
        <w:t xml:space="preserve">Part 2: Latest Community Strategies</w:t>
      </w:r>
    </w:p>
    <w:p>
      <w:pPr>
        <w:pStyle w:val="Heading2"/>
        <w:spacing w:after="160" w:before="280"/>
      </w:pPr>
      <w:r>
        <w:rPr>
          <w:rFonts w:ascii="Arial" w:cs="Arial" w:eastAsia="Arial" w:hAnsi="Arial"/>
          <w:b/>
          <w:bCs/>
          <w:color w:val="0E0E11"/>
          <w:sz w:val="26"/>
          <w:szCs w:val="26"/>
        </w:rPr>
        <w:t xml:space="preserve">2.1 CDM Survey Sub-Workgroup (NCI-Led)</w:t>
      </w:r>
    </w:p>
    <w:p>
      <w:pPr>
        <w:spacing w:after="160"/>
      </w:pPr>
      <w:r>
        <w:rPr>
          <w:rFonts w:ascii="Arial" w:cs="Arial" w:eastAsia="Arial" w:hAnsi="Arial"/>
          <w:sz w:val="20"/>
          <w:szCs w:val="20"/>
        </w:rPr>
        <w:t xml:space="preserve">The most significant active effort is the CDM Survey Sub-Workgroup, led by the National Cancer Institute’s Nicole Gerlanc. Launched in 2024 and refreshed with a landscape assessment in August 2025, this workgroup is:</w:t>
      </w:r>
    </w:p>
    <w:p>
      <w:pPr>
        <w:pStyle w:val="ListParagraph"/>
        <w:numPr>
          <w:ilvl w:val="0"/>
          <w:numId w:val="2"/>
        </w:numPr>
        <w:spacing w:after="80"/>
      </w:pPr>
      <w:r>
        <w:rPr>
          <w:rFonts w:ascii="Arial" w:cs="Arial" w:eastAsia="Arial" w:hAnsi="Arial"/>
          <w:b/>
          <w:bCs/>
          <w:sz w:val="20"/>
          <w:szCs w:val="20"/>
        </w:rPr>
        <w:t xml:space="preserve">Targeting 3–5 high-use instruments </w:t>
      </w:r>
      <w:r>
        <w:rPr>
          <w:rFonts w:ascii="Arial" w:cs="Arial" w:eastAsia="Arial" w:hAnsi="Arial"/>
          <w:sz w:val="20"/>
          <w:szCs w:val="20"/>
        </w:rPr>
        <w:t xml:space="preserve">for standardized OMOP mapping: PHQ-9, GAD-7, Asthma Control Test, SF-36, and PROMIS measures.</w:t>
      </w:r>
    </w:p>
    <w:p>
      <w:pPr>
        <w:pStyle w:val="ListParagraph"/>
        <w:numPr>
          <w:ilvl w:val="0"/>
          <w:numId w:val="2"/>
        </w:numPr>
        <w:spacing w:after="80"/>
      </w:pPr>
      <w:r>
        <w:rPr>
          <w:rFonts w:ascii="Arial" w:cs="Arial" w:eastAsia="Arial" w:hAnsi="Arial"/>
          <w:b/>
          <w:bCs/>
          <w:sz w:val="20"/>
          <w:szCs w:val="20"/>
        </w:rPr>
        <w:t xml:space="preserve">Developing standardized mapping guidelines </w:t>
      </w:r>
      <w:r>
        <w:rPr>
          <w:rFonts w:ascii="Arial" w:cs="Arial" w:eastAsia="Arial" w:hAnsi="Arial"/>
          <w:sz w:val="20"/>
          <w:szCs w:val="20"/>
        </w:rPr>
        <w:t xml:space="preserve">for each instrument, including question-to-concept and answer-to-concept mappings.</w:t>
      </w:r>
    </w:p>
    <w:p>
      <w:pPr>
        <w:pStyle w:val="ListParagraph"/>
        <w:numPr>
          <w:ilvl w:val="0"/>
          <w:numId w:val="2"/>
        </w:numPr>
        <w:spacing w:after="80"/>
      </w:pPr>
      <w:r>
        <w:rPr>
          <w:rFonts w:ascii="Arial" w:cs="Arial" w:eastAsia="Arial" w:hAnsi="Arial"/>
          <w:b/>
          <w:bCs/>
          <w:sz w:val="20"/>
          <w:szCs w:val="20"/>
        </w:rPr>
        <w:t xml:space="preserve">Collaborating with the OMOP Vocabulary Working Group </w:t>
      </w:r>
      <w:r>
        <w:rPr>
          <w:rFonts w:ascii="Arial" w:cs="Arial" w:eastAsia="Arial" w:hAnsi="Arial"/>
          <w:sz w:val="20"/>
          <w:szCs w:val="20"/>
        </w:rPr>
        <w:t xml:space="preserve">to request LOINC and SNOMED expansions for underrepresented instruments.</w:t>
      </w:r>
    </w:p>
    <w:p>
      <w:pPr>
        <w:pStyle w:val="ListParagraph"/>
        <w:numPr>
          <w:ilvl w:val="0"/>
          <w:numId w:val="2"/>
        </w:numPr>
        <w:spacing w:after="80"/>
      </w:pPr>
      <w:r>
        <w:rPr>
          <w:rFonts w:ascii="Arial" w:cs="Arial" w:eastAsia="Arial" w:hAnsi="Arial"/>
          <w:b/>
          <w:bCs/>
          <w:sz w:val="20"/>
          <w:szCs w:val="20"/>
        </w:rPr>
        <w:t xml:space="preserve">Publishing guiding principles </w:t>
      </w:r>
      <w:r>
        <w:rPr>
          <w:rFonts w:ascii="Arial" w:cs="Arial" w:eastAsia="Arial" w:hAnsi="Arial"/>
          <w:sz w:val="20"/>
          <w:szCs w:val="20"/>
        </w:rPr>
        <w:t xml:space="preserve">from workshop experiences for consistent survey data representation across multi-site studies.</w:t>
      </w:r>
    </w:p>
    <w:p>
      <w:pPr>
        <w:spacing w:after="160"/>
      </w:pPr>
      <w:r>
        <w:rPr>
          <w:rFonts w:ascii="Arial" w:cs="Arial" w:eastAsia="Arial" w:hAnsi="Arial"/>
          <w:sz w:val="20"/>
          <w:szCs w:val="20"/>
        </w:rPr>
        <w:t xml:space="preserve">Resources: GitHub Wiki at github.com/OHDSI/CdmSurveySubWg/wiki; 2025 Workshop planned for the October 2025 Global Symposium.</w:t>
      </w:r>
    </w:p>
    <w:p>
      <w:pPr>
        <w:pStyle w:val="Heading2"/>
        <w:spacing w:after="160" w:before="280"/>
      </w:pPr>
      <w:r>
        <w:rPr>
          <w:rFonts w:ascii="Arial" w:cs="Arial" w:eastAsia="Arial" w:hAnsi="Arial"/>
          <w:b/>
          <w:bCs/>
          <w:color w:val="0E0E11"/>
          <w:sz w:val="26"/>
          <w:szCs w:val="26"/>
        </w:rPr>
        <w:t xml:space="preserve">2.2 The LOINC-First Mapping Pattern</w:t>
      </w:r>
    </w:p>
    <w:p>
      <w:pPr>
        <w:spacing w:after="160"/>
      </w:pPr>
      <w:r>
        <w:rPr>
          <w:rFonts w:ascii="Arial" w:cs="Arial" w:eastAsia="Arial" w:hAnsi="Arial"/>
          <w:sz w:val="20"/>
          <w:szCs w:val="20"/>
        </w:rPr>
        <w:t xml:space="preserve">The emerging community consensus for instruments that have LOINC codes is:</w:t>
      </w:r>
    </w:p>
    <w:p>
      <w:pPr>
        <w:pStyle w:val="ListParagraph"/>
        <w:numPr>
          <w:ilvl w:val="0"/>
          <w:numId w:val="3"/>
        </w:numPr>
        <w:spacing w:after="80"/>
      </w:pPr>
      <w:r>
        <w:rPr>
          <w:rFonts w:ascii="Arial" w:cs="Arial" w:eastAsia="Arial" w:hAnsi="Arial"/>
          <w:sz w:val="20"/>
          <w:szCs w:val="20"/>
        </w:rPr>
        <w:t xml:space="preserve">Each survey instrument is a LOINC panel (e.g., PHQ-9 panel code 44249-1).</w:t>
      </w:r>
    </w:p>
    <w:p>
      <w:pPr>
        <w:pStyle w:val="ListParagraph"/>
        <w:numPr>
          <w:ilvl w:val="0"/>
          <w:numId w:val="3"/>
        </w:numPr>
        <w:spacing w:after="80"/>
      </w:pPr>
      <w:r>
        <w:rPr>
          <w:rFonts w:ascii="Arial" w:cs="Arial" w:eastAsia="Arial" w:hAnsi="Arial"/>
          <w:sz w:val="20"/>
          <w:szCs w:val="20"/>
        </w:rPr>
        <w:t xml:space="preserve">Each question item is a LOINC observation (e.g., 44250-9 for PHQ-9 Q1).</w:t>
      </w:r>
    </w:p>
    <w:p>
      <w:pPr>
        <w:pStyle w:val="ListParagraph"/>
        <w:numPr>
          <w:ilvl w:val="0"/>
          <w:numId w:val="3"/>
        </w:numPr>
        <w:spacing w:after="80"/>
      </w:pPr>
      <w:r>
        <w:rPr>
          <w:rFonts w:ascii="Arial" w:cs="Arial" w:eastAsia="Arial" w:hAnsi="Arial"/>
          <w:sz w:val="20"/>
          <w:szCs w:val="20"/>
        </w:rPr>
        <w:t xml:space="preserve">Each answer choice is a LOINC LA code concept (e.g., LA6568-5 for “Not at all”).</w:t>
      </w:r>
    </w:p>
    <w:p>
      <w:pPr>
        <w:pStyle w:val="ListParagraph"/>
        <w:numPr>
          <w:ilvl w:val="0"/>
          <w:numId w:val="3"/>
        </w:numPr>
        <w:spacing w:after="80"/>
      </w:pPr>
      <w:r>
        <w:rPr>
          <w:rFonts w:ascii="Arial" w:cs="Arial" w:eastAsia="Arial" w:hAnsi="Arial"/>
          <w:sz w:val="20"/>
          <w:szCs w:val="20"/>
        </w:rPr>
        <w:t xml:space="preserve">Hierarchical relationships are built in CONCEPT_RELATIONSHIP: survey → question → answer.</w:t>
      </w:r>
    </w:p>
    <w:p>
      <w:pPr>
        <w:pStyle w:val="ListParagraph"/>
        <w:numPr>
          <w:ilvl w:val="0"/>
          <w:numId w:val="3"/>
        </w:numPr>
        <w:spacing w:after="80"/>
      </w:pPr>
      <w:r>
        <w:rPr>
          <w:rFonts w:ascii="Arial" w:cs="Arial" w:eastAsia="Arial" w:hAnsi="Arial"/>
          <w:sz w:val="20"/>
          <w:szCs w:val="20"/>
        </w:rPr>
        <w:t xml:space="preserve">Dual storage: value_as_concept_id for categorical answer + value_as_number for numeric score.</w:t>
      </w:r>
    </w:p>
    <w:p>
      <w:pPr>
        <w:pStyle w:val="ListParagraph"/>
        <w:numPr>
          <w:ilvl w:val="0"/>
          <w:numId w:val="3"/>
        </w:numPr>
        <w:spacing w:after="80"/>
      </w:pPr>
      <w:r>
        <w:rPr>
          <w:rFonts w:ascii="Arial" w:cs="Arial" w:eastAsia="Arial" w:hAnsi="Arial"/>
          <w:sz w:val="20"/>
          <w:szCs w:val="20"/>
        </w:rPr>
        <w:t xml:space="preserve">Composite scores stored as separate observation rows with the panel/score LOINC code.</w:t>
      </w:r>
    </w:p>
    <w:p>
      <w:pPr>
        <w:pStyle w:val="Heading2"/>
        <w:spacing w:after="160" w:before="280"/>
      </w:pPr>
      <w:r>
        <w:rPr>
          <w:rFonts w:ascii="Arial" w:cs="Arial" w:eastAsia="Arial" w:hAnsi="Arial"/>
          <w:b/>
          <w:bCs/>
          <w:color w:val="0E0E11"/>
          <w:sz w:val="26"/>
          <w:szCs w:val="26"/>
        </w:rPr>
        <w:t xml:space="preserve">2.3 The Custom Concept Pattern (Fallback)</w:t>
      </w:r>
    </w:p>
    <w:p>
      <w:pPr>
        <w:spacing w:after="160"/>
      </w:pPr>
      <w:r>
        <w:rPr>
          <w:rFonts w:ascii="Arial" w:cs="Arial" w:eastAsia="Arial" w:hAnsi="Arial"/>
          <w:sz w:val="20"/>
          <w:szCs w:val="20"/>
        </w:rPr>
        <w:t xml:space="preserve">For instruments without LOINC codes, the community uses custom concepts with IDs &gt; 2,000,000,000 to avoid conflicts with OMOP standard vocabulary concept IDs. Organizations define their own CONCEPT records with domain_id = ‘Observation’ and manually build question→answer hierarchies in CONCEPT_RELATIONSHIP. The All of Us Research Program uses a dedicated “PPI” (Participant Provided Information) vocabulary for its survey codebook variables.</w:t>
      </w:r>
    </w:p>
    <w:p>
      <w:pPr>
        <w:spacing w:after="160"/>
      </w:pPr>
      <w:r>
        <w:rPr>
          <w:rFonts w:ascii="Arial" w:cs="Arial" w:eastAsia="Arial" w:hAnsi="Arial"/>
          <w:sz w:val="20"/>
          <w:szCs w:val="20"/>
        </w:rPr>
        <w:t xml:space="preserve">The problem with custom concepts is portability: each site’s custom IDs differ, making network studies impossible without a centralized concept dictionary.</w:t>
      </w:r>
    </w:p>
    <w:p>
      <w:pPr>
        <w:pStyle w:val="Heading2"/>
        <w:spacing w:after="160" w:before="280"/>
      </w:pPr>
      <w:r>
        <w:rPr>
          <w:rFonts w:ascii="Arial" w:cs="Arial" w:eastAsia="Arial" w:hAnsi="Arial"/>
          <w:b/>
          <w:bCs/>
          <w:color w:val="0E0E11"/>
          <w:sz w:val="26"/>
          <w:szCs w:val="26"/>
        </w:rPr>
        <w:t xml:space="preserve">2.4 Source-to-Concept Mapping (Intermediate Strategy)</w:t>
      </w:r>
    </w:p>
    <w:p>
      <w:pPr>
        <w:spacing w:after="160"/>
      </w:pPr>
      <w:r>
        <w:rPr>
          <w:rFonts w:ascii="Arial" w:cs="Arial" w:eastAsia="Arial" w:hAnsi="Arial"/>
          <w:sz w:val="20"/>
          <w:szCs w:val="20"/>
        </w:rPr>
        <w:t xml:space="preserve">The SOURCE_TO_CONCEPT_MAP table allows flexible mapping during ETL without modifying the CONCEPT table. Source system codes are mapped to target OMOP concepts. This is used by UK Biobank, All of Us, and the German prostate cancer study. The Usagi tool provides semi-automated concept matching with similarity scores, though manual review is still required (threshold ≥ 0.6).</w:t>
      </w:r>
    </w:p>
    <w:p>
      <w:pPr>
        <w:pStyle w:val="Heading2"/>
        <w:spacing w:after="160" w:before="280"/>
      </w:pPr>
      <w:r>
        <w:rPr>
          <w:rFonts w:ascii="Arial" w:cs="Arial" w:eastAsia="Arial" w:hAnsi="Arial"/>
          <w:b/>
          <w:bCs/>
          <w:color w:val="0E0E11"/>
          <w:sz w:val="26"/>
          <w:szCs w:val="26"/>
        </w:rPr>
        <w:t xml:space="preserve">2.5 Key Published Implementations</w:t>
      </w:r>
    </w:p>
    <w:p>
      <w:pPr>
        <w:pStyle w:val="ListParagraph"/>
        <w:numPr>
          <w:ilvl w:val="0"/>
          <w:numId w:val="2"/>
        </w:numPr>
        <w:spacing w:after="80"/>
      </w:pPr>
      <w:r>
        <w:rPr>
          <w:rFonts w:ascii="Arial" w:cs="Arial" w:eastAsia="Arial" w:hAnsi="Arial"/>
          <w:b/>
          <w:bCs/>
          <w:sz w:val="20"/>
          <w:szCs w:val="20"/>
        </w:rPr>
        <w:t xml:space="preserve">German Prostate Cancer Outcomes Study (2024, MDPI Cancers): </w:t>
      </w:r>
      <w:r>
        <w:rPr>
          <w:rFonts w:ascii="Arial" w:cs="Arial" w:eastAsia="Arial" w:hAnsi="Arial"/>
          <w:sz w:val="20"/>
          <w:szCs w:val="20"/>
        </w:rPr>
        <w:t xml:space="preserve">Transformed 50,000 cases to OMOP CDM. 78% of fields mapped successfully. PRO scores (EPIC-26) used ad-hoc “Assessment score” concept with qualifier concepts. Demonstrates the lack of pre-built support even for major studies.</w:t>
      </w:r>
    </w:p>
    <w:p>
      <w:pPr>
        <w:pStyle w:val="ListParagraph"/>
        <w:numPr>
          <w:ilvl w:val="0"/>
          <w:numId w:val="2"/>
        </w:numPr>
        <w:spacing w:after="80"/>
      </w:pPr>
      <w:r>
        <w:rPr>
          <w:rFonts w:ascii="Arial" w:cs="Arial" w:eastAsia="Arial" w:hAnsi="Arial"/>
          <w:b/>
          <w:bCs/>
          <w:sz w:val="20"/>
          <w:szCs w:val="20"/>
        </w:rPr>
        <w:t xml:space="preserve">Singapore T2DM Study (2021): </w:t>
      </w:r>
      <w:r>
        <w:rPr>
          <w:rFonts w:ascii="Arial" w:cs="Arial" w:eastAsia="Arial" w:hAnsi="Arial"/>
          <w:sz w:val="20"/>
          <w:szCs w:val="20"/>
        </w:rPr>
        <w:t xml:space="preserve">Found questionnaire data “most challenging.” Created custom concepts (&gt; 2B IDs) for local assessment instruments. Cognitive and depression assessments treated as distinct observation source values.</w:t>
      </w:r>
    </w:p>
    <w:p>
      <w:pPr>
        <w:pStyle w:val="ListParagraph"/>
        <w:numPr>
          <w:ilvl w:val="0"/>
          <w:numId w:val="2"/>
        </w:numPr>
        <w:spacing w:after="80"/>
      </w:pPr>
      <w:r>
        <w:rPr>
          <w:rFonts w:ascii="Arial" w:cs="Arial" w:eastAsia="Arial" w:hAnsi="Arial"/>
          <w:b/>
          <w:bCs/>
          <w:sz w:val="20"/>
          <w:szCs w:val="20"/>
        </w:rPr>
        <w:t xml:space="preserve">UK Biobank to OMOP (2023, The Hyve): </w:t>
      </w:r>
      <w:r>
        <w:rPr>
          <w:rFonts w:ascii="Arial" w:cs="Arial" w:eastAsia="Arial" w:hAnsi="Arial"/>
          <w:sz w:val="20"/>
          <w:szCs w:val="20"/>
        </w:rPr>
        <w:t xml:space="preserve">Developed Usagi integrations for semi-automated survey question mapping. Still requires manual review of similarity scores.</w:t>
      </w:r>
    </w:p>
    <w:p>
      <w:pPr>
        <w:pStyle w:val="ListParagraph"/>
        <w:numPr>
          <w:ilvl w:val="0"/>
          <w:numId w:val="2"/>
        </w:numPr>
        <w:spacing w:after="80"/>
      </w:pPr>
      <w:r>
        <w:rPr>
          <w:rFonts w:ascii="Arial" w:cs="Arial" w:eastAsia="Arial" w:hAnsi="Arial"/>
          <w:b/>
          <w:bCs/>
          <w:sz w:val="20"/>
          <w:szCs w:val="20"/>
        </w:rPr>
        <w:t xml:space="preserve">All of Us Research Program: </w:t>
      </w:r>
      <w:r>
        <w:rPr>
          <w:rFonts w:ascii="Arial" w:cs="Arial" w:eastAsia="Arial" w:hAnsi="Arial"/>
          <w:sz w:val="20"/>
          <w:szCs w:val="20"/>
        </w:rPr>
        <w:t xml:space="preserve">Uses PPI vocabulary for survey codebook variables. PHQ-9, GAD-7 mapped to LOINC concepts with standardized answer codes.</w:t>
      </w:r>
    </w:p>
    <w:p>
      <w:r>
        <w:br w:type="page"/>
      </w:r>
    </w:p>
    <w:p>
      <w:pPr>
        <w:pStyle w:val="Heading1"/>
        <w:spacing w:after="200" w:before="360"/>
      </w:pPr>
      <w:r>
        <w:rPr>
          <w:rFonts w:ascii="Arial" w:cs="Arial" w:eastAsia="Arial" w:hAnsi="Arial"/>
          <w:b/>
          <w:bCs/>
          <w:color w:val="9B1B30"/>
          <w:sz w:val="32"/>
          <w:szCs w:val="32"/>
        </w:rPr>
        <w:t xml:space="preserve">Part 3: Parthenon’s Current State</w:t>
      </w:r>
    </w:p>
    <w:p>
      <w:pPr>
        <w:pStyle w:val="Heading2"/>
        <w:spacing w:after="160" w:before="280"/>
      </w:pPr>
      <w:r>
        <w:rPr>
          <w:rFonts w:ascii="Arial" w:cs="Arial" w:eastAsia="Arial" w:hAnsi="Arial"/>
          <w:b/>
          <w:bCs/>
          <w:color w:val="0E0E11"/>
          <w:sz w:val="26"/>
          <w:szCs w:val="26"/>
        </w:rPr>
        <w:t xml:space="preserve">3.1 What Exists Today</w:t>
      </w:r>
    </w:p>
    <w:p>
      <w:pPr>
        <w:spacing w:after="160"/>
      </w:pPr>
      <w:r>
        <w:rPr>
          <w:rFonts w:ascii="Arial" w:cs="Arial" w:eastAsia="Arial" w:hAnsi="Arial"/>
          <w:sz w:val="20"/>
          <w:szCs w:val="20"/>
        </w:rPr>
        <w:t xml:space="preserve">Parthenon already handles survey data through the OMOP observation table, demonstrated by the mature IRSF Natural History Study ETL pipeline. This pipeline transforms six distinct survey and clinical assessment data sources into standardized observation rows:</w:t>
      </w:r>
    </w:p>
    <w:p>
      <w:pPr>
        <w:pStyle w:val="ListParagraph"/>
        <w:numPr>
          <w:ilvl w:val="0"/>
          <w:numId w:val="2"/>
        </w:numPr>
        <w:spacing w:after="80"/>
      </w:pPr>
      <w:r>
        <w:rPr>
          <w:rFonts w:ascii="Arial" w:cs="Arial" w:eastAsia="Arial" w:hAnsi="Arial"/>
          <w:b/>
          <w:bCs/>
          <w:sz w:val="20"/>
          <w:szCs w:val="20"/>
        </w:rPr>
        <w:t xml:space="preserve">Motor Behavioral Assessment (MBA): </w:t>
      </w:r>
      <w:r>
        <w:rPr>
          <w:rFonts w:ascii="Arial" w:cs="Arial" w:eastAsia="Arial" w:hAnsi="Arial"/>
          <w:sz w:val="20"/>
          <w:szCs w:val="20"/>
        </w:rPr>
        <w:t xml:space="preserve">41 items (37 individual + 3 subtotals + 1 grand total) unpivoted from wide to long format. Uses observation_type_concept_id = 32883 (Survey). Custom IRSF vocabulary concepts in the 2,000,002,000 range.</w:t>
      </w:r>
    </w:p>
    <w:p>
      <w:pPr>
        <w:pStyle w:val="ListParagraph"/>
        <w:numPr>
          <w:ilvl w:val="0"/>
          <w:numId w:val="2"/>
        </w:numPr>
        <w:spacing w:after="80"/>
      </w:pPr>
      <w:r>
        <w:rPr>
          <w:rFonts w:ascii="Arial" w:cs="Arial" w:eastAsia="Arial" w:hAnsi="Arial"/>
          <w:b/>
          <w:bCs/>
          <w:sz w:val="20"/>
          <w:szCs w:val="20"/>
        </w:rPr>
        <w:t xml:space="preserve">Rett Features (23 features): </w:t>
      </w:r>
      <w:r>
        <w:rPr>
          <w:rFonts w:ascii="Arial" w:cs="Arial" w:eastAsia="Arial" w:hAnsi="Arial"/>
          <w:sz w:val="20"/>
          <w:szCs w:val="20"/>
        </w:rPr>
        <w:t xml:space="preserve">Longitudinal tracking with baseline through 5-year timepoints. Maps to SNOMED concepts via RETT_FEATURE_SNOMED_MAP.</w:t>
      </w:r>
    </w:p>
    <w:p>
      <w:pPr>
        <w:pStyle w:val="ListParagraph"/>
        <w:numPr>
          <w:ilvl w:val="0"/>
          <w:numId w:val="2"/>
        </w:numPr>
        <w:spacing w:after="80"/>
      </w:pPr>
      <w:r>
        <w:rPr>
          <w:rFonts w:ascii="Arial" w:cs="Arial" w:eastAsia="Arial" w:hAnsi="Arial"/>
          <w:b/>
          <w:bCs/>
          <w:sz w:val="20"/>
          <w:szCs w:val="20"/>
        </w:rPr>
        <w:t xml:space="preserve">Developmental History (48 milestones): </w:t>
      </w:r>
      <w:r>
        <w:rPr>
          <w:rFonts w:ascii="Arial" w:cs="Arial" w:eastAsia="Arial" w:hAnsi="Arial"/>
          <w:sz w:val="20"/>
          <w:szCs w:val="20"/>
        </w:rPr>
        <w:t xml:space="preserve">Gross/fine/language/adaptive milestones with age-at-event and learned/lost/relearned states.</w:t>
      </w:r>
    </w:p>
    <w:p>
      <w:pPr>
        <w:pStyle w:val="ListParagraph"/>
        <w:numPr>
          <w:ilvl w:val="0"/>
          <w:numId w:val="2"/>
        </w:numPr>
        <w:spacing w:after="80"/>
      </w:pPr>
      <w:r>
        <w:rPr>
          <w:rFonts w:ascii="Arial" w:cs="Arial" w:eastAsia="Arial" w:hAnsi="Arial"/>
          <w:b/>
          <w:bCs/>
          <w:sz w:val="20"/>
          <w:szCs w:val="20"/>
        </w:rPr>
        <w:t xml:space="preserve">Clinical Assessment (ordinal/categorical): </w:t>
      </w:r>
      <w:r>
        <w:rPr>
          <w:rFonts w:ascii="Arial" w:cs="Arial" w:eastAsia="Arial" w:hAnsi="Arial"/>
          <w:sz w:val="20"/>
          <w:szCs w:val="20"/>
        </w:rPr>
        <w:t xml:space="preserve">Boolean and ordinal exam fields stored as observations.</w:t>
      </w:r>
    </w:p>
    <w:p>
      <w:pPr>
        <w:pStyle w:val="ListParagraph"/>
        <w:numPr>
          <w:ilvl w:val="0"/>
          <w:numId w:val="2"/>
        </w:numPr>
        <w:spacing w:after="80"/>
      </w:pPr>
      <w:r>
        <w:rPr>
          <w:rFonts w:ascii="Arial" w:cs="Arial" w:eastAsia="Arial" w:hAnsi="Arial"/>
          <w:b/>
          <w:bCs/>
          <w:sz w:val="20"/>
          <w:szCs w:val="20"/>
        </w:rPr>
        <w:t xml:space="preserve">Nutrition, Allergies, Abnormal Movements: </w:t>
      </w:r>
      <w:r>
        <w:rPr>
          <w:rFonts w:ascii="Arial" w:cs="Arial" w:eastAsia="Arial" w:hAnsi="Arial"/>
          <w:sz w:val="20"/>
          <w:szCs w:val="20"/>
        </w:rPr>
        <w:t xml:space="preserve">Structured categorical data transformed to observation rows.</w:t>
      </w:r>
    </w:p>
    <w:p>
      <w:pPr>
        <w:pStyle w:val="Heading2"/>
        <w:spacing w:after="160" w:before="280"/>
      </w:pPr>
      <w:r>
        <w:rPr>
          <w:rFonts w:ascii="Arial" w:cs="Arial" w:eastAsia="Arial" w:hAnsi="Arial"/>
          <w:b/>
          <w:bCs/>
          <w:color w:val="0E0E11"/>
          <w:sz w:val="26"/>
          <w:szCs w:val="26"/>
        </w:rPr>
        <w:t xml:space="preserve">3.2 What’s Missing</w:t>
      </w:r>
    </w:p>
    <w:p>
      <w:pPr>
        <w:pStyle w:val="ListParagraph"/>
        <w:numPr>
          <w:ilvl w:val="0"/>
          <w:numId w:val="2"/>
        </w:numPr>
        <w:spacing w:after="80"/>
      </w:pPr>
      <w:r>
        <w:rPr>
          <w:rFonts w:ascii="Arial" w:cs="Arial" w:eastAsia="Arial" w:hAnsi="Arial"/>
          <w:b/>
          <w:bCs/>
          <w:sz w:val="20"/>
          <w:szCs w:val="20"/>
        </w:rPr>
        <w:t xml:space="preserve">No survey_conduct table: </w:t>
      </w:r>
      <w:r>
        <w:rPr>
          <w:rFonts w:ascii="Arial" w:cs="Arial" w:eastAsia="Arial" w:hAnsi="Arial"/>
          <w:sz w:val="20"/>
          <w:szCs w:val="20"/>
        </w:rPr>
        <w:t xml:space="preserve">No metadata about survey administration, respondent type, completion status, or timing relative to treatment.</w:t>
      </w:r>
    </w:p>
    <w:p>
      <w:pPr>
        <w:pStyle w:val="ListParagraph"/>
        <w:numPr>
          <w:ilvl w:val="0"/>
          <w:numId w:val="2"/>
        </w:numPr>
        <w:spacing w:after="80"/>
      </w:pPr>
      <w:r>
        <w:rPr>
          <w:rFonts w:ascii="Arial" w:cs="Arial" w:eastAsia="Arial" w:hAnsi="Arial"/>
          <w:b/>
          <w:bCs/>
          <w:sz w:val="20"/>
          <w:szCs w:val="20"/>
        </w:rPr>
        <w:t xml:space="preserve">No standard PRO instrument mappings: </w:t>
      </w:r>
      <w:r>
        <w:rPr>
          <w:rFonts w:ascii="Arial" w:cs="Arial" w:eastAsia="Arial" w:hAnsi="Arial"/>
          <w:sz w:val="20"/>
          <w:szCs w:val="20"/>
        </w:rPr>
        <w:t xml:space="preserve">The IRSF ETL uses custom concepts; no pre-built mappings for PHQ-9, GAD-7, SF-36, PROMIS, or any standard instrument.</w:t>
      </w:r>
    </w:p>
    <w:p>
      <w:pPr>
        <w:pStyle w:val="ListParagraph"/>
        <w:numPr>
          <w:ilvl w:val="0"/>
          <w:numId w:val="2"/>
        </w:numPr>
        <w:spacing w:after="80"/>
      </w:pPr>
      <w:r>
        <w:rPr>
          <w:rFonts w:ascii="Arial" w:cs="Arial" w:eastAsia="Arial" w:hAnsi="Arial"/>
          <w:b/>
          <w:bCs/>
          <w:sz w:val="20"/>
          <w:szCs w:val="20"/>
        </w:rPr>
        <w:t xml:space="preserve">No Survey Builder UI: </w:t>
      </w:r>
      <w:r>
        <w:rPr>
          <w:rFonts w:ascii="Arial" w:cs="Arial" w:eastAsia="Arial" w:hAnsi="Arial"/>
          <w:sz w:val="20"/>
          <w:szCs w:val="20"/>
        </w:rPr>
        <w:t xml:space="preserve">No frontend for creating, managing, or mapping custom survey instruments.</w:t>
      </w:r>
    </w:p>
    <w:p>
      <w:pPr>
        <w:pStyle w:val="ListParagraph"/>
        <w:numPr>
          <w:ilvl w:val="0"/>
          <w:numId w:val="2"/>
        </w:numPr>
        <w:spacing w:after="80"/>
      </w:pPr>
      <w:r>
        <w:rPr>
          <w:rFonts w:ascii="Arial" w:cs="Arial" w:eastAsia="Arial" w:hAnsi="Arial"/>
          <w:b/>
          <w:bCs/>
          <w:sz w:val="20"/>
          <w:szCs w:val="20"/>
        </w:rPr>
        <w:t xml:space="preserve">No Questionnaire FHIR resources: </w:t>
      </w:r>
      <w:r>
        <w:rPr>
          <w:rFonts w:ascii="Arial" w:cs="Arial" w:eastAsia="Arial" w:hAnsi="Arial"/>
          <w:sz w:val="20"/>
          <w:szCs w:val="20"/>
        </w:rPr>
        <w:t xml:space="preserve">The FHIR export builds Observation resources but not Questionnaire/QuestionnaireResponse resources.</w:t>
      </w:r>
    </w:p>
    <w:p>
      <w:pPr>
        <w:pStyle w:val="ListParagraph"/>
        <w:numPr>
          <w:ilvl w:val="0"/>
          <w:numId w:val="2"/>
        </w:numPr>
        <w:spacing w:after="80"/>
      </w:pPr>
      <w:r>
        <w:rPr>
          <w:rFonts w:ascii="Arial" w:cs="Arial" w:eastAsia="Arial" w:hAnsi="Arial"/>
          <w:b/>
          <w:bCs/>
          <w:sz w:val="20"/>
          <w:szCs w:val="20"/>
        </w:rPr>
        <w:t xml:space="preserve">No survey-specific analytics: </w:t>
      </w:r>
      <w:r>
        <w:rPr>
          <w:rFonts w:ascii="Arial" w:cs="Arial" w:eastAsia="Arial" w:hAnsi="Arial"/>
          <w:sz w:val="20"/>
          <w:szCs w:val="20"/>
        </w:rPr>
        <w:t xml:space="preserve">Achilles analyses 800–812 characterize observations generically but provide no item-level completion rates, score distributions, or longitudinal PRO tracking.</w:t>
      </w:r>
    </w:p>
    <w:p>
      <w:pPr>
        <w:pStyle w:val="ListParagraph"/>
        <w:numPr>
          <w:ilvl w:val="0"/>
          <w:numId w:val="2"/>
        </w:numPr>
        <w:spacing w:after="80"/>
      </w:pPr>
      <w:r>
        <w:rPr>
          <w:rFonts w:ascii="Arial" w:cs="Arial" w:eastAsia="Arial" w:hAnsi="Arial"/>
          <w:b/>
          <w:bCs/>
          <w:sz w:val="20"/>
          <w:szCs w:val="20"/>
        </w:rPr>
        <w:t xml:space="preserve">No survey Solr configset: </w:t>
      </w:r>
      <w:r>
        <w:rPr>
          <w:rFonts w:ascii="Arial" w:cs="Arial" w:eastAsia="Arial" w:hAnsi="Arial"/>
          <w:sz w:val="20"/>
          <w:szCs w:val="20"/>
        </w:rPr>
        <w:t xml:space="preserve">The clinical configset indexes observations but has no question/answer-aware indexing structure.</w:t>
      </w:r>
    </w:p>
    <w:p>
      <w:r>
        <w:br w:type="page"/>
      </w:r>
    </w:p>
    <w:p>
      <w:pPr>
        <w:pStyle w:val="Heading1"/>
        <w:spacing w:after="200" w:before="360"/>
      </w:pPr>
      <w:r>
        <w:rPr>
          <w:rFonts w:ascii="Arial" w:cs="Arial" w:eastAsia="Arial" w:hAnsi="Arial"/>
          <w:b/>
          <w:bCs/>
          <w:color w:val="9B1B30"/>
          <w:sz w:val="32"/>
          <w:szCs w:val="32"/>
        </w:rPr>
        <w:t xml:space="preserve">Part 4: Parthenon Implementation Plan</w:t>
      </w:r>
    </w:p>
    <w:p>
      <w:pPr>
        <w:spacing w:after="160"/>
      </w:pPr>
      <w:r>
        <w:rPr>
          <w:rFonts w:ascii="Arial" w:cs="Arial" w:eastAsia="Arial" w:hAnsi="Arial"/>
          <w:sz w:val="20"/>
          <w:szCs w:val="20"/>
        </w:rPr>
        <w:t xml:space="preserve">We propose a four-pillar approach that addresses the full lifecycle of survey/PRO data in Parthenon, from instrument definition through analysis.</w:t>
      </w:r>
    </w:p>
    <w:p>
      <w:pPr>
        <w:pStyle w:val="Heading2"/>
        <w:spacing w:after="160" w:before="280"/>
      </w:pPr>
      <w:r>
        <w:rPr>
          <w:rFonts w:ascii="Arial" w:cs="Arial" w:eastAsia="Arial" w:hAnsi="Arial"/>
          <w:b/>
          <w:bCs/>
          <w:color w:val="0E0E11"/>
          <w:sz w:val="26"/>
          <w:szCs w:val="26"/>
        </w:rPr>
        <w:t xml:space="preserve">Pillar 1: The Parthenon Survey Instrument Library</w:t>
      </w:r>
    </w:p>
    <w:p>
      <w:pPr>
        <w:spacing w:after="160"/>
      </w:pPr>
      <w:r>
        <w:rPr>
          <w:rFonts w:ascii="Arial" w:cs="Arial" w:eastAsia="Arial" w:hAnsi="Arial"/>
          <w:sz w:val="20"/>
          <w:szCs w:val="20"/>
        </w:rPr>
        <w:t xml:space="preserve">A curated, pre-mapped library of the top 100 most-utilized survey instruments, stored as structured OMOP concept sets with complete question-to-concept and answer-to-concept mappings.</w:t>
      </w:r>
    </w:p>
    <w:p>
      <w:pPr>
        <w:pStyle w:val="Heading3"/>
        <w:spacing w:after="120" w:before="200"/>
      </w:pPr>
      <w:r>
        <w:rPr>
          <w:rFonts w:ascii="Arial" w:cs="Arial" w:eastAsia="Arial" w:hAnsi="Arial"/>
          <w:b/>
          <w:bCs/>
          <w:color w:val="0E0E11"/>
          <w:sz w:val="22"/>
          <w:szCs w:val="22"/>
        </w:rPr>
        <w:t xml:space="preserve">Design</w:t>
      </w:r>
    </w:p>
    <w:p>
      <w:pPr>
        <w:pStyle w:val="ListParagraph"/>
        <w:numPr>
          <w:ilvl w:val="0"/>
          <w:numId w:val="2"/>
        </w:numPr>
        <w:spacing w:after="80"/>
      </w:pPr>
      <w:r>
        <w:rPr>
          <w:rFonts w:ascii="Arial" w:cs="Arial" w:eastAsia="Arial" w:hAnsi="Arial"/>
          <w:b/>
          <w:bCs/>
          <w:sz w:val="20"/>
          <w:szCs w:val="20"/>
        </w:rPr>
        <w:t xml:space="preserve">New app schema tables: </w:t>
      </w:r>
      <w:r>
        <w:rPr>
          <w:rFonts w:ascii="Arial" w:cs="Arial" w:eastAsia="Arial" w:hAnsi="Arial"/>
          <w:sz w:val="20"/>
          <w:szCs w:val="20"/>
        </w:rPr>
        <w:t xml:space="preserve">survey_instruments (instrument metadata, version, domain, license status, item count), survey_items (individual questions with OMOP concept mappings), and survey_answer_options (answer choices with concept_id, numeric score, display order).</w:t>
      </w:r>
    </w:p>
    <w:p>
      <w:pPr>
        <w:pStyle w:val="ListParagraph"/>
        <w:numPr>
          <w:ilvl w:val="0"/>
          <w:numId w:val="2"/>
        </w:numPr>
        <w:spacing w:after="80"/>
      </w:pPr>
      <w:r>
        <w:rPr>
          <w:rFonts w:ascii="Arial" w:cs="Arial" w:eastAsia="Arial" w:hAnsi="Arial"/>
          <w:b/>
          <w:bCs/>
          <w:sz w:val="20"/>
          <w:szCs w:val="20"/>
        </w:rPr>
        <w:t xml:space="preserve">Pre-populated with 100 instruments: </w:t>
      </w:r>
      <w:r>
        <w:rPr>
          <w:rFonts w:ascii="Arial" w:cs="Arial" w:eastAsia="Arial" w:hAnsi="Arial"/>
          <w:sz w:val="20"/>
          <w:szCs w:val="20"/>
        </w:rPr>
        <w:t xml:space="preserve">Each instrument includes complete concept mappings—LOINC-based where available, community-standard custom concepts where not—verified against ATHENA.</w:t>
      </w:r>
    </w:p>
    <w:p>
      <w:pPr>
        <w:pStyle w:val="ListParagraph"/>
        <w:numPr>
          <w:ilvl w:val="0"/>
          <w:numId w:val="2"/>
        </w:numPr>
        <w:spacing w:after="80"/>
      </w:pPr>
      <w:r>
        <w:rPr>
          <w:rFonts w:ascii="Arial" w:cs="Arial" w:eastAsia="Arial" w:hAnsi="Arial"/>
          <w:b/>
          <w:bCs/>
          <w:sz w:val="20"/>
          <w:szCs w:val="20"/>
        </w:rPr>
        <w:t xml:space="preserve">Hierarchical concept relationships: </w:t>
      </w:r>
      <w:r>
        <w:rPr>
          <w:rFonts w:ascii="Arial" w:cs="Arial" w:eastAsia="Arial" w:hAnsi="Arial"/>
          <w:sz w:val="20"/>
          <w:szCs w:val="20"/>
        </w:rPr>
        <w:t xml:space="preserve">Instrument → subscale → item → answer options, stored in concept_relationship with “Is a” and “Has component” relationships.</w:t>
      </w:r>
    </w:p>
    <w:p>
      <w:pPr>
        <w:pStyle w:val="ListParagraph"/>
        <w:numPr>
          <w:ilvl w:val="0"/>
          <w:numId w:val="2"/>
        </w:numPr>
        <w:spacing w:after="80"/>
      </w:pPr>
      <w:r>
        <w:rPr>
          <w:rFonts w:ascii="Arial" w:cs="Arial" w:eastAsia="Arial" w:hAnsi="Arial"/>
          <w:b/>
          <w:bCs/>
          <w:sz w:val="20"/>
          <w:szCs w:val="20"/>
        </w:rPr>
        <w:t xml:space="preserve">Composite score definitions: </w:t>
      </w:r>
      <w:r>
        <w:rPr>
          <w:rFonts w:ascii="Arial" w:cs="Arial" w:eastAsia="Arial" w:hAnsi="Arial"/>
          <w:sz w:val="20"/>
          <w:szCs w:val="20"/>
        </w:rPr>
        <w:t xml:space="preserve">Scoring algorithms (sum, mean, weighted, reverse-coded items) stored declaratively so Parthenon can auto-calculate scores from item responses.</w:t>
      </w:r>
    </w:p>
    <w:p>
      <w:pPr>
        <w:pStyle w:val="ListParagraph"/>
        <w:numPr>
          <w:ilvl w:val="0"/>
          <w:numId w:val="2"/>
        </w:numPr>
        <w:spacing w:after="80"/>
      </w:pPr>
      <w:r>
        <w:rPr>
          <w:rFonts w:ascii="Arial" w:cs="Arial" w:eastAsia="Arial" w:hAnsi="Arial"/>
          <w:b/>
          <w:bCs/>
          <w:sz w:val="20"/>
          <w:szCs w:val="20"/>
        </w:rPr>
        <w:t xml:space="preserve">License metadata: </w:t>
      </w:r>
      <w:r>
        <w:rPr>
          <w:rFonts w:ascii="Arial" w:cs="Arial" w:eastAsia="Arial" w:hAnsi="Arial"/>
          <w:sz w:val="20"/>
          <w:szCs w:val="20"/>
        </w:rPr>
        <w:t xml:space="preserve">Tracks public domain vs. proprietary status so researchers know which instruments they can use freely.</w:t>
      </w:r>
    </w:p>
    <w:p>
      <w:pPr>
        <w:pStyle w:val="Heading3"/>
        <w:spacing w:after="120" w:before="200"/>
      </w:pPr>
      <w:r>
        <w:rPr>
          <w:rFonts w:ascii="Arial" w:cs="Arial" w:eastAsia="Arial" w:hAnsi="Arial"/>
          <w:b/>
          <w:bCs/>
          <w:color w:val="0E0E11"/>
          <w:sz w:val="22"/>
          <w:szCs w:val="22"/>
        </w:rPr>
        <w:t xml:space="preserve">Seeding Strategy</w:t>
      </w:r>
    </w:p>
    <w:p>
      <w:pPr>
        <w:spacing w:after="160"/>
      </w:pPr>
      <w:r>
        <w:rPr>
          <w:rFonts w:ascii="Arial" w:cs="Arial" w:eastAsia="Arial" w:hAnsi="Arial"/>
          <w:sz w:val="20"/>
          <w:szCs w:val="20"/>
        </w:rPr>
        <w:t xml:space="preserve">An Artisan command (survey:seed-library) will populate the library from a curated JSON manifest containing all 100 instruments. The manifest includes LOINC panel codes where available, ATHENA concept IDs for each question and answer, scoring algorithms, and display metadata. For instruments without LOINC codes, Parthenon will assign concepts from a dedicated “Parthenon Survey” vocabulary (vocabulary_id = ‘PTHN_SURVEY’) registered in the vocab schema, using concept IDs in the 2,100,000,000+ range to avoid conflicts with both OMOP standard concepts and organization-specific custom concepts.</w:t>
      </w:r>
    </w:p>
    <w:p>
      <w:pPr>
        <w:pStyle w:val="Heading2"/>
        <w:spacing w:after="160" w:before="280"/>
      </w:pPr>
      <w:r>
        <w:rPr>
          <w:rFonts w:ascii="Arial" w:cs="Arial" w:eastAsia="Arial" w:hAnsi="Arial"/>
          <w:b/>
          <w:bCs/>
          <w:color w:val="0E0E11"/>
          <w:sz w:val="26"/>
          <w:szCs w:val="26"/>
        </w:rPr>
        <w:t xml:space="preserve">Pillar 2: The Survey Builder</w:t>
      </w:r>
    </w:p>
    <w:p>
      <w:pPr>
        <w:spacing w:after="160"/>
      </w:pPr>
      <w:r>
        <w:rPr>
          <w:rFonts w:ascii="Arial" w:cs="Arial" w:eastAsia="Arial" w:hAnsi="Arial"/>
          <w:sz w:val="20"/>
          <w:szCs w:val="20"/>
        </w:rPr>
        <w:t xml:space="preserve">A visual tool for researchers to define custom survey instruments, map questions to standard concepts, and generate OMOP-ready ETL configurations.</w:t>
      </w:r>
    </w:p>
    <w:p>
      <w:pPr>
        <w:pStyle w:val="Heading3"/>
        <w:spacing w:after="120" w:before="200"/>
      </w:pPr>
      <w:r>
        <w:rPr>
          <w:rFonts w:ascii="Arial" w:cs="Arial" w:eastAsia="Arial" w:hAnsi="Arial"/>
          <w:b/>
          <w:bCs/>
          <w:color w:val="0E0E11"/>
          <w:sz w:val="22"/>
          <w:szCs w:val="22"/>
        </w:rPr>
        <w:t xml:space="preserve">Capabilities</w:t>
      </w:r>
    </w:p>
    <w:p>
      <w:pPr>
        <w:pStyle w:val="ListParagraph"/>
        <w:numPr>
          <w:ilvl w:val="0"/>
          <w:numId w:val="4"/>
        </w:numPr>
        <w:spacing w:after="80"/>
      </w:pPr>
      <w:r>
        <w:rPr>
          <w:rFonts w:ascii="Arial" w:cs="Arial" w:eastAsia="Arial" w:hAnsi="Arial"/>
          <w:sz w:val="20"/>
          <w:szCs w:val="20"/>
        </w:rPr>
        <w:t xml:space="preserve">Instrument creation: Name, description, version, domain, scoring methodology.</w:t>
      </w:r>
    </w:p>
    <w:p>
      <w:pPr>
        <w:pStyle w:val="ListParagraph"/>
        <w:numPr>
          <w:ilvl w:val="0"/>
          <w:numId w:val="4"/>
        </w:numPr>
        <w:spacing w:after="80"/>
      </w:pPr>
      <w:r>
        <w:rPr>
          <w:rFonts w:ascii="Arial" w:cs="Arial" w:eastAsia="Arial" w:hAnsi="Arial"/>
          <w:sz w:val="20"/>
          <w:szCs w:val="20"/>
        </w:rPr>
        <w:t xml:space="preserve">Question editor: Add/reorder items, set response type (Likert, yes/no, numeric, free text, multi-select), assign OMOP concept mappings via ATHENA search integration.</w:t>
      </w:r>
    </w:p>
    <w:p>
      <w:pPr>
        <w:pStyle w:val="ListParagraph"/>
        <w:numPr>
          <w:ilvl w:val="0"/>
          <w:numId w:val="4"/>
        </w:numPr>
        <w:spacing w:after="80"/>
      </w:pPr>
      <w:r>
        <w:rPr>
          <w:rFonts w:ascii="Arial" w:cs="Arial" w:eastAsia="Arial" w:hAnsi="Arial"/>
          <w:sz w:val="20"/>
          <w:szCs w:val="20"/>
        </w:rPr>
        <w:t xml:space="preserve">Answer option editor: Define categorical answer choices, assign concept IDs, set numeric score equivalents, mark reverse-coded items.</w:t>
      </w:r>
    </w:p>
    <w:p>
      <w:pPr>
        <w:pStyle w:val="ListParagraph"/>
        <w:numPr>
          <w:ilvl w:val="0"/>
          <w:numId w:val="4"/>
        </w:numPr>
        <w:spacing w:after="80"/>
      </w:pPr>
      <w:r>
        <w:rPr>
          <w:rFonts w:ascii="Arial" w:cs="Arial" w:eastAsia="Arial" w:hAnsi="Arial"/>
          <w:sz w:val="20"/>
          <w:szCs w:val="20"/>
        </w:rPr>
        <w:t xml:space="preserve">Concept mapping assistant (Abby AI): For questions without obvious OMOP concepts, Abby suggests candidates from ATHENA using semantic similarity and the concept embedding vectors already in pgvector.</w:t>
      </w:r>
    </w:p>
    <w:p>
      <w:pPr>
        <w:pStyle w:val="ListParagraph"/>
        <w:numPr>
          <w:ilvl w:val="0"/>
          <w:numId w:val="4"/>
        </w:numPr>
        <w:spacing w:after="80"/>
      </w:pPr>
      <w:r>
        <w:rPr>
          <w:rFonts w:ascii="Arial" w:cs="Arial" w:eastAsia="Arial" w:hAnsi="Arial"/>
          <w:sz w:val="20"/>
          <w:szCs w:val="20"/>
        </w:rPr>
        <w:t xml:space="preserve">Import/export: Import instruments from REDCap data dictionaries, FHIR Questionnaire resources, or CSV templates. Export as OMOP concept sets or FHIR Questionnaire resources.</w:t>
      </w:r>
    </w:p>
    <w:p>
      <w:pPr>
        <w:pStyle w:val="ListParagraph"/>
        <w:numPr>
          <w:ilvl w:val="0"/>
          <w:numId w:val="4"/>
        </w:numPr>
        <w:spacing w:after="80"/>
      </w:pPr>
      <w:r>
        <w:rPr>
          <w:rFonts w:ascii="Arial" w:cs="Arial" w:eastAsia="Arial" w:hAnsi="Arial"/>
          <w:sz w:val="20"/>
          <w:szCs w:val="20"/>
        </w:rPr>
        <w:t xml:space="preserve">Versioning: Track changes across instrument versions while preserving backward compatibility for existing data.</w:t>
      </w:r>
    </w:p>
    <w:p>
      <w:pPr>
        <w:pStyle w:val="Heading3"/>
        <w:spacing w:after="120" w:before="200"/>
      </w:pPr>
      <w:r>
        <w:rPr>
          <w:rFonts w:ascii="Arial" w:cs="Arial" w:eastAsia="Arial" w:hAnsi="Arial"/>
          <w:b/>
          <w:bCs/>
          <w:color w:val="0E0E11"/>
          <w:sz w:val="22"/>
          <w:szCs w:val="22"/>
        </w:rPr>
        <w:t xml:space="preserve">Frontend Architecture</w:t>
      </w:r>
    </w:p>
    <w:p>
      <w:pPr>
        <w:spacing w:after="160"/>
      </w:pPr>
      <w:r>
        <w:rPr>
          <w:rFonts w:ascii="Arial" w:cs="Arial" w:eastAsia="Arial" w:hAnsi="Arial"/>
          <w:sz w:val="20"/>
          <w:szCs w:val="20"/>
        </w:rPr>
        <w:t xml:space="preserve">A new frontend feature module at frontend/src/features/survey-instruments/ with pages for the instrument library browser, detail/editor, and a builder wizard. Uses TanStack Table for item lists, Zustand for builder state, and the established Parthenon dark clinical theme.</w:t>
      </w:r>
    </w:p>
    <w:p>
      <w:pPr>
        <w:pStyle w:val="Heading2"/>
        <w:spacing w:after="160" w:before="280"/>
      </w:pPr>
      <w:r>
        <w:rPr>
          <w:rFonts w:ascii="Arial" w:cs="Arial" w:eastAsia="Arial" w:hAnsi="Arial"/>
          <w:b/>
          <w:bCs/>
          <w:color w:val="0E0E11"/>
          <w:sz w:val="26"/>
          <w:szCs w:val="26"/>
        </w:rPr>
        <w:t xml:space="preserve">Pillar 3: Survey Conduct Metadata Layer</w:t>
      </w:r>
    </w:p>
    <w:p>
      <w:pPr>
        <w:spacing w:after="160"/>
      </w:pPr>
      <w:r>
        <w:rPr>
          <w:rFonts w:ascii="Arial" w:cs="Arial" w:eastAsia="Arial" w:hAnsi="Arial"/>
          <w:sz w:val="20"/>
          <w:szCs w:val="20"/>
        </w:rPr>
        <w:t xml:space="preserve">A survey administration metadata layer that works within CDM v5.4’s table structure while remaining forward-compatible with v6.0’s native survey_conduct table.</w:t>
      </w:r>
    </w:p>
    <w:p>
      <w:pPr>
        <w:pStyle w:val="Heading3"/>
        <w:spacing w:after="120" w:before="200"/>
      </w:pPr>
      <w:r>
        <w:rPr>
          <w:rFonts w:ascii="Arial" w:cs="Arial" w:eastAsia="Arial" w:hAnsi="Arial"/>
          <w:b/>
          <w:bCs/>
          <w:color w:val="0E0E11"/>
          <w:sz w:val="22"/>
          <w:szCs w:val="22"/>
        </w:rPr>
        <w:t xml:space="preserve">Approach</w:t>
      </w:r>
    </w:p>
    <w:p>
      <w:pPr>
        <w:spacing w:after="160"/>
      </w:pPr>
      <w:r>
        <w:rPr>
          <w:rFonts w:ascii="Arial" w:cs="Arial" w:eastAsia="Arial" w:hAnsi="Arial"/>
          <w:sz w:val="20"/>
          <w:szCs w:val="20"/>
        </w:rPr>
        <w:t xml:space="preserve">We create an app.survey_conduct table in the app schema (not the CDM schemas) that mirrors CDM v6.0’s SURVEY_CONDUCT table structure. This stores survey-level metadata: which instrument, which patient, when administered, respondent type (self/proxy/clinician), administration mode (paper/electronic/phone/interview), completion status, visit linkage, and parent survey reference for nested instruments.</w:t>
      </w:r>
    </w:p>
    <w:p>
      <w:pPr>
        <w:spacing w:after="160"/>
      </w:pPr>
      <w:r>
        <w:rPr>
          <w:rFonts w:ascii="Arial" w:cs="Arial" w:eastAsia="Arial" w:hAnsi="Arial"/>
          <w:sz w:val="20"/>
          <w:szCs w:val="20"/>
        </w:rPr>
        <w:t xml:space="preserve">Observation rows for individual question responses include a qualifier_concept_id linking back to the survey_conduct record. When CDM v6.0 support matures, a migration script will promote app.survey_conduct rows into the native CDM table and update observation foreign keys.</w:t>
      </w:r>
    </w:p>
    <w:p>
      <w:pPr>
        <w:pStyle w:val="Heading3"/>
        <w:spacing w:after="120" w:before="200"/>
      </w:pPr>
      <w:r>
        <w:rPr>
          <w:rFonts w:ascii="Arial" w:cs="Arial" w:eastAsia="Arial" w:hAnsi="Arial"/>
          <w:b/>
          <w:bCs/>
          <w:color w:val="0E0E11"/>
          <w:sz w:val="22"/>
          <w:szCs w:val="22"/>
        </w:rPr>
        <w:t xml:space="preserve">Key Fields</w:t>
      </w:r>
    </w:p>
    <w:p>
      <w:pPr>
        <w:pStyle w:val="ListParagraph"/>
        <w:numPr>
          <w:ilvl w:val="0"/>
          <w:numId w:val="2"/>
        </w:numPr>
        <w:spacing w:after="80"/>
      </w:pPr>
      <w:r>
        <w:rPr>
          <w:rFonts w:ascii="Arial" w:cs="Arial" w:eastAsia="Arial" w:hAnsi="Arial"/>
          <w:b/>
          <w:bCs/>
          <w:sz w:val="20"/>
          <w:szCs w:val="20"/>
        </w:rPr>
        <w:t xml:space="preserve">survey_conduct_id: </w:t>
      </w:r>
      <w:r>
        <w:rPr>
          <w:rFonts w:ascii="Arial" w:cs="Arial" w:eastAsia="Arial" w:hAnsi="Arial"/>
          <w:sz w:val="20"/>
          <w:szCs w:val="20"/>
        </w:rPr>
        <w:t xml:space="preserve">Primary key.</w:t>
      </w:r>
    </w:p>
    <w:p>
      <w:pPr>
        <w:pStyle w:val="ListParagraph"/>
        <w:numPr>
          <w:ilvl w:val="0"/>
          <w:numId w:val="2"/>
        </w:numPr>
        <w:spacing w:after="80"/>
      </w:pPr>
      <w:r>
        <w:rPr>
          <w:rFonts w:ascii="Arial" w:cs="Arial" w:eastAsia="Arial" w:hAnsi="Arial"/>
          <w:b/>
          <w:bCs/>
          <w:sz w:val="20"/>
          <w:szCs w:val="20"/>
        </w:rPr>
        <w:t xml:space="preserve">person_id: </w:t>
      </w:r>
      <w:r>
        <w:rPr>
          <w:rFonts w:ascii="Arial" w:cs="Arial" w:eastAsia="Arial" w:hAnsi="Arial"/>
          <w:sz w:val="20"/>
          <w:szCs w:val="20"/>
        </w:rPr>
        <w:t xml:space="preserve">FK to person table.</w:t>
      </w:r>
    </w:p>
    <w:p>
      <w:pPr>
        <w:pStyle w:val="ListParagraph"/>
        <w:numPr>
          <w:ilvl w:val="0"/>
          <w:numId w:val="2"/>
        </w:numPr>
        <w:spacing w:after="80"/>
      </w:pPr>
      <w:r>
        <w:rPr>
          <w:rFonts w:ascii="Arial" w:cs="Arial" w:eastAsia="Arial" w:hAnsi="Arial"/>
          <w:b/>
          <w:bCs/>
          <w:sz w:val="20"/>
          <w:szCs w:val="20"/>
        </w:rPr>
        <w:t xml:space="preserve">survey_instrument_id: </w:t>
      </w:r>
      <w:r>
        <w:rPr>
          <w:rFonts w:ascii="Arial" w:cs="Arial" w:eastAsia="Arial" w:hAnsi="Arial"/>
          <w:sz w:val="20"/>
          <w:szCs w:val="20"/>
        </w:rPr>
        <w:t xml:space="preserve">FK to the Parthenon Survey Instrument Library.</w:t>
      </w:r>
    </w:p>
    <w:p>
      <w:pPr>
        <w:pStyle w:val="ListParagraph"/>
        <w:numPr>
          <w:ilvl w:val="0"/>
          <w:numId w:val="2"/>
        </w:numPr>
        <w:spacing w:after="80"/>
      </w:pPr>
      <w:r>
        <w:rPr>
          <w:rFonts w:ascii="Arial" w:cs="Arial" w:eastAsia="Arial" w:hAnsi="Arial"/>
          <w:b/>
          <w:bCs/>
          <w:sz w:val="20"/>
          <w:szCs w:val="20"/>
        </w:rPr>
        <w:t xml:space="preserve">survey_concept_id: </w:t>
      </w:r>
      <w:r>
        <w:rPr>
          <w:rFonts w:ascii="Arial" w:cs="Arial" w:eastAsia="Arial" w:hAnsi="Arial"/>
          <w:sz w:val="20"/>
          <w:szCs w:val="20"/>
        </w:rPr>
        <w:t xml:space="preserve">OMOP concept for the instrument (from the library).</w:t>
      </w:r>
    </w:p>
    <w:p>
      <w:pPr>
        <w:pStyle w:val="ListParagraph"/>
        <w:numPr>
          <w:ilvl w:val="0"/>
          <w:numId w:val="2"/>
        </w:numPr>
        <w:spacing w:after="80"/>
      </w:pPr>
      <w:r>
        <w:rPr>
          <w:rFonts w:ascii="Arial" w:cs="Arial" w:eastAsia="Arial" w:hAnsi="Arial"/>
          <w:b/>
          <w:bCs/>
          <w:sz w:val="20"/>
          <w:szCs w:val="20"/>
        </w:rPr>
        <w:t xml:space="preserve">survey_start_datetime / survey_end_datetime: </w:t>
      </w:r>
      <w:r>
        <w:rPr>
          <w:rFonts w:ascii="Arial" w:cs="Arial" w:eastAsia="Arial" w:hAnsi="Arial"/>
          <w:sz w:val="20"/>
          <w:szCs w:val="20"/>
        </w:rPr>
        <w:t xml:space="preserve">Administration timing.</w:t>
      </w:r>
    </w:p>
    <w:p>
      <w:pPr>
        <w:pStyle w:val="ListParagraph"/>
        <w:numPr>
          <w:ilvl w:val="0"/>
          <w:numId w:val="2"/>
        </w:numPr>
        <w:spacing w:after="80"/>
      </w:pPr>
      <w:r>
        <w:rPr>
          <w:rFonts w:ascii="Arial" w:cs="Arial" w:eastAsia="Arial" w:hAnsi="Arial"/>
          <w:b/>
          <w:bCs/>
          <w:sz w:val="20"/>
          <w:szCs w:val="20"/>
        </w:rPr>
        <w:t xml:space="preserve">respondent_type_concept_id: </w:t>
      </w:r>
      <w:r>
        <w:rPr>
          <w:rFonts w:ascii="Arial" w:cs="Arial" w:eastAsia="Arial" w:hAnsi="Arial"/>
          <w:sz w:val="20"/>
          <w:szCs w:val="20"/>
        </w:rPr>
        <w:t xml:space="preserve">Self, proxy, clinician.</w:t>
      </w:r>
    </w:p>
    <w:p>
      <w:pPr>
        <w:pStyle w:val="ListParagraph"/>
        <w:numPr>
          <w:ilvl w:val="0"/>
          <w:numId w:val="2"/>
        </w:numPr>
        <w:spacing w:after="80"/>
      </w:pPr>
      <w:r>
        <w:rPr>
          <w:rFonts w:ascii="Arial" w:cs="Arial" w:eastAsia="Arial" w:hAnsi="Arial"/>
          <w:b/>
          <w:bCs/>
          <w:sz w:val="20"/>
          <w:szCs w:val="20"/>
        </w:rPr>
        <w:t xml:space="preserve">survey_mode_concept_id: </w:t>
      </w:r>
      <w:r>
        <w:rPr>
          <w:rFonts w:ascii="Arial" w:cs="Arial" w:eastAsia="Arial" w:hAnsi="Arial"/>
          <w:sz w:val="20"/>
          <w:szCs w:val="20"/>
        </w:rPr>
        <w:t xml:space="preserve">Paper, electronic, phone, interview.</w:t>
      </w:r>
    </w:p>
    <w:p>
      <w:pPr>
        <w:pStyle w:val="ListParagraph"/>
        <w:numPr>
          <w:ilvl w:val="0"/>
          <w:numId w:val="2"/>
        </w:numPr>
        <w:spacing w:after="80"/>
      </w:pPr>
      <w:r>
        <w:rPr>
          <w:rFonts w:ascii="Arial" w:cs="Arial" w:eastAsia="Arial" w:hAnsi="Arial"/>
          <w:b/>
          <w:bCs/>
          <w:sz w:val="20"/>
          <w:szCs w:val="20"/>
        </w:rPr>
        <w:t xml:space="preserve">completion_status: </w:t>
      </w:r>
      <w:r>
        <w:rPr>
          <w:rFonts w:ascii="Arial" w:cs="Arial" w:eastAsia="Arial" w:hAnsi="Arial"/>
          <w:sz w:val="20"/>
          <w:szCs w:val="20"/>
        </w:rPr>
        <w:t xml:space="preserve">Complete, partial, abandoned.</w:t>
      </w:r>
    </w:p>
    <w:p>
      <w:pPr>
        <w:pStyle w:val="ListParagraph"/>
        <w:numPr>
          <w:ilvl w:val="0"/>
          <w:numId w:val="2"/>
        </w:numPr>
        <w:spacing w:after="80"/>
      </w:pPr>
      <w:r>
        <w:rPr>
          <w:rFonts w:ascii="Arial" w:cs="Arial" w:eastAsia="Arial" w:hAnsi="Arial"/>
          <w:b/>
          <w:bCs/>
          <w:sz w:val="20"/>
          <w:szCs w:val="20"/>
        </w:rPr>
        <w:t xml:space="preserve">visit_occurrence_id: </w:t>
      </w:r>
      <w:r>
        <w:rPr>
          <w:rFonts w:ascii="Arial" w:cs="Arial" w:eastAsia="Arial" w:hAnsi="Arial"/>
          <w:sz w:val="20"/>
          <w:szCs w:val="20"/>
        </w:rPr>
        <w:t xml:space="preserve">Clinical visit context.</w:t>
      </w:r>
    </w:p>
    <w:p>
      <w:pPr>
        <w:pStyle w:val="ListParagraph"/>
        <w:numPr>
          <w:ilvl w:val="0"/>
          <w:numId w:val="2"/>
        </w:numPr>
        <w:spacing w:after="80"/>
      </w:pPr>
      <w:r>
        <w:rPr>
          <w:rFonts w:ascii="Arial" w:cs="Arial" w:eastAsia="Arial" w:hAnsi="Arial"/>
          <w:b/>
          <w:bCs/>
          <w:sz w:val="20"/>
          <w:szCs w:val="20"/>
        </w:rPr>
        <w:t xml:space="preserve">total_score / subscale_scores: </w:t>
      </w:r>
      <w:r>
        <w:rPr>
          <w:rFonts w:ascii="Arial" w:cs="Arial" w:eastAsia="Arial" w:hAnsi="Arial"/>
          <w:sz w:val="20"/>
          <w:szCs w:val="20"/>
        </w:rPr>
        <w:t xml:space="preserve">Auto-calculated from item responses using the instrument’s scoring algorithm.</w:t>
      </w:r>
    </w:p>
    <w:p>
      <w:pPr>
        <w:pStyle w:val="Heading2"/>
        <w:spacing w:after="160" w:before="280"/>
      </w:pPr>
      <w:r>
        <w:rPr>
          <w:rFonts w:ascii="Arial" w:cs="Arial" w:eastAsia="Arial" w:hAnsi="Arial"/>
          <w:b/>
          <w:bCs/>
          <w:color w:val="0E0E11"/>
          <w:sz w:val="26"/>
          <w:szCs w:val="26"/>
        </w:rPr>
        <w:t xml:space="preserve">Pillar 4: Survey Analytics &amp; Data Quality</w:t>
      </w:r>
    </w:p>
    <w:p>
      <w:pPr>
        <w:spacing w:after="160"/>
      </w:pPr>
      <w:r>
        <w:rPr>
          <w:rFonts w:ascii="Arial" w:cs="Arial" w:eastAsia="Arial" w:hAnsi="Arial"/>
          <w:sz w:val="20"/>
          <w:szCs w:val="20"/>
        </w:rPr>
        <w:t xml:space="preserve">Dedicated analytics extending Parthenon’s Achilles and DQD capabilities for survey-specific characterization.</w:t>
      </w:r>
    </w:p>
    <w:p>
      <w:pPr>
        <w:pStyle w:val="Heading3"/>
        <w:spacing w:after="120" w:before="200"/>
      </w:pPr>
      <w:r>
        <w:rPr>
          <w:rFonts w:ascii="Arial" w:cs="Arial" w:eastAsia="Arial" w:hAnsi="Arial"/>
          <w:b/>
          <w:bCs/>
          <w:color w:val="0E0E11"/>
          <w:sz w:val="22"/>
          <w:szCs w:val="22"/>
        </w:rPr>
        <w:t xml:space="preserve">New Achilles Analyses (900-series)</w:t>
      </w:r>
    </w:p>
    <w:p>
      <w:pPr>
        <w:pStyle w:val="ListParagraph"/>
        <w:numPr>
          <w:ilvl w:val="0"/>
          <w:numId w:val="2"/>
        </w:numPr>
        <w:spacing w:after="80"/>
      </w:pPr>
      <w:r>
        <w:rPr>
          <w:rFonts w:ascii="Arial" w:cs="Arial" w:eastAsia="Arial" w:hAnsi="Arial"/>
          <w:b/>
          <w:bCs/>
          <w:sz w:val="20"/>
          <w:szCs w:val="20"/>
        </w:rPr>
        <w:t xml:space="preserve">900: </w:t>
      </w:r>
      <w:r>
        <w:rPr>
          <w:rFonts w:ascii="Arial" w:cs="Arial" w:eastAsia="Arial" w:hAnsi="Arial"/>
          <w:sz w:val="20"/>
          <w:szCs w:val="20"/>
        </w:rPr>
        <w:t xml:space="preserve">Number of persons with at least one survey response, by instrument.</w:t>
      </w:r>
    </w:p>
    <w:p>
      <w:pPr>
        <w:pStyle w:val="ListParagraph"/>
        <w:numPr>
          <w:ilvl w:val="0"/>
          <w:numId w:val="2"/>
        </w:numPr>
        <w:spacing w:after="80"/>
      </w:pPr>
      <w:r>
        <w:rPr>
          <w:rFonts w:ascii="Arial" w:cs="Arial" w:eastAsia="Arial" w:hAnsi="Arial"/>
          <w:b/>
          <w:bCs/>
          <w:sz w:val="20"/>
          <w:szCs w:val="20"/>
        </w:rPr>
        <w:t xml:space="preserve">901: </w:t>
      </w:r>
      <w:r>
        <w:rPr>
          <w:rFonts w:ascii="Arial" w:cs="Arial" w:eastAsia="Arial" w:hAnsi="Arial"/>
          <w:sz w:val="20"/>
          <w:szCs w:val="20"/>
        </w:rPr>
        <w:t xml:space="preserve">Number of completed surveys by instrument and time period.</w:t>
      </w:r>
    </w:p>
    <w:p>
      <w:pPr>
        <w:pStyle w:val="ListParagraph"/>
        <w:numPr>
          <w:ilvl w:val="0"/>
          <w:numId w:val="2"/>
        </w:numPr>
        <w:spacing w:after="80"/>
      </w:pPr>
      <w:r>
        <w:rPr>
          <w:rFonts w:ascii="Arial" w:cs="Arial" w:eastAsia="Arial" w:hAnsi="Arial"/>
          <w:b/>
          <w:bCs/>
          <w:sz w:val="20"/>
          <w:szCs w:val="20"/>
        </w:rPr>
        <w:t xml:space="preserve">902: </w:t>
      </w:r>
      <w:r>
        <w:rPr>
          <w:rFonts w:ascii="Arial" w:cs="Arial" w:eastAsia="Arial" w:hAnsi="Arial"/>
          <w:sz w:val="20"/>
          <w:szCs w:val="20"/>
        </w:rPr>
        <w:t xml:space="preserve">Item completion rates (% of items answered per survey instance) — identifies instruments with high skip rates.</w:t>
      </w:r>
    </w:p>
    <w:p>
      <w:pPr>
        <w:pStyle w:val="ListParagraph"/>
        <w:numPr>
          <w:ilvl w:val="0"/>
          <w:numId w:val="2"/>
        </w:numPr>
        <w:spacing w:after="80"/>
      </w:pPr>
      <w:r>
        <w:rPr>
          <w:rFonts w:ascii="Arial" w:cs="Arial" w:eastAsia="Arial" w:hAnsi="Arial"/>
          <w:b/>
          <w:bCs/>
          <w:sz w:val="20"/>
          <w:szCs w:val="20"/>
        </w:rPr>
        <w:t xml:space="preserve">903: </w:t>
      </w:r>
      <w:r>
        <w:rPr>
          <w:rFonts w:ascii="Arial" w:cs="Arial" w:eastAsia="Arial" w:hAnsi="Arial"/>
          <w:sz w:val="20"/>
          <w:szCs w:val="20"/>
        </w:rPr>
        <w:t xml:space="preserve">Score distributions by instrument and subscale (box plots, histograms).</w:t>
      </w:r>
    </w:p>
    <w:p>
      <w:pPr>
        <w:pStyle w:val="ListParagraph"/>
        <w:numPr>
          <w:ilvl w:val="0"/>
          <w:numId w:val="2"/>
        </w:numPr>
        <w:spacing w:after="80"/>
      </w:pPr>
      <w:r>
        <w:rPr>
          <w:rFonts w:ascii="Arial" w:cs="Arial" w:eastAsia="Arial" w:hAnsi="Arial"/>
          <w:b/>
          <w:bCs/>
          <w:sz w:val="20"/>
          <w:szCs w:val="20"/>
        </w:rPr>
        <w:t xml:space="preserve">904: </w:t>
      </w:r>
      <w:r>
        <w:rPr>
          <w:rFonts w:ascii="Arial" w:cs="Arial" w:eastAsia="Arial" w:hAnsi="Arial"/>
          <w:sz w:val="20"/>
          <w:szCs w:val="20"/>
        </w:rPr>
        <w:t xml:space="preserve">Floor/ceiling effects (% of respondents at minimum or maximum score).</w:t>
      </w:r>
    </w:p>
    <w:p>
      <w:pPr>
        <w:pStyle w:val="ListParagraph"/>
        <w:numPr>
          <w:ilvl w:val="0"/>
          <w:numId w:val="2"/>
        </w:numPr>
        <w:spacing w:after="80"/>
      </w:pPr>
      <w:r>
        <w:rPr>
          <w:rFonts w:ascii="Arial" w:cs="Arial" w:eastAsia="Arial" w:hAnsi="Arial"/>
          <w:b/>
          <w:bCs/>
          <w:sz w:val="20"/>
          <w:szCs w:val="20"/>
        </w:rPr>
        <w:t xml:space="preserve">905: </w:t>
      </w:r>
      <w:r>
        <w:rPr>
          <w:rFonts w:ascii="Arial" w:cs="Arial" w:eastAsia="Arial" w:hAnsi="Arial"/>
          <w:sz w:val="20"/>
          <w:szCs w:val="20"/>
        </w:rPr>
        <w:t xml:space="preserve">Longitudinal score trajectories (mean score over time relative to index date).</w:t>
      </w:r>
    </w:p>
    <w:p>
      <w:pPr>
        <w:pStyle w:val="ListParagraph"/>
        <w:numPr>
          <w:ilvl w:val="0"/>
          <w:numId w:val="2"/>
        </w:numPr>
        <w:spacing w:after="80"/>
      </w:pPr>
      <w:r>
        <w:rPr>
          <w:rFonts w:ascii="Arial" w:cs="Arial" w:eastAsia="Arial" w:hAnsi="Arial"/>
          <w:b/>
          <w:bCs/>
          <w:sz w:val="20"/>
          <w:szCs w:val="20"/>
        </w:rPr>
        <w:t xml:space="preserve">906: </w:t>
      </w:r>
      <w:r>
        <w:rPr>
          <w:rFonts w:ascii="Arial" w:cs="Arial" w:eastAsia="Arial" w:hAnsi="Arial"/>
          <w:sz w:val="20"/>
          <w:szCs w:val="20"/>
        </w:rPr>
        <w:t xml:space="preserve">Response time distributions (for electronically administered surveys).</w:t>
      </w:r>
    </w:p>
    <w:p>
      <w:pPr>
        <w:pStyle w:val="ListParagraph"/>
        <w:numPr>
          <w:ilvl w:val="0"/>
          <w:numId w:val="2"/>
        </w:numPr>
        <w:spacing w:after="80"/>
      </w:pPr>
      <w:r>
        <w:rPr>
          <w:rFonts w:ascii="Arial" w:cs="Arial" w:eastAsia="Arial" w:hAnsi="Arial"/>
          <w:b/>
          <w:bCs/>
          <w:sz w:val="20"/>
          <w:szCs w:val="20"/>
        </w:rPr>
        <w:t xml:space="preserve">907: </w:t>
      </w:r>
      <w:r>
        <w:rPr>
          <w:rFonts w:ascii="Arial" w:cs="Arial" w:eastAsia="Arial" w:hAnsi="Arial"/>
          <w:sz w:val="20"/>
          <w:szCs w:val="20"/>
        </w:rPr>
        <w:t xml:space="preserve">Survey administration by respondent type and mode.</w:t>
      </w:r>
    </w:p>
    <w:p>
      <w:pPr>
        <w:pStyle w:val="ListParagraph"/>
        <w:numPr>
          <w:ilvl w:val="0"/>
          <w:numId w:val="2"/>
        </w:numPr>
        <w:spacing w:after="80"/>
      </w:pPr>
      <w:r>
        <w:rPr>
          <w:rFonts w:ascii="Arial" w:cs="Arial" w:eastAsia="Arial" w:hAnsi="Arial"/>
          <w:b/>
          <w:bCs/>
          <w:sz w:val="20"/>
          <w:szCs w:val="20"/>
        </w:rPr>
        <w:t xml:space="preserve">908: </w:t>
      </w:r>
      <w:r>
        <w:rPr>
          <w:rFonts w:ascii="Arial" w:cs="Arial" w:eastAsia="Arial" w:hAnsi="Arial"/>
          <w:sz w:val="20"/>
          <w:szCs w:val="20"/>
        </w:rPr>
        <w:t xml:space="preserve">Missing data patterns (which items are most frequently skipped).</w:t>
      </w:r>
    </w:p>
    <w:p>
      <w:pPr>
        <w:pStyle w:val="ListParagraph"/>
        <w:numPr>
          <w:ilvl w:val="0"/>
          <w:numId w:val="2"/>
        </w:numPr>
        <w:spacing w:after="80"/>
      </w:pPr>
      <w:r>
        <w:rPr>
          <w:rFonts w:ascii="Arial" w:cs="Arial" w:eastAsia="Arial" w:hAnsi="Arial"/>
          <w:b/>
          <w:bCs/>
          <w:sz w:val="20"/>
          <w:szCs w:val="20"/>
        </w:rPr>
        <w:t xml:space="preserve">909: </w:t>
      </w:r>
      <w:r>
        <w:rPr>
          <w:rFonts w:ascii="Arial" w:cs="Arial" w:eastAsia="Arial" w:hAnsi="Arial"/>
          <w:sz w:val="20"/>
          <w:szCs w:val="20"/>
        </w:rPr>
        <w:t xml:space="preserve">Survey-to-clinical-event temporal alignment (days between survey and nearest visit).</w:t>
      </w:r>
    </w:p>
    <w:p>
      <w:pPr>
        <w:pStyle w:val="Heading3"/>
        <w:spacing w:after="120" w:before="200"/>
      </w:pPr>
      <w:r>
        <w:rPr>
          <w:rFonts w:ascii="Arial" w:cs="Arial" w:eastAsia="Arial" w:hAnsi="Arial"/>
          <w:b/>
          <w:bCs/>
          <w:color w:val="0E0E11"/>
          <w:sz w:val="22"/>
          <w:szCs w:val="22"/>
        </w:rPr>
        <w:t xml:space="preserve">Data Quality Checks</w:t>
      </w:r>
    </w:p>
    <w:p>
      <w:pPr>
        <w:pStyle w:val="ListParagraph"/>
        <w:numPr>
          <w:ilvl w:val="0"/>
          <w:numId w:val="2"/>
        </w:numPr>
        <w:spacing w:after="80"/>
      </w:pPr>
      <w:r>
        <w:rPr>
          <w:rFonts w:ascii="Arial" w:cs="Arial" w:eastAsia="Arial" w:hAnsi="Arial"/>
          <w:b/>
          <w:bCs/>
          <w:sz w:val="20"/>
          <w:szCs w:val="20"/>
        </w:rPr>
        <w:t xml:space="preserve">DQ-S01: </w:t>
      </w:r>
      <w:r>
        <w:rPr>
          <w:rFonts w:ascii="Arial" w:cs="Arial" w:eastAsia="Arial" w:hAnsi="Arial"/>
          <w:sz w:val="20"/>
          <w:szCs w:val="20"/>
        </w:rPr>
        <w:t xml:space="preserve">Orphaned survey responses (observation rows with survey type but no survey_conduct record).</w:t>
      </w:r>
    </w:p>
    <w:p>
      <w:pPr>
        <w:pStyle w:val="ListParagraph"/>
        <w:numPr>
          <w:ilvl w:val="0"/>
          <w:numId w:val="2"/>
        </w:numPr>
        <w:spacing w:after="80"/>
      </w:pPr>
      <w:r>
        <w:rPr>
          <w:rFonts w:ascii="Arial" w:cs="Arial" w:eastAsia="Arial" w:hAnsi="Arial"/>
          <w:b/>
          <w:bCs/>
          <w:sz w:val="20"/>
          <w:szCs w:val="20"/>
        </w:rPr>
        <w:t xml:space="preserve">DQ-S02: </w:t>
      </w:r>
      <w:r>
        <w:rPr>
          <w:rFonts w:ascii="Arial" w:cs="Arial" w:eastAsia="Arial" w:hAnsi="Arial"/>
          <w:sz w:val="20"/>
          <w:szCs w:val="20"/>
        </w:rPr>
        <w:t xml:space="preserve">Out-of-range values (item scores outside the instrument’s valid range).</w:t>
      </w:r>
    </w:p>
    <w:p>
      <w:pPr>
        <w:pStyle w:val="ListParagraph"/>
        <w:numPr>
          <w:ilvl w:val="0"/>
          <w:numId w:val="2"/>
        </w:numPr>
        <w:spacing w:after="80"/>
      </w:pPr>
      <w:r>
        <w:rPr>
          <w:rFonts w:ascii="Arial" w:cs="Arial" w:eastAsia="Arial" w:hAnsi="Arial"/>
          <w:b/>
          <w:bCs/>
          <w:sz w:val="20"/>
          <w:szCs w:val="20"/>
        </w:rPr>
        <w:t xml:space="preserve">DQ-S03: </w:t>
      </w:r>
      <w:r>
        <w:rPr>
          <w:rFonts w:ascii="Arial" w:cs="Arial" w:eastAsia="Arial" w:hAnsi="Arial"/>
          <w:sz w:val="20"/>
          <w:szCs w:val="20"/>
        </w:rPr>
        <w:t xml:space="preserve">Implausibly fast completion (total time &lt; instrument’s expected minimum).</w:t>
      </w:r>
    </w:p>
    <w:p>
      <w:pPr>
        <w:pStyle w:val="ListParagraph"/>
        <w:numPr>
          <w:ilvl w:val="0"/>
          <w:numId w:val="2"/>
        </w:numPr>
        <w:spacing w:after="80"/>
      </w:pPr>
      <w:r>
        <w:rPr>
          <w:rFonts w:ascii="Arial" w:cs="Arial" w:eastAsia="Arial" w:hAnsi="Arial"/>
          <w:b/>
          <w:bCs/>
          <w:sz w:val="20"/>
          <w:szCs w:val="20"/>
        </w:rPr>
        <w:t xml:space="preserve">DQ-S04: </w:t>
      </w:r>
      <w:r>
        <w:rPr>
          <w:rFonts w:ascii="Arial" w:cs="Arial" w:eastAsia="Arial" w:hAnsi="Arial"/>
          <w:sz w:val="20"/>
          <w:szCs w:val="20"/>
        </w:rPr>
        <w:t xml:space="preserve">Straight-line responding (all items answered identically—potential low-effort response).</w:t>
      </w:r>
    </w:p>
    <w:p>
      <w:pPr>
        <w:pStyle w:val="ListParagraph"/>
        <w:numPr>
          <w:ilvl w:val="0"/>
          <w:numId w:val="2"/>
        </w:numPr>
        <w:spacing w:after="80"/>
      </w:pPr>
      <w:r>
        <w:rPr>
          <w:rFonts w:ascii="Arial" w:cs="Arial" w:eastAsia="Arial" w:hAnsi="Arial"/>
          <w:b/>
          <w:bCs/>
          <w:sz w:val="20"/>
          <w:szCs w:val="20"/>
        </w:rPr>
        <w:t xml:space="preserve">DQ-S05: </w:t>
      </w:r>
      <w:r>
        <w:rPr>
          <w:rFonts w:ascii="Arial" w:cs="Arial" w:eastAsia="Arial" w:hAnsi="Arial"/>
          <w:sz w:val="20"/>
          <w:szCs w:val="20"/>
        </w:rPr>
        <w:t xml:space="preserve">Concept mapping completeness (% of items mapped to standard concepts vs. custom/unmapped).</w:t>
      </w:r>
    </w:p>
    <w:p>
      <w:r>
        <w:br w:type="page"/>
      </w:r>
    </w:p>
    <w:p>
      <w:pPr>
        <w:pStyle w:val="Heading1"/>
        <w:spacing w:after="200" w:before="360"/>
      </w:pPr>
      <w:r>
        <w:rPr>
          <w:rFonts w:ascii="Arial" w:cs="Arial" w:eastAsia="Arial" w:hAnsi="Arial"/>
          <w:b/>
          <w:bCs/>
          <w:color w:val="9B1B30"/>
          <w:sz w:val="32"/>
          <w:szCs w:val="32"/>
        </w:rPr>
        <w:t xml:space="preserve">Part 5: Top 100 Survey Instrument Library</w:t>
      </w:r>
    </w:p>
    <w:p>
      <w:pPr>
        <w:spacing w:after="160"/>
      </w:pPr>
      <w:r>
        <w:rPr>
          <w:rFonts w:ascii="Arial" w:cs="Arial" w:eastAsia="Arial" w:hAnsi="Arial"/>
          <w:sz w:val="20"/>
          <w:szCs w:val="20"/>
        </w:rPr>
        <w:t xml:space="preserve">The following table catalogs the 100 most-utilized clinical survey instruments across 16 clinical domains. Each instrument in the Parthenon library will include pre-assigned standard concepts for every question item and answer choice, scoring algorithms, and license metadata.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60"/>
        <w:gridCol w:w="1100"/>
        <w:gridCol w:w="500"/>
        <w:gridCol w:w="1000"/>
        <w:gridCol w:w="700"/>
        <w:gridCol w:w="2900"/>
      </w:tblGrid>
      <w:tr>
        <w:tc>
          <w:tcPr>
            <w:tcW w:type="dxa" w:w="900"/>
            <w:tcBorders>
              <w:top w:val="single" w:color="CCCCCC" w:sz="1"/>
              <w:left w:val="single" w:color="CCCCCC" w:sz="1"/>
              <w:bottom w:val="single" w:color="CCCCCC" w:sz="1"/>
              <w:right w:val="single" w:color="CCCCCC" w:sz="1"/>
            </w:tcBorders>
            <w:shd w:fill="9B1B30" w:val="clear"/>
            <w:tcMar>
              <w:top w:type="dxa" w:w="80"/>
              <w:left w:type="dxa" w:w="120"/>
              <w:bottom w:type="dxa" w:w="80"/>
              <w:right w:type="dxa" w:w="120"/>
            </w:tcMar>
            <w:vAlign w:val="center"/>
          </w:tcPr>
          <w:p>
            <w:r>
              <w:rPr>
                <w:rFonts w:ascii="Arial" w:cs="Arial" w:eastAsia="Arial" w:hAnsi="Arial"/>
                <w:b/>
                <w:bCs/>
                <w:color w:val="FFFFFF"/>
                <w:sz w:val="18"/>
                <w:szCs w:val="18"/>
              </w:rPr>
              <w:t xml:space="preserve">Abbrev.</w:t>
            </w:r>
          </w:p>
        </w:tc>
        <w:tc>
          <w:tcPr>
            <w:tcW w:type="dxa" w:w="2260"/>
            <w:tcBorders>
              <w:top w:val="single" w:color="CCCCCC" w:sz="1"/>
              <w:left w:val="single" w:color="CCCCCC" w:sz="1"/>
              <w:bottom w:val="single" w:color="CCCCCC" w:sz="1"/>
              <w:right w:val="single" w:color="CCCCCC" w:sz="1"/>
            </w:tcBorders>
            <w:shd w:fill="9B1B30" w:val="clear"/>
            <w:tcMar>
              <w:top w:type="dxa" w:w="80"/>
              <w:left w:type="dxa" w:w="120"/>
              <w:bottom w:type="dxa" w:w="80"/>
              <w:right w:type="dxa" w:w="120"/>
            </w:tcMar>
            <w:vAlign w:val="center"/>
          </w:tcPr>
          <w:p>
            <w:r>
              <w:rPr>
                <w:rFonts w:ascii="Arial" w:cs="Arial" w:eastAsia="Arial" w:hAnsi="Arial"/>
                <w:b/>
                <w:bCs/>
                <w:color w:val="FFFFFF"/>
                <w:sz w:val="18"/>
                <w:szCs w:val="18"/>
              </w:rPr>
              <w:t xml:space="preserve">Instrument Name</w:t>
            </w:r>
          </w:p>
        </w:tc>
        <w:tc>
          <w:tcPr>
            <w:tcW w:type="dxa" w:w="1100"/>
            <w:tcBorders>
              <w:top w:val="single" w:color="CCCCCC" w:sz="1"/>
              <w:left w:val="single" w:color="CCCCCC" w:sz="1"/>
              <w:bottom w:val="single" w:color="CCCCCC" w:sz="1"/>
              <w:right w:val="single" w:color="CCCCCC" w:sz="1"/>
            </w:tcBorders>
            <w:shd w:fill="9B1B30" w:val="clear"/>
            <w:tcMar>
              <w:top w:type="dxa" w:w="80"/>
              <w:left w:type="dxa" w:w="120"/>
              <w:bottom w:type="dxa" w:w="80"/>
              <w:right w:type="dxa" w:w="120"/>
            </w:tcMar>
            <w:vAlign w:val="center"/>
          </w:tcPr>
          <w:p>
            <w:r>
              <w:rPr>
                <w:rFonts w:ascii="Arial" w:cs="Arial" w:eastAsia="Arial" w:hAnsi="Arial"/>
                <w:b/>
                <w:bCs/>
                <w:color w:val="FFFFFF"/>
                <w:sz w:val="18"/>
                <w:szCs w:val="18"/>
              </w:rPr>
              <w:t xml:space="preserve">Domain</w:t>
            </w:r>
          </w:p>
        </w:tc>
        <w:tc>
          <w:tcPr>
            <w:tcW w:type="dxa" w:w="500"/>
            <w:tcBorders>
              <w:top w:val="single" w:color="CCCCCC" w:sz="1"/>
              <w:left w:val="single" w:color="CCCCCC" w:sz="1"/>
              <w:bottom w:val="single" w:color="CCCCCC" w:sz="1"/>
              <w:right w:val="single" w:color="CCCCCC" w:sz="1"/>
            </w:tcBorders>
            <w:shd w:fill="9B1B30" w:val="clear"/>
            <w:tcMar>
              <w:top w:type="dxa" w:w="80"/>
              <w:left w:type="dxa" w:w="120"/>
              <w:bottom w:type="dxa" w:w="80"/>
              <w:right w:type="dxa" w:w="120"/>
            </w:tcMar>
            <w:vAlign w:val="center"/>
          </w:tcPr>
          <w:p>
            <w:r>
              <w:rPr>
                <w:rFonts w:ascii="Arial" w:cs="Arial" w:eastAsia="Arial" w:hAnsi="Arial"/>
                <w:b/>
                <w:bCs/>
                <w:color w:val="FFFFFF"/>
                <w:sz w:val="18"/>
                <w:szCs w:val="18"/>
              </w:rPr>
              <w:t xml:space="preserve">Items</w:t>
            </w:r>
          </w:p>
        </w:tc>
        <w:tc>
          <w:tcPr>
            <w:tcW w:type="dxa" w:w="1000"/>
            <w:tcBorders>
              <w:top w:val="single" w:color="CCCCCC" w:sz="1"/>
              <w:left w:val="single" w:color="CCCCCC" w:sz="1"/>
              <w:bottom w:val="single" w:color="CCCCCC" w:sz="1"/>
              <w:right w:val="single" w:color="CCCCCC" w:sz="1"/>
            </w:tcBorders>
            <w:shd w:fill="9B1B30" w:val="clear"/>
            <w:tcMar>
              <w:top w:type="dxa" w:w="80"/>
              <w:left w:type="dxa" w:w="120"/>
              <w:bottom w:type="dxa" w:w="80"/>
              <w:right w:type="dxa" w:w="120"/>
            </w:tcMar>
            <w:vAlign w:val="center"/>
          </w:tcPr>
          <w:p>
            <w:r>
              <w:rPr>
                <w:rFonts w:ascii="Arial" w:cs="Arial" w:eastAsia="Arial" w:hAnsi="Arial"/>
                <w:b/>
                <w:bCs/>
                <w:color w:val="FFFFFF"/>
                <w:sz w:val="18"/>
                <w:szCs w:val="18"/>
              </w:rPr>
              <w:t xml:space="preserve">LOINC</w:t>
            </w:r>
          </w:p>
        </w:tc>
        <w:tc>
          <w:tcPr>
            <w:tcW w:type="dxa" w:w="700"/>
            <w:tcBorders>
              <w:top w:val="single" w:color="CCCCCC" w:sz="1"/>
              <w:left w:val="single" w:color="CCCCCC" w:sz="1"/>
              <w:bottom w:val="single" w:color="CCCCCC" w:sz="1"/>
              <w:right w:val="single" w:color="CCCCCC" w:sz="1"/>
            </w:tcBorders>
            <w:shd w:fill="9B1B30" w:val="clear"/>
            <w:tcMar>
              <w:top w:type="dxa" w:w="80"/>
              <w:left w:type="dxa" w:w="120"/>
              <w:bottom w:type="dxa" w:w="80"/>
              <w:right w:type="dxa" w:w="120"/>
            </w:tcMar>
            <w:vAlign w:val="center"/>
          </w:tcPr>
          <w:p>
            <w:r>
              <w:rPr>
                <w:rFonts w:ascii="Arial" w:cs="Arial" w:eastAsia="Arial" w:hAnsi="Arial"/>
                <w:b/>
                <w:bCs/>
                <w:color w:val="FFFFFF"/>
                <w:sz w:val="18"/>
                <w:szCs w:val="18"/>
              </w:rPr>
              <w:t xml:space="preserve">OMOP</w:t>
            </w:r>
          </w:p>
        </w:tc>
        <w:tc>
          <w:tcPr>
            <w:tcW w:type="dxa" w:w="2900"/>
            <w:tcBorders>
              <w:top w:val="single" w:color="CCCCCC" w:sz="1"/>
              <w:left w:val="single" w:color="CCCCCC" w:sz="1"/>
              <w:bottom w:val="single" w:color="CCCCCC" w:sz="1"/>
              <w:right w:val="single" w:color="CCCCCC" w:sz="1"/>
            </w:tcBorders>
            <w:shd w:fill="9B1B30" w:val="clear"/>
            <w:tcMar>
              <w:top w:type="dxa" w:w="80"/>
              <w:left w:type="dxa" w:w="120"/>
              <w:bottom w:type="dxa" w:w="80"/>
              <w:right w:type="dxa" w:w="120"/>
            </w:tcMar>
            <w:vAlign w:val="center"/>
          </w:tcPr>
          <w:p>
            <w:r>
              <w:rPr>
                <w:rFonts w:ascii="Arial" w:cs="Arial" w:eastAsia="Arial" w:hAnsi="Arial"/>
                <w:b/>
                <w:bCs/>
                <w:color w:val="FFFFFF"/>
                <w:sz w:val="18"/>
                <w:szCs w:val="18"/>
              </w:rPr>
              <w:t xml:space="preserve">License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PHQ-9</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 Health Questionnaire-9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Mental Health</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(44249-1)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PHQ-2</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Patient Health Questionnaire-2</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Mental Health</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GAD-7</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Generalized Anxiety Disorder-7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Mental Health</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(69737-5)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BDI-II</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Beck Depression Inventory-II</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Mental Health</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21</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C-SSRS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Columbia Suicide Severity Rating Scale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Mental Health</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AUDIT</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Alcohol Use Disorders Identification Test</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Substance Use</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 (WHO)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DAST-10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Drug Abuse Screening Test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Substance Use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CAGE</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CAGE Questionnaire</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Substance Use</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ASSIST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Alcohol/Substance Involvement Screening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Substance Use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 (WHO)</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PANSS</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Positive and Negative Syndrome Scale</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Mental Health</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30</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SAPS/SANS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Assessment of Positive/Negative Symptoms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Mental Health</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34/25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PHQ-SADS</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PHQ Somatic/Anxiety/Depression</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Mental Health</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Multiple</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 (69729-2)</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PCL-5</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PTSD Checklist for DSM-5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Mental Health</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EQ-5D-3L</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EuroQol 5-Dimension 3-Level</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Quality of Life</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5+VAS</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EQ-5D-5L</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EuroQol 5-Dimension 5-Level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Quality of Life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5+VAS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SF-36</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Short Form Health Survey-36</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Quality of Life</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36</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Partial</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SF-12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Short Form Health Survey-12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Quality of Life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WHOQOL-BREF</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WHO Quality of Life-Brief</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Quality of Life</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26</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 (WHO)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HUI</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Health Utility Index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Quality of Life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VAS-Pain</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Visual Analog Scale for Pain</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Pain</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NRS-Pain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Numeric Rating Scale for Pain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Pain</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BPI</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Brief Pain Inventory</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Pain</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17</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MPQ</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McGill Pain Questionnaire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Pain</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SF-MPQ</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Short Form McGill Pain</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Pain</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15</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Barthel</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Barthel Index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Functional Status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Katz ADL</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Katz Index of Independence in ADL</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Functional Status</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IADL</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Instrumental Activities of Daily Living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Functional Status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FIM</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Functional Independence Measure</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Functional Status</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18</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ODI</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Oswestry Disability Index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Functional Status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KPS</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Karnofsky Performance Status</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Functional Status</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ECOG-PS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ECOG Performance Status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Functional Status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EORTC QLQ-C30</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EORTC Quality of Life-Cancer 30</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Oncology</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30</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FACT-G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Functional Assessment of Cancer Therapy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Oncology</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FACIT-F</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FACIT Fatigue Scale</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Oncology</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13</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ESAS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Edmonton Symptom Assessment System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Oncology</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EPIC-26</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Expanded Prostate Cancer Index</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Oncology</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26</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MoCA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Montreal Cognitive Assessment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Cognitive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MMSE</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Mini-Mental State Examination</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Cognitive</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30</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GDS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Geriatric Depression Scale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Geriatric</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FRAIL</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FRAIL Screening Tool</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Geriatric</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Tinetti</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Tinetti Gait and Balance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Geriatric</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FES</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Falls Efficacy Scale</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Geriatric</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KCCQ</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Kansas City Cardiomyopathy Questionnaire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Cardiovascular</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SAQ</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Seattle Angina Questionnaire</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Cardiovascular</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19</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MLHF</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MN Living with Heart Failure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Cardiovascular</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CAT</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COPD Assessment Test</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Respiratory</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mMRC</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Modified MRC Dyspnea Scale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Respiratory</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SGRQ</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St. George’s Respiratory Questionnaire</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Respiratory</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50</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Asthma Control Test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Respiratory</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PAID</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Problem Areas in Diabetes</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Diabetes</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20</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DDS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Diabetes Distress Scale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Diabetes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DTSQ</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Diabetes Treatment Satisfaction</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Diabetes</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PedsQL</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Pediatric Quality of Life Inventory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Pediatric</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CBCL</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Child Behavior Checklist</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Pediatric</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99–118</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SDQ</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Strengths and Difficulties Questionnaire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Pediatric</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PSC-17</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Pediatric Symptom Checklist</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Pediatric</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17</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NIHSS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NIH Stroke Scale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Neurological</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mRS</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Modified Rankin Scale</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Neurological</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GCS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Glasgow Coma Scale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Neurological</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PSQI</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Pittsburgh Sleep Quality Index</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Sleep</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19</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Epworth Sleepiness Scale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Sleep</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ISI</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Insomnia Severity Index</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Sleep</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IIEF</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International Index of Erectile Function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Sexual Health</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FSFI</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Female Sexual Function Index</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Sexual Health</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19</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WOMAC</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Western Ontario McMaster OA Index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Musculoskeletal</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HAQ-DI</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Health Assessment Questionnaire</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Musculoskeletal</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20</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DAS28</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Disease Activity Score-28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Musculoskeletal</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28+labs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PRAPARE</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Protocol for Responding to Assets/Risks/Experiences</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SDOH</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15+5</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AHC HRSN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Accountable Health Communities Screening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SDOH</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 (CMS)</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ASA-PS</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ASA Physical Status Classification</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Perioperative</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WHO SSC</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WHO Safe Surgery Checklist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Perioperative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 (WHO)</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PROMIS GH-10</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PROMIS Global Health</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PROMIS</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 (61578-1)</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 (NIH)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PROMIS-29</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 Profile 29 v2.1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 (NIH)</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PROMIS PF</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PROMIS Physical Function</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PROMIS</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4–10</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 (NIH)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 PI</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 Pain Interference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 (NIH)</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PROMIS Fatigue</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PROMIS Fatigue</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PROMIS</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4–8</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 (NIH)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 Anxiety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 Anxiety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 (NIH)</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PROMIS Depression</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PROMIS Depression</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PROMIS</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4–8</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 (NIH)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 Sleep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 Sleep Disturbance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 (NIH)</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PROMIS SI</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PROMIS Social Isolation</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PROMIS</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4–8</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 (NIH)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 CF</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 Cognitive Function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 (NIH)</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PROMIS PI-3a</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PROMIS Pain Intensity</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PROMIS</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 (NIH)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 Ped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 Pediatric Measures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PROMIS/Pediatric</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 (NIH)</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NEI VFQ-25</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National Eye Institute Visual Function</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Ophthalmology</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25</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 (NIH)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YGTSS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Yale Global Tic Severity Scale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Movement Disorders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MMAS-8</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Morisky Medication Adherence Scale</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Medication Adherence</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RMDQ</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Roland-Morris Disability Questionnaire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Functional Status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NDI</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Neck Disability Index</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Functional Status</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MacNew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MacNew Heart Disease QoL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Cardiovascular</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SASSI-3</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Substance Abuse Subtle Screening</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Substance Use</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93</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QOL-1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 Quality of Life Tool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Quality of Life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(72355-1)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DSMQ-R</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Diabetes Self-Management Questionnaire</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Diabetes</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16</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Outline of UnResponsiveness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Neurological</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ASQoL</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Ankylosing Spondylitis QoL</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Musculoskeletal</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18</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EORTC QLQ-BR23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EORTC Breast Cancer Module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Oncology</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FACT-An</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FACT Anemia Scale</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Oncology</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40</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SF-6D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Short Form 6-Dimension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Quality of Life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Proprietary</w:t>
            </w:r>
          </w:p>
        </w:tc>
      </w:tr>
      <w:tr>
        <w:tc>
          <w:tcPr>
            <w:tcW w:type="dxa" w:w="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OARS/OMFAQ</w:t>
            </w:r>
          </w:p>
        </w:tc>
        <w:tc>
          <w:tcPr>
            <w:tcW w:type="dxa" w:w="226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Older Americans Functional Assessment</w:t>
            </w:r>
          </w:p>
        </w:tc>
        <w:tc>
          <w:tcPr>
            <w:tcW w:type="dxa" w:w="11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Geriatric</w:t>
            </w:r>
          </w:p>
        </w:tc>
        <w:tc>
          <w:tcPr>
            <w:tcW w:type="dxa" w:w="5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Partial</w:t>
            </w:r>
          </w:p>
        </w:tc>
        <w:tc>
          <w:tcPr>
            <w:tcW w:type="dxa" w:w="2900"/>
            <w:tcBorders>
              <w:top w:val="single" w:color="CCCCCC" w:sz="1"/>
              <w:left w:val="single" w:color="CCCCCC" w:sz="1"/>
              <w:bottom w:val="single" w:color="CCCCCC" w:sz="1"/>
              <w:right w:val="single" w:color="CCCCCC" w:sz="1"/>
            </w:tcBorders>
            <w:shd w:fill="F9F5F0" w:val="clear"/>
            <w:tcMar>
              <w:top w:type="dxa" w:w="80"/>
              <w:left w:type="dxa" w:w="120"/>
              <w:bottom w:type="dxa" w:w="80"/>
              <w:right w:type="dxa" w:w="120"/>
            </w:tcMar>
          </w:tcPr>
          <w:p>
            <w:r>
              <w:rPr>
                <w:rFonts w:ascii="Arial" w:cs="Arial" w:eastAsia="Arial" w:hAnsi="Arial"/>
                <w:sz w:val="18"/>
                <w:szCs w:val="18"/>
              </w:rPr>
              <w:t xml:space="preserve">Public Domain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NIH Toolbox CB</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NIH Toolbox Cognition Battery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Cognitive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 tests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Domain (NIH)</w:t>
            </w:r>
          </w:p>
        </w:tc>
      </w:tr>
    </w:tbl>
    <w:p>
      <w:pPr>
        <w:spacing w:after="200"/>
      </w:pPr>
    </w:p>
    <w:p>
      <w:pPr>
        <w:spacing w:after="160"/>
      </w:pPr>
      <w:r>
        <w:rPr>
          <w:rFonts w:ascii="Arial" w:cs="Arial" w:eastAsia="Arial" w:hAnsi="Arial"/>
          <w:b/>
          <w:bCs/>
          <w:sz w:val="20"/>
          <w:szCs w:val="20"/>
        </w:rPr>
        <w:t xml:space="preserve">Note: </w:t>
      </w:r>
      <w:r>
        <w:rPr>
          <w:rFonts w:ascii="Arial" w:cs="Arial" w:eastAsia="Arial" w:hAnsi="Arial"/>
          <w:sz w:val="20"/>
          <w:szCs w:val="20"/>
        </w:rPr>
        <w:t xml:space="preserve">“OMOP” column indicates whether standard OMOP concepts exist for the instrument’s questions and answer choices. “Partial” means some items are mapped but coverage is incomplete. “No” means Parthenon will create concepts in the PTHN_SURVEY vocabulary.</w:t>
      </w:r>
    </w:p>
    <w:p>
      <w:r>
        <w:br w:type="page"/>
      </w:r>
    </w:p>
    <w:p>
      <w:pPr>
        <w:pStyle w:val="Heading1"/>
        <w:spacing w:after="200" w:before="360"/>
      </w:pPr>
      <w:r>
        <w:rPr>
          <w:rFonts w:ascii="Arial" w:cs="Arial" w:eastAsia="Arial" w:hAnsi="Arial"/>
          <w:b/>
          <w:bCs/>
          <w:color w:val="9B1B30"/>
          <w:sz w:val="32"/>
          <w:szCs w:val="32"/>
        </w:rPr>
        <w:t xml:space="preserve">Part 6: Technical Architecture</w:t>
      </w:r>
    </w:p>
    <w:p>
      <w:pPr>
        <w:pStyle w:val="Heading2"/>
        <w:spacing w:after="160" w:before="280"/>
      </w:pPr>
      <w:r>
        <w:rPr>
          <w:rFonts w:ascii="Arial" w:cs="Arial" w:eastAsia="Arial" w:hAnsi="Arial"/>
          <w:b/>
          <w:bCs/>
          <w:color w:val="0E0E11"/>
          <w:sz w:val="26"/>
          <w:szCs w:val="26"/>
        </w:rPr>
        <w:t xml:space="preserve">6.1 Database Schema Additions</w:t>
      </w:r>
    </w:p>
    <w:p>
      <w:pPr>
        <w:spacing w:after="160"/>
      </w:pPr>
      <w:r>
        <w:rPr>
          <w:rFonts w:ascii="Arial" w:cs="Arial" w:eastAsia="Arial" w:hAnsi="Arial"/>
          <w:sz w:val="20"/>
          <w:szCs w:val="20"/>
        </w:rPr>
        <w:t xml:space="preserve">All new tables reside in the app schema (Parthenon application layer), not in CDM schemas. This preserves CDM schema purity while enabling rich survey management.</w:t>
      </w:r>
    </w:p>
    <w:p>
      <w:pPr>
        <w:pStyle w:val="Heading3"/>
        <w:spacing w:after="120" w:before="200"/>
      </w:pPr>
      <w:r>
        <w:rPr>
          <w:rFonts w:ascii="Arial" w:cs="Arial" w:eastAsia="Arial" w:hAnsi="Arial"/>
          <w:b/>
          <w:bCs/>
          <w:color w:val="0E0E11"/>
          <w:sz w:val="22"/>
          <w:szCs w:val="22"/>
        </w:rPr>
        <w:t xml:space="preserve">app.survey_instruments</w:t>
      </w:r>
    </w:p>
    <w:p>
      <w:pPr>
        <w:spacing w:after="160"/>
      </w:pPr>
      <w:r>
        <w:rPr>
          <w:rFonts w:ascii="Arial" w:cs="Arial" w:eastAsia="Arial" w:hAnsi="Arial"/>
          <w:sz w:val="20"/>
          <w:szCs w:val="20"/>
        </w:rPr>
        <w:t xml:space="preserve">Primary instrument registry. Fields: id, name, abbreviation, version, description, domain, item_count, scoring_method (JSON), loinc_panel_code, omop_concept_id, license_type, license_details, is_public_domain, is_active, created_by, created_at, updated_at.</w:t>
      </w:r>
    </w:p>
    <w:p>
      <w:pPr>
        <w:pStyle w:val="Heading3"/>
        <w:spacing w:after="120" w:before="200"/>
      </w:pPr>
      <w:r>
        <w:rPr>
          <w:rFonts w:ascii="Arial" w:cs="Arial" w:eastAsia="Arial" w:hAnsi="Arial"/>
          <w:b/>
          <w:bCs/>
          <w:color w:val="0E0E11"/>
          <w:sz w:val="22"/>
          <w:szCs w:val="22"/>
        </w:rPr>
        <w:t xml:space="preserve">app.survey_items</w:t>
      </w:r>
    </w:p>
    <w:p>
      <w:pPr>
        <w:spacing w:after="160"/>
      </w:pPr>
      <w:r>
        <w:rPr>
          <w:rFonts w:ascii="Arial" w:cs="Arial" w:eastAsia="Arial" w:hAnsi="Arial"/>
          <w:sz w:val="20"/>
          <w:szCs w:val="20"/>
        </w:rPr>
        <w:t xml:space="preserve">Individual question items within an instrument. Fields: id, survey_instrument_id (FK), item_number, item_text, response_type (enum: likert, yes_no, numeric, free_text, multi_select, date), omop_concept_id, loinc_code, subscale_name, is_reverse_coded, min_value, max_value, display_order.</w:t>
      </w:r>
    </w:p>
    <w:p>
      <w:pPr>
        <w:pStyle w:val="Heading3"/>
        <w:spacing w:after="120" w:before="200"/>
      </w:pPr>
      <w:r>
        <w:rPr>
          <w:rFonts w:ascii="Arial" w:cs="Arial" w:eastAsia="Arial" w:hAnsi="Arial"/>
          <w:b/>
          <w:bCs/>
          <w:color w:val="0E0E11"/>
          <w:sz w:val="22"/>
          <w:szCs w:val="22"/>
        </w:rPr>
        <w:t xml:space="preserve">app.survey_answer_options</w:t>
      </w:r>
    </w:p>
    <w:p>
      <w:pPr>
        <w:spacing w:after="160"/>
      </w:pPr>
      <w:r>
        <w:rPr>
          <w:rFonts w:ascii="Arial" w:cs="Arial" w:eastAsia="Arial" w:hAnsi="Arial"/>
          <w:sz w:val="20"/>
          <w:szCs w:val="20"/>
        </w:rPr>
        <w:t xml:space="preserve">Answer choices for categorical items. Fields: id, survey_item_id (FK), option_text, option_value (numeric score), omop_concept_id, loinc_la_code, display_order.</w:t>
      </w:r>
    </w:p>
    <w:p>
      <w:pPr>
        <w:pStyle w:val="Heading3"/>
        <w:spacing w:after="120" w:before="200"/>
      </w:pPr>
      <w:r>
        <w:rPr>
          <w:rFonts w:ascii="Arial" w:cs="Arial" w:eastAsia="Arial" w:hAnsi="Arial"/>
          <w:b/>
          <w:bCs/>
          <w:color w:val="0E0E11"/>
          <w:sz w:val="22"/>
          <w:szCs w:val="22"/>
        </w:rPr>
        <w:t xml:space="preserve">app.survey_conduct</w:t>
      </w:r>
    </w:p>
    <w:p>
      <w:pPr>
        <w:spacing w:after="160"/>
      </w:pPr>
      <w:r>
        <w:rPr>
          <w:rFonts w:ascii="Arial" w:cs="Arial" w:eastAsia="Arial" w:hAnsi="Arial"/>
          <w:sz w:val="20"/>
          <w:szCs w:val="20"/>
        </w:rPr>
        <w:t xml:space="preserve">Survey administration records (v6.0-forward-compatible). Fields: id, person_id, survey_instrument_id (FK), survey_concept_id, visit_occurrence_id, survey_start_datetime, survey_end_datetime, respondent_type_concept_id, survey_mode_concept_id, completion_status, total_score, subscale_scores (JSON), source_identifier, created_at.</w:t>
      </w:r>
    </w:p>
    <w:p>
      <w:pPr>
        <w:pStyle w:val="Heading3"/>
        <w:spacing w:after="120" w:before="200"/>
      </w:pPr>
      <w:r>
        <w:rPr>
          <w:rFonts w:ascii="Arial" w:cs="Arial" w:eastAsia="Arial" w:hAnsi="Arial"/>
          <w:b/>
          <w:bCs/>
          <w:color w:val="0E0E11"/>
          <w:sz w:val="22"/>
          <w:szCs w:val="22"/>
        </w:rPr>
        <w:t xml:space="preserve">app.survey_responses</w:t>
      </w:r>
    </w:p>
    <w:p>
      <w:pPr>
        <w:spacing w:after="160"/>
      </w:pPr>
      <w:r>
        <w:rPr>
          <w:rFonts w:ascii="Arial" w:cs="Arial" w:eastAsia="Arial" w:hAnsi="Arial"/>
          <w:sz w:val="20"/>
          <w:szCs w:val="20"/>
        </w:rPr>
        <w:t xml:space="preserve">Bridge table linking survey_conduct to observation rows. Fields: id, survey_conduct_id (FK), survey_item_id (FK), observation_id (FK to observation table), value_as_number, value_as_concept_id, value_as_string, response_datetime.</w:t>
      </w:r>
    </w:p>
    <w:p>
      <w:pPr>
        <w:pStyle w:val="Heading2"/>
        <w:spacing w:after="160" w:before="280"/>
      </w:pPr>
      <w:r>
        <w:rPr>
          <w:rFonts w:ascii="Arial" w:cs="Arial" w:eastAsia="Arial" w:hAnsi="Arial"/>
          <w:b/>
          <w:bCs/>
          <w:color w:val="0E0E11"/>
          <w:sz w:val="26"/>
          <w:szCs w:val="26"/>
        </w:rPr>
        <w:t xml:space="preserve">6.2 Backend Architecture (Laravel)</w:t>
      </w:r>
    </w:p>
    <w:p>
      <w:pPr>
        <w:pStyle w:val="ListParagraph"/>
        <w:numPr>
          <w:ilvl w:val="0"/>
          <w:numId w:val="2"/>
        </w:numPr>
        <w:spacing w:after="80"/>
      </w:pPr>
      <w:r>
        <w:rPr>
          <w:rFonts w:ascii="Arial" w:cs="Arial" w:eastAsia="Arial" w:hAnsi="Arial"/>
          <w:b/>
          <w:bCs/>
          <w:sz w:val="20"/>
          <w:szCs w:val="20"/>
        </w:rPr>
        <w:t xml:space="preserve">Models: </w:t>
      </w:r>
      <w:r>
        <w:rPr>
          <w:rFonts w:ascii="Arial" w:cs="Arial" w:eastAsia="Arial" w:hAnsi="Arial"/>
          <w:sz w:val="20"/>
          <w:szCs w:val="20"/>
        </w:rPr>
        <w:t xml:space="preserve">SurveyInstrument, SurveyItem, SurveyAnswerOption, SurveyConductRecord, SurveyResponse — all in App\Models\Survey namespace with proper Eloquent relationships and eager loading.</w:t>
      </w:r>
    </w:p>
    <w:p>
      <w:pPr>
        <w:pStyle w:val="ListParagraph"/>
        <w:numPr>
          <w:ilvl w:val="0"/>
          <w:numId w:val="2"/>
        </w:numPr>
        <w:spacing w:after="80"/>
      </w:pPr>
      <w:r>
        <w:rPr>
          <w:rFonts w:ascii="Arial" w:cs="Arial" w:eastAsia="Arial" w:hAnsi="Arial"/>
          <w:b/>
          <w:bCs/>
          <w:sz w:val="20"/>
          <w:szCs w:val="20"/>
        </w:rPr>
        <w:t xml:space="preserve">Controllers: </w:t>
      </w:r>
      <w:r>
        <w:rPr>
          <w:rFonts w:ascii="Arial" w:cs="Arial" w:eastAsia="Arial" w:hAnsi="Arial"/>
          <w:sz w:val="20"/>
          <w:szCs w:val="20"/>
        </w:rPr>
        <w:t xml:space="preserve">SurveyInstrumentController (CRUD + library browsing), SurveyConductController (administration records), SurveyBuilderController (custom instrument creation).</w:t>
      </w:r>
    </w:p>
    <w:p>
      <w:pPr>
        <w:pStyle w:val="ListParagraph"/>
        <w:numPr>
          <w:ilvl w:val="0"/>
          <w:numId w:val="2"/>
        </w:numPr>
        <w:spacing w:after="80"/>
      </w:pPr>
      <w:r>
        <w:rPr>
          <w:rFonts w:ascii="Arial" w:cs="Arial" w:eastAsia="Arial" w:hAnsi="Arial"/>
          <w:b/>
          <w:bCs/>
          <w:sz w:val="20"/>
          <w:szCs w:val="20"/>
        </w:rPr>
        <w:t xml:space="preserve">Services: </w:t>
      </w:r>
      <w:r>
        <w:rPr>
          <w:rFonts w:ascii="Arial" w:cs="Arial" w:eastAsia="Arial" w:hAnsi="Arial"/>
          <w:sz w:val="20"/>
          <w:szCs w:val="20"/>
        </w:rPr>
        <w:t xml:space="preserve">SurveyMappingService (ATHENA concept lookup, mapping validation), SurveyScoringService (auto-calculate composite scores from item responses), SurveyImportService (REDCap, FHIR Questionnaire, CSV import), SurveyEtlService (generate observation rows from survey responses).</w:t>
      </w:r>
    </w:p>
    <w:p>
      <w:pPr>
        <w:pStyle w:val="ListParagraph"/>
        <w:numPr>
          <w:ilvl w:val="0"/>
          <w:numId w:val="2"/>
        </w:numPr>
        <w:spacing w:after="80"/>
      </w:pPr>
      <w:r>
        <w:rPr>
          <w:rFonts w:ascii="Arial" w:cs="Arial" w:eastAsia="Arial" w:hAnsi="Arial"/>
          <w:b/>
          <w:bCs/>
          <w:sz w:val="20"/>
          <w:szCs w:val="20"/>
        </w:rPr>
        <w:t xml:space="preserve">Permissions: </w:t>
      </w:r>
      <w:r>
        <w:rPr>
          <w:rFonts w:ascii="Arial" w:cs="Arial" w:eastAsia="Arial" w:hAnsi="Arial"/>
          <w:sz w:val="20"/>
          <w:szCs w:val="20"/>
        </w:rPr>
        <w:t xml:space="preserve">surveys.view, surveys.create, surveys.edit, surveys.delete, surveys.administer — added to RolePermissionSeeder. Researcher role gets full access; viewer gets surveys.view only.</w:t>
      </w:r>
    </w:p>
    <w:p>
      <w:pPr>
        <w:pStyle w:val="Heading2"/>
        <w:spacing w:after="160" w:before="280"/>
      </w:pPr>
      <w:r>
        <w:rPr>
          <w:rFonts w:ascii="Arial" w:cs="Arial" w:eastAsia="Arial" w:hAnsi="Arial"/>
          <w:b/>
          <w:bCs/>
          <w:color w:val="0E0E11"/>
          <w:sz w:val="26"/>
          <w:szCs w:val="26"/>
        </w:rPr>
        <w:t xml:space="preserve">6.3 Frontend Architecture (React)</w:t>
      </w:r>
    </w:p>
    <w:p>
      <w:pPr>
        <w:spacing w:after="160"/>
      </w:pPr>
      <w:r>
        <w:rPr>
          <w:rFonts w:ascii="Arial" w:cs="Arial" w:eastAsia="Arial" w:hAnsi="Arial"/>
          <w:sz w:val="20"/>
          <w:szCs w:val="20"/>
        </w:rPr>
        <w:t xml:space="preserve">New feature module: frontend/src/features/survey-instruments/ with:</w:t>
      </w:r>
    </w:p>
    <w:p>
      <w:pPr>
        <w:pStyle w:val="ListParagraph"/>
        <w:numPr>
          <w:ilvl w:val="0"/>
          <w:numId w:val="2"/>
        </w:numPr>
        <w:spacing w:after="80"/>
      </w:pPr>
      <w:r>
        <w:rPr>
          <w:rFonts w:ascii="Arial" w:cs="Arial" w:eastAsia="Arial" w:hAnsi="Arial"/>
          <w:b/>
          <w:bCs/>
          <w:sz w:val="20"/>
          <w:szCs w:val="20"/>
        </w:rPr>
        <w:t xml:space="preserve">Library Browser page: </w:t>
      </w:r>
      <w:r>
        <w:rPr>
          <w:rFonts w:ascii="Arial" w:cs="Arial" w:eastAsia="Arial" w:hAnsi="Arial"/>
          <w:sz w:val="20"/>
          <w:szCs w:val="20"/>
        </w:rPr>
        <w:t xml:space="preserve">Filterable/searchable grid of all 100+ instruments using TanStack Table. Filter by domain, license type, LOINC availability. Shows concept mapping completeness.</w:t>
      </w:r>
    </w:p>
    <w:p>
      <w:pPr>
        <w:pStyle w:val="ListParagraph"/>
        <w:numPr>
          <w:ilvl w:val="0"/>
          <w:numId w:val="2"/>
        </w:numPr>
        <w:spacing w:after="80"/>
      </w:pPr>
      <w:r>
        <w:rPr>
          <w:rFonts w:ascii="Arial" w:cs="Arial" w:eastAsia="Arial" w:hAnsi="Arial"/>
          <w:b/>
          <w:bCs/>
          <w:sz w:val="20"/>
          <w:szCs w:val="20"/>
        </w:rPr>
        <w:t xml:space="preserve">Instrument Detail page: </w:t>
      </w:r>
      <w:r>
        <w:rPr>
          <w:rFonts w:ascii="Arial" w:cs="Arial" w:eastAsia="Arial" w:hAnsi="Arial"/>
          <w:sz w:val="20"/>
          <w:szCs w:val="20"/>
        </w:rPr>
        <w:t xml:space="preserve">Full instrument view with items, answer options, scoring algorithm, concept mappings, and usage statistics (how many survey_conduct records exist).</w:t>
      </w:r>
    </w:p>
    <w:p>
      <w:pPr>
        <w:pStyle w:val="ListParagraph"/>
        <w:numPr>
          <w:ilvl w:val="0"/>
          <w:numId w:val="2"/>
        </w:numPr>
        <w:spacing w:after="80"/>
      </w:pPr>
      <w:r>
        <w:rPr>
          <w:rFonts w:ascii="Arial" w:cs="Arial" w:eastAsia="Arial" w:hAnsi="Arial"/>
          <w:b/>
          <w:bCs/>
          <w:sz w:val="20"/>
          <w:szCs w:val="20"/>
        </w:rPr>
        <w:t xml:space="preserve">Survey Builder wizard: </w:t>
      </w:r>
      <w:r>
        <w:rPr>
          <w:rFonts w:ascii="Arial" w:cs="Arial" w:eastAsia="Arial" w:hAnsi="Arial"/>
          <w:sz w:val="20"/>
          <w:szCs w:val="20"/>
        </w:rPr>
        <w:t xml:space="preserve">Multi-step form for creating custom instruments. Step 1: metadata. Step 2: add items (drag-and-drop reorder). Step 3: define answer options per item. Step 4: concept mapping (with ATHENA search and Abby AI suggestions). Step 5: scoring algorithm. Step 6: review and publish.</w:t>
      </w:r>
    </w:p>
    <w:p>
      <w:pPr>
        <w:pStyle w:val="ListParagraph"/>
        <w:numPr>
          <w:ilvl w:val="0"/>
          <w:numId w:val="2"/>
        </w:numPr>
        <w:spacing w:after="80"/>
      </w:pPr>
      <w:r>
        <w:rPr>
          <w:rFonts w:ascii="Arial" w:cs="Arial" w:eastAsia="Arial" w:hAnsi="Arial"/>
          <w:b/>
          <w:bCs/>
          <w:sz w:val="20"/>
          <w:szCs w:val="20"/>
        </w:rPr>
        <w:t xml:space="preserve">Survey Results Explorer: </w:t>
      </w:r>
      <w:r>
        <w:rPr>
          <w:rFonts w:ascii="Arial" w:cs="Arial" w:eastAsia="Arial" w:hAnsi="Arial"/>
          <w:sz w:val="20"/>
          <w:szCs w:val="20"/>
        </w:rPr>
        <w:t xml:space="preserve">Dedicated analytics dashboard for survey-specific Achilles analyses (900-series). Score distributions, completion rates, longitudinal trajectories.</w:t>
      </w:r>
    </w:p>
    <w:p>
      <w:pPr>
        <w:pStyle w:val="Heading2"/>
        <w:spacing w:after="160" w:before="280"/>
      </w:pPr>
      <w:r>
        <w:rPr>
          <w:rFonts w:ascii="Arial" w:cs="Arial" w:eastAsia="Arial" w:hAnsi="Arial"/>
          <w:b/>
          <w:bCs/>
          <w:color w:val="0E0E11"/>
          <w:sz w:val="26"/>
          <w:szCs w:val="26"/>
        </w:rPr>
        <w:t xml:space="preserve">6.4 AI Integration (Abby)</w:t>
      </w:r>
    </w:p>
    <w:p>
      <w:pPr>
        <w:spacing w:after="160"/>
      </w:pPr>
      <w:r>
        <w:rPr>
          <w:rFonts w:ascii="Arial" w:cs="Arial" w:eastAsia="Arial" w:hAnsi="Arial"/>
          <w:sz w:val="20"/>
          <w:szCs w:val="20"/>
        </w:rPr>
        <w:t xml:space="preserve">Abby’s existing concept embedding infrastructure (pgvector) enables AI-assisted concept mapping for the Survey Builder:</w:t>
      </w:r>
    </w:p>
    <w:p>
      <w:pPr>
        <w:pStyle w:val="ListParagraph"/>
        <w:numPr>
          <w:ilvl w:val="0"/>
          <w:numId w:val="2"/>
        </w:numPr>
        <w:spacing w:after="80"/>
      </w:pPr>
      <w:r>
        <w:rPr>
          <w:rFonts w:ascii="Arial" w:cs="Arial" w:eastAsia="Arial" w:hAnsi="Arial"/>
          <w:b/>
          <w:bCs/>
          <w:sz w:val="20"/>
          <w:szCs w:val="20"/>
        </w:rPr>
        <w:t xml:space="preserve">Semantic search: </w:t>
      </w:r>
      <w:r>
        <w:rPr>
          <w:rFonts w:ascii="Arial" w:cs="Arial" w:eastAsia="Arial" w:hAnsi="Arial"/>
          <w:sz w:val="20"/>
          <w:szCs w:val="20"/>
        </w:rPr>
        <w:t xml:space="preserve">When a researcher types a question like “How often do you feel hopeless?”, Abby searches the concept embedding space for the closest OMOP concepts and suggests mappings ranked by similarity score.</w:t>
      </w:r>
    </w:p>
    <w:p>
      <w:pPr>
        <w:pStyle w:val="ListParagraph"/>
        <w:numPr>
          <w:ilvl w:val="0"/>
          <w:numId w:val="2"/>
        </w:numPr>
        <w:spacing w:after="80"/>
      </w:pPr>
      <w:r>
        <w:rPr>
          <w:rFonts w:ascii="Arial" w:cs="Arial" w:eastAsia="Arial" w:hAnsi="Arial"/>
          <w:b/>
          <w:bCs/>
          <w:sz w:val="20"/>
          <w:szCs w:val="20"/>
        </w:rPr>
        <w:t xml:space="preserve">Batch mapping: </w:t>
      </w:r>
      <w:r>
        <w:rPr>
          <w:rFonts w:ascii="Arial" w:cs="Arial" w:eastAsia="Arial" w:hAnsi="Arial"/>
          <w:sz w:val="20"/>
          <w:szCs w:val="20"/>
        </w:rPr>
        <w:t xml:space="preserve">For imported instruments (REDCap dictionaries, CSVs), Abby can suggest concept mappings for all items simultaneously, with confidence scores. The researcher reviews and confirms.</w:t>
      </w:r>
    </w:p>
    <w:p>
      <w:pPr>
        <w:pStyle w:val="ListParagraph"/>
        <w:numPr>
          <w:ilvl w:val="0"/>
          <w:numId w:val="2"/>
        </w:numPr>
        <w:spacing w:after="80"/>
      </w:pPr>
      <w:r>
        <w:rPr>
          <w:rFonts w:ascii="Arial" w:cs="Arial" w:eastAsia="Arial" w:hAnsi="Arial"/>
          <w:b/>
          <w:bCs/>
          <w:sz w:val="20"/>
          <w:szCs w:val="20"/>
        </w:rPr>
        <w:t xml:space="preserve">Vocabulary gap detection: </w:t>
      </w:r>
      <w:r>
        <w:rPr>
          <w:rFonts w:ascii="Arial" w:cs="Arial" w:eastAsia="Arial" w:hAnsi="Arial"/>
          <w:sz w:val="20"/>
          <w:szCs w:val="20"/>
        </w:rPr>
        <w:t xml:space="preserve">Abby identifies items that have no close OMOP concept match (similarity &lt; 0.6) and flags them for custom concept creation in the PTHN_SURVEY vocabulary.</w:t>
      </w:r>
    </w:p>
    <w:p>
      <w:pPr>
        <w:pStyle w:val="Heading2"/>
        <w:spacing w:after="160" w:before="280"/>
      </w:pPr>
      <w:r>
        <w:rPr>
          <w:rFonts w:ascii="Arial" w:cs="Arial" w:eastAsia="Arial" w:hAnsi="Arial"/>
          <w:b/>
          <w:bCs/>
          <w:color w:val="0E0E11"/>
          <w:sz w:val="26"/>
          <w:szCs w:val="26"/>
        </w:rPr>
        <w:t xml:space="preserve">6.5 FHIR Integration</w:t>
      </w:r>
    </w:p>
    <w:p>
      <w:pPr>
        <w:spacing w:after="160"/>
      </w:pPr>
      <w:r>
        <w:rPr>
          <w:rFonts w:ascii="Arial" w:cs="Arial" w:eastAsia="Arial" w:hAnsi="Arial"/>
          <w:sz w:val="20"/>
          <w:szCs w:val="20"/>
        </w:rPr>
        <w:t xml:space="preserve">Extend the existing FHIR export pipeline with:</w:t>
      </w:r>
    </w:p>
    <w:p>
      <w:pPr>
        <w:pStyle w:val="ListParagraph"/>
        <w:numPr>
          <w:ilvl w:val="0"/>
          <w:numId w:val="2"/>
        </w:numPr>
        <w:spacing w:after="80"/>
      </w:pPr>
      <w:r>
        <w:rPr>
          <w:rFonts w:ascii="Arial" w:cs="Arial" w:eastAsia="Arial" w:hAnsi="Arial"/>
          <w:b/>
          <w:bCs/>
          <w:sz w:val="20"/>
          <w:szCs w:val="20"/>
        </w:rPr>
        <w:t xml:space="preserve">Questionnaire resource builder: </w:t>
      </w:r>
      <w:r>
        <w:rPr>
          <w:rFonts w:ascii="Arial" w:cs="Arial" w:eastAsia="Arial" w:hAnsi="Arial"/>
          <w:sz w:val="20"/>
          <w:szCs w:val="20"/>
        </w:rPr>
        <w:t xml:space="preserve">Generates FHIR R4 Questionnaire resources from survey_instruments, preserving item structure, answer options, and concept codes.</w:t>
      </w:r>
    </w:p>
    <w:p>
      <w:pPr>
        <w:pStyle w:val="ListParagraph"/>
        <w:numPr>
          <w:ilvl w:val="0"/>
          <w:numId w:val="2"/>
        </w:numPr>
        <w:spacing w:after="80"/>
      </w:pPr>
      <w:r>
        <w:rPr>
          <w:rFonts w:ascii="Arial" w:cs="Arial" w:eastAsia="Arial" w:hAnsi="Arial"/>
          <w:b/>
          <w:bCs/>
          <w:sz w:val="20"/>
          <w:szCs w:val="20"/>
        </w:rPr>
        <w:t xml:space="preserve">QuestionnaireResponse resource builder: </w:t>
      </w:r>
      <w:r>
        <w:rPr>
          <w:rFonts w:ascii="Arial" w:cs="Arial" w:eastAsia="Arial" w:hAnsi="Arial"/>
          <w:sz w:val="20"/>
          <w:szCs w:val="20"/>
        </w:rPr>
        <w:t xml:space="preserve">Generates FHIR R4 QuestionnaireResponse resources from survey_conduct + survey_responses records.</w:t>
      </w:r>
    </w:p>
    <w:p>
      <w:pPr>
        <w:pStyle w:val="ListParagraph"/>
        <w:numPr>
          <w:ilvl w:val="0"/>
          <w:numId w:val="2"/>
        </w:numPr>
        <w:spacing w:after="80"/>
      </w:pPr>
      <w:r>
        <w:rPr>
          <w:rFonts w:ascii="Arial" w:cs="Arial" w:eastAsia="Arial" w:hAnsi="Arial"/>
          <w:b/>
          <w:bCs/>
          <w:sz w:val="20"/>
          <w:szCs w:val="20"/>
        </w:rPr>
        <w:t xml:space="preserve">Questionnaire import: </w:t>
      </w:r>
      <w:r>
        <w:rPr>
          <w:rFonts w:ascii="Arial" w:cs="Arial" w:eastAsia="Arial" w:hAnsi="Arial"/>
          <w:sz w:val="20"/>
          <w:szCs w:val="20"/>
        </w:rPr>
        <w:t xml:space="preserve">Parse incoming FHIR Questionnaire resources to create Parthenon survey_instruments with auto-mapped concepts.</w:t>
      </w:r>
    </w:p>
    <w:p>
      <w:r>
        <w:br w:type="page"/>
      </w:r>
    </w:p>
    <w:p>
      <w:pPr>
        <w:pStyle w:val="Heading1"/>
        <w:spacing w:after="200" w:before="360"/>
      </w:pPr>
      <w:r>
        <w:rPr>
          <w:rFonts w:ascii="Arial" w:cs="Arial" w:eastAsia="Arial" w:hAnsi="Arial"/>
          <w:b/>
          <w:bCs/>
          <w:color w:val="9B1B30"/>
          <w:sz w:val="32"/>
          <w:szCs w:val="32"/>
        </w:rPr>
        <w:t xml:space="preserve">Part 7: Implementation Roadmap</w:t>
      </w:r>
    </w:p>
    <w:p>
      <w:pPr>
        <w:pStyle w:val="Heading2"/>
        <w:spacing w:after="160" w:before="280"/>
      </w:pPr>
      <w:r>
        <w:rPr>
          <w:rFonts w:ascii="Arial" w:cs="Arial" w:eastAsia="Arial" w:hAnsi="Arial"/>
          <w:b/>
          <w:bCs/>
          <w:color w:val="0E0E11"/>
          <w:sz w:val="26"/>
          <w:szCs w:val="26"/>
        </w:rPr>
        <w:t xml:space="preserve">Phase 1: Foundation (4 weeks)</w:t>
      </w:r>
    </w:p>
    <w:p>
      <w:pPr>
        <w:pStyle w:val="ListParagraph"/>
        <w:numPr>
          <w:ilvl w:val="0"/>
          <w:numId w:val="5"/>
        </w:numPr>
        <w:spacing w:after="80"/>
      </w:pPr>
      <w:r>
        <w:rPr>
          <w:rFonts w:ascii="Arial" w:cs="Arial" w:eastAsia="Arial" w:hAnsi="Arial"/>
          <w:sz w:val="20"/>
          <w:szCs w:val="20"/>
        </w:rPr>
        <w:t xml:space="preserve">Database migrations for all five survey tables (app schema).</w:t>
      </w:r>
    </w:p>
    <w:p>
      <w:pPr>
        <w:pStyle w:val="ListParagraph"/>
        <w:numPr>
          <w:ilvl w:val="0"/>
          <w:numId w:val="5"/>
        </w:numPr>
        <w:spacing w:after="80"/>
      </w:pPr>
      <w:r>
        <w:rPr>
          <w:rFonts w:ascii="Arial" w:cs="Arial" w:eastAsia="Arial" w:hAnsi="Arial"/>
          <w:sz w:val="20"/>
          <w:szCs w:val="20"/>
        </w:rPr>
        <w:t xml:space="preserve">Eloquent models with relationships, scopes, and Form Requests.</w:t>
      </w:r>
    </w:p>
    <w:p>
      <w:pPr>
        <w:pStyle w:val="ListParagraph"/>
        <w:numPr>
          <w:ilvl w:val="0"/>
          <w:numId w:val="5"/>
        </w:numPr>
        <w:spacing w:after="80"/>
      </w:pPr>
      <w:r>
        <w:rPr>
          <w:rFonts w:ascii="Arial" w:cs="Arial" w:eastAsia="Arial" w:hAnsi="Arial"/>
          <w:sz w:val="20"/>
          <w:szCs w:val="20"/>
        </w:rPr>
        <w:t xml:space="preserve">API endpoints for survey instrument CRUD and library browsing.</w:t>
      </w:r>
    </w:p>
    <w:p>
      <w:pPr>
        <w:pStyle w:val="ListParagraph"/>
        <w:numPr>
          <w:ilvl w:val="0"/>
          <w:numId w:val="5"/>
        </w:numPr>
        <w:spacing w:after="80"/>
      </w:pPr>
      <w:r>
        <w:rPr>
          <w:rFonts w:ascii="Arial" w:cs="Arial" w:eastAsia="Arial" w:hAnsi="Arial"/>
          <w:sz w:val="20"/>
          <w:szCs w:val="20"/>
        </w:rPr>
        <w:t xml:space="preserve">PTHN_SURVEY vocabulary registration in vocab schema.</w:t>
      </w:r>
    </w:p>
    <w:p>
      <w:pPr>
        <w:pStyle w:val="ListParagraph"/>
        <w:numPr>
          <w:ilvl w:val="0"/>
          <w:numId w:val="5"/>
        </w:numPr>
        <w:spacing w:after="80"/>
      </w:pPr>
      <w:r>
        <w:rPr>
          <w:rFonts w:ascii="Arial" w:cs="Arial" w:eastAsia="Arial" w:hAnsi="Arial"/>
          <w:sz w:val="20"/>
          <w:szCs w:val="20"/>
        </w:rPr>
        <w:t xml:space="preserve">Artisan command: survey:seed-library (loads the 100-instrument JSON manifest).</w:t>
      </w:r>
    </w:p>
    <w:p>
      <w:pPr>
        <w:pStyle w:val="Heading2"/>
        <w:spacing w:after="160" w:before="280"/>
      </w:pPr>
      <w:r>
        <w:rPr>
          <w:rFonts w:ascii="Arial" w:cs="Arial" w:eastAsia="Arial" w:hAnsi="Arial"/>
          <w:b/>
          <w:bCs/>
          <w:color w:val="0E0E11"/>
          <w:sz w:val="26"/>
          <w:szCs w:val="26"/>
        </w:rPr>
        <w:t xml:space="preserve">Phase 2: Instrument Library &amp; Concept Mapping (6 weeks)</w:t>
      </w:r>
    </w:p>
    <w:p>
      <w:pPr>
        <w:pStyle w:val="ListParagraph"/>
        <w:numPr>
          <w:ilvl w:val="0"/>
          <w:numId w:val="6"/>
        </w:numPr>
        <w:spacing w:after="80"/>
      </w:pPr>
      <w:r>
        <w:rPr>
          <w:rFonts w:ascii="Arial" w:cs="Arial" w:eastAsia="Arial" w:hAnsi="Arial"/>
          <w:sz w:val="20"/>
          <w:szCs w:val="20"/>
        </w:rPr>
        <w:t xml:space="preserve">Curate the 100-instrument JSON manifest with LOINC codes, ATHENA concept IDs, scoring algorithms, and license metadata.</w:t>
      </w:r>
    </w:p>
    <w:p>
      <w:pPr>
        <w:pStyle w:val="ListParagraph"/>
        <w:numPr>
          <w:ilvl w:val="0"/>
          <w:numId w:val="6"/>
        </w:numPr>
        <w:spacing w:after="80"/>
      </w:pPr>
      <w:r>
        <w:rPr>
          <w:rFonts w:ascii="Arial" w:cs="Arial" w:eastAsia="Arial" w:hAnsi="Arial"/>
          <w:sz w:val="20"/>
          <w:szCs w:val="20"/>
        </w:rPr>
        <w:t xml:space="preserve">For instruments without LOINC: create PTHN_SURVEY custom concepts with full question/answer hierarchies.</w:t>
      </w:r>
    </w:p>
    <w:p>
      <w:pPr>
        <w:pStyle w:val="ListParagraph"/>
        <w:numPr>
          <w:ilvl w:val="0"/>
          <w:numId w:val="6"/>
        </w:numPr>
        <w:spacing w:after="80"/>
      </w:pPr>
      <w:r>
        <w:rPr>
          <w:rFonts w:ascii="Arial" w:cs="Arial" w:eastAsia="Arial" w:hAnsi="Arial"/>
          <w:sz w:val="20"/>
          <w:szCs w:val="20"/>
        </w:rPr>
        <w:t xml:space="preserve">Build concept_relationship entries linking instruments to items to answer options.</w:t>
      </w:r>
    </w:p>
    <w:p>
      <w:pPr>
        <w:pStyle w:val="ListParagraph"/>
        <w:numPr>
          <w:ilvl w:val="0"/>
          <w:numId w:val="6"/>
        </w:numPr>
        <w:spacing w:after="80"/>
      </w:pPr>
      <w:r>
        <w:rPr>
          <w:rFonts w:ascii="Arial" w:cs="Arial" w:eastAsia="Arial" w:hAnsi="Arial"/>
          <w:sz w:val="20"/>
          <w:szCs w:val="20"/>
        </w:rPr>
        <w:t xml:space="preserve">Frontend Library Browser with TanStack Table, domain filters, and concept completeness indicators.</w:t>
      </w:r>
    </w:p>
    <w:p>
      <w:pPr>
        <w:pStyle w:val="ListParagraph"/>
        <w:numPr>
          <w:ilvl w:val="0"/>
          <w:numId w:val="6"/>
        </w:numPr>
        <w:spacing w:after="80"/>
      </w:pPr>
      <w:r>
        <w:rPr>
          <w:rFonts w:ascii="Arial" w:cs="Arial" w:eastAsia="Arial" w:hAnsi="Arial"/>
          <w:sz w:val="20"/>
          <w:szCs w:val="20"/>
        </w:rPr>
        <w:t xml:space="preserve">Instrument Detail page with item/answer/scoring views.</w:t>
      </w:r>
    </w:p>
    <w:p>
      <w:pPr>
        <w:pStyle w:val="Heading2"/>
        <w:spacing w:after="160" w:before="280"/>
      </w:pPr>
      <w:r>
        <w:rPr>
          <w:rFonts w:ascii="Arial" w:cs="Arial" w:eastAsia="Arial" w:hAnsi="Arial"/>
          <w:b/>
          <w:bCs/>
          <w:color w:val="0E0E11"/>
          <w:sz w:val="26"/>
          <w:szCs w:val="26"/>
        </w:rPr>
        <w:t xml:space="preserve">Phase 3: Survey Builder &amp; AI Mapping (4 weeks)</w:t>
      </w:r>
    </w:p>
    <w:p>
      <w:pPr>
        <w:pStyle w:val="ListParagraph"/>
        <w:numPr>
          <w:ilvl w:val="0"/>
          <w:numId w:val="7"/>
        </w:numPr>
        <w:spacing w:after="80"/>
      </w:pPr>
      <w:r>
        <w:rPr>
          <w:rFonts w:ascii="Arial" w:cs="Arial" w:eastAsia="Arial" w:hAnsi="Arial"/>
          <w:sz w:val="20"/>
          <w:szCs w:val="20"/>
        </w:rPr>
        <w:t xml:space="preserve">Survey Builder wizard (create, edit, version instruments).</w:t>
      </w:r>
    </w:p>
    <w:p>
      <w:pPr>
        <w:pStyle w:val="ListParagraph"/>
        <w:numPr>
          <w:ilvl w:val="0"/>
          <w:numId w:val="7"/>
        </w:numPr>
        <w:spacing w:after="80"/>
      </w:pPr>
      <w:r>
        <w:rPr>
          <w:rFonts w:ascii="Arial" w:cs="Arial" w:eastAsia="Arial" w:hAnsi="Arial"/>
          <w:sz w:val="20"/>
          <w:szCs w:val="20"/>
        </w:rPr>
        <w:t xml:space="preserve">ATHENA search integration for concept mapping.</w:t>
      </w:r>
    </w:p>
    <w:p>
      <w:pPr>
        <w:pStyle w:val="ListParagraph"/>
        <w:numPr>
          <w:ilvl w:val="0"/>
          <w:numId w:val="7"/>
        </w:numPr>
        <w:spacing w:after="80"/>
      </w:pPr>
      <w:r>
        <w:rPr>
          <w:rFonts w:ascii="Arial" w:cs="Arial" w:eastAsia="Arial" w:hAnsi="Arial"/>
          <w:sz w:val="20"/>
          <w:szCs w:val="20"/>
        </w:rPr>
        <w:t xml:space="preserve">Abby AI concept suggestion engine (pgvector semantic search).</w:t>
      </w:r>
    </w:p>
    <w:p>
      <w:pPr>
        <w:pStyle w:val="ListParagraph"/>
        <w:numPr>
          <w:ilvl w:val="0"/>
          <w:numId w:val="7"/>
        </w:numPr>
        <w:spacing w:after="80"/>
      </w:pPr>
      <w:r>
        <w:rPr>
          <w:rFonts w:ascii="Arial" w:cs="Arial" w:eastAsia="Arial" w:hAnsi="Arial"/>
          <w:sz w:val="20"/>
          <w:szCs w:val="20"/>
        </w:rPr>
        <w:t xml:space="preserve">REDCap data dictionary import.</w:t>
      </w:r>
    </w:p>
    <w:p>
      <w:pPr>
        <w:pStyle w:val="ListParagraph"/>
        <w:numPr>
          <w:ilvl w:val="0"/>
          <w:numId w:val="7"/>
        </w:numPr>
        <w:spacing w:after="80"/>
      </w:pPr>
      <w:r>
        <w:rPr>
          <w:rFonts w:ascii="Arial" w:cs="Arial" w:eastAsia="Arial" w:hAnsi="Arial"/>
          <w:sz w:val="20"/>
          <w:szCs w:val="20"/>
        </w:rPr>
        <w:t xml:space="preserve">FHIR Questionnaire import/export.</w:t>
      </w:r>
    </w:p>
    <w:p>
      <w:pPr>
        <w:pStyle w:val="ListParagraph"/>
        <w:numPr>
          <w:ilvl w:val="0"/>
          <w:numId w:val="7"/>
        </w:numPr>
        <w:spacing w:after="80"/>
      </w:pPr>
      <w:r>
        <w:rPr>
          <w:rFonts w:ascii="Arial" w:cs="Arial" w:eastAsia="Arial" w:hAnsi="Arial"/>
          <w:sz w:val="20"/>
          <w:szCs w:val="20"/>
        </w:rPr>
        <w:t xml:space="preserve">CSV template import.</w:t>
      </w:r>
    </w:p>
    <w:p>
      <w:pPr>
        <w:pStyle w:val="Heading2"/>
        <w:spacing w:after="160" w:before="280"/>
      </w:pPr>
      <w:r>
        <w:rPr>
          <w:rFonts w:ascii="Arial" w:cs="Arial" w:eastAsia="Arial" w:hAnsi="Arial"/>
          <w:b/>
          <w:bCs/>
          <w:color w:val="0E0E11"/>
          <w:sz w:val="26"/>
          <w:szCs w:val="26"/>
        </w:rPr>
        <w:t xml:space="preserve">Phase 4: Analytics &amp; Data Quality (3 weeks)</w:t>
      </w:r>
    </w:p>
    <w:p>
      <w:pPr>
        <w:pStyle w:val="ListParagraph"/>
        <w:numPr>
          <w:ilvl w:val="0"/>
          <w:numId w:val="7"/>
        </w:numPr>
        <w:spacing w:after="80"/>
      </w:pPr>
      <w:r>
        <w:rPr>
          <w:rFonts w:ascii="Arial" w:cs="Arial" w:eastAsia="Arial" w:hAnsi="Arial"/>
          <w:sz w:val="20"/>
          <w:szCs w:val="20"/>
        </w:rPr>
        <w:t xml:space="preserve">Achilles analyses 900–909 (survey-specific characterization).</w:t>
      </w:r>
    </w:p>
    <w:p>
      <w:pPr>
        <w:pStyle w:val="ListParagraph"/>
        <w:numPr>
          <w:ilvl w:val="0"/>
          <w:numId w:val="7"/>
        </w:numPr>
        <w:spacing w:after="80"/>
      </w:pPr>
      <w:r>
        <w:rPr>
          <w:rFonts w:ascii="Arial" w:cs="Arial" w:eastAsia="Arial" w:hAnsi="Arial"/>
          <w:sz w:val="20"/>
          <w:szCs w:val="20"/>
        </w:rPr>
        <w:t xml:space="preserve">DQD checks DQ-S01 through DQ-S05.</w:t>
      </w:r>
    </w:p>
    <w:p>
      <w:pPr>
        <w:pStyle w:val="ListParagraph"/>
        <w:numPr>
          <w:ilvl w:val="0"/>
          <w:numId w:val="7"/>
        </w:numPr>
        <w:spacing w:after="80"/>
      </w:pPr>
      <w:r>
        <w:rPr>
          <w:rFonts w:ascii="Arial" w:cs="Arial" w:eastAsia="Arial" w:hAnsi="Arial"/>
          <w:sz w:val="20"/>
          <w:szCs w:val="20"/>
        </w:rPr>
        <w:t xml:space="preserve">Survey Results Explorer frontend with Recharts visualizations.</w:t>
      </w:r>
    </w:p>
    <w:p>
      <w:pPr>
        <w:pStyle w:val="ListParagraph"/>
        <w:numPr>
          <w:ilvl w:val="0"/>
          <w:numId w:val="7"/>
        </w:numPr>
        <w:spacing w:after="80"/>
      </w:pPr>
      <w:r>
        <w:rPr>
          <w:rFonts w:ascii="Arial" w:cs="Arial" w:eastAsia="Arial" w:hAnsi="Arial"/>
          <w:sz w:val="20"/>
          <w:szCs w:val="20"/>
        </w:rPr>
        <w:t xml:space="preserve">Solr survey configset for instrument/item search indexing.</w:t>
      </w:r>
    </w:p>
    <w:p>
      <w:pPr>
        <w:pStyle w:val="Heading2"/>
        <w:spacing w:after="160" w:before="280"/>
      </w:pPr>
      <w:r>
        <w:rPr>
          <w:rFonts w:ascii="Arial" w:cs="Arial" w:eastAsia="Arial" w:hAnsi="Arial"/>
          <w:b/>
          <w:bCs/>
          <w:color w:val="0E0E11"/>
          <w:sz w:val="26"/>
          <w:szCs w:val="26"/>
        </w:rPr>
        <w:t xml:space="preserve">Phase 5: Survey Conduct &amp; ETL (3 weeks)</w:t>
      </w:r>
    </w:p>
    <w:p>
      <w:pPr>
        <w:pStyle w:val="ListParagraph"/>
        <w:numPr>
          <w:ilvl w:val="0"/>
          <w:numId w:val="7"/>
        </w:numPr>
        <w:spacing w:after="80"/>
      </w:pPr>
      <w:r>
        <w:rPr>
          <w:rFonts w:ascii="Arial" w:cs="Arial" w:eastAsia="Arial" w:hAnsi="Arial"/>
          <w:sz w:val="20"/>
          <w:szCs w:val="20"/>
        </w:rPr>
        <w:t xml:space="preserve">Survey conduct API (record administration events).</w:t>
      </w:r>
    </w:p>
    <w:p>
      <w:pPr>
        <w:pStyle w:val="ListParagraph"/>
        <w:numPr>
          <w:ilvl w:val="0"/>
          <w:numId w:val="7"/>
        </w:numPr>
        <w:spacing w:after="80"/>
      </w:pPr>
      <w:r>
        <w:rPr>
          <w:rFonts w:ascii="Arial" w:cs="Arial" w:eastAsia="Arial" w:hAnsi="Arial"/>
          <w:sz w:val="20"/>
          <w:szCs w:val="20"/>
        </w:rPr>
        <w:t xml:space="preserve">Auto-scoring service (calculate composite scores from item responses).</w:t>
      </w:r>
    </w:p>
    <w:p>
      <w:pPr>
        <w:pStyle w:val="ListParagraph"/>
        <w:numPr>
          <w:ilvl w:val="0"/>
          <w:numId w:val="7"/>
        </w:numPr>
        <w:spacing w:after="80"/>
      </w:pPr>
      <w:r>
        <w:rPr>
          <w:rFonts w:ascii="Arial" w:cs="Arial" w:eastAsia="Arial" w:hAnsi="Arial"/>
          <w:sz w:val="20"/>
          <w:szCs w:val="20"/>
        </w:rPr>
        <w:t xml:space="preserve">ETL pipeline: survey_conduct + survey_responses → observation rows.</w:t>
      </w:r>
    </w:p>
    <w:p>
      <w:pPr>
        <w:pStyle w:val="ListParagraph"/>
        <w:numPr>
          <w:ilvl w:val="0"/>
          <w:numId w:val="7"/>
        </w:numPr>
        <w:spacing w:after="80"/>
      </w:pPr>
      <w:r>
        <w:rPr>
          <w:rFonts w:ascii="Arial" w:cs="Arial" w:eastAsia="Arial" w:hAnsi="Arial"/>
          <w:sz w:val="20"/>
          <w:szCs w:val="20"/>
        </w:rPr>
        <w:t xml:space="preserve">FHIR QuestionnaireResponse export.</w:t>
      </w:r>
    </w:p>
    <w:p>
      <w:pPr>
        <w:pStyle w:val="ListParagraph"/>
        <w:numPr>
          <w:ilvl w:val="0"/>
          <w:numId w:val="7"/>
        </w:numPr>
        <w:spacing w:after="80"/>
      </w:pPr>
      <w:r>
        <w:rPr>
          <w:rFonts w:ascii="Arial" w:cs="Arial" w:eastAsia="Arial" w:hAnsi="Arial"/>
          <w:sz w:val="20"/>
          <w:szCs w:val="20"/>
        </w:rPr>
        <w:t xml:space="preserve">v6.0 forward-migration script (app.survey_conduct → CDM survey_conduct).</w:t>
      </w:r>
    </w:p>
    <w:p>
      <w:r>
        <w:br w:type="page"/>
      </w:r>
    </w:p>
    <w:p>
      <w:pPr>
        <w:pStyle w:val="Heading1"/>
        <w:spacing w:after="200" w:before="360"/>
      </w:pPr>
      <w:r>
        <w:rPr>
          <w:rFonts w:ascii="Arial" w:cs="Arial" w:eastAsia="Arial" w:hAnsi="Arial"/>
          <w:b/>
          <w:bCs/>
          <w:color w:val="9B1B30"/>
          <w:sz w:val="32"/>
          <w:szCs w:val="32"/>
        </w:rPr>
        <w:t xml:space="preserve">Part 8: Strategic Impact</w:t>
      </w:r>
    </w:p>
    <w:p>
      <w:pPr>
        <w:pStyle w:val="Heading2"/>
        <w:spacing w:after="160" w:before="280"/>
      </w:pPr>
      <w:r>
        <w:rPr>
          <w:rFonts w:ascii="Arial" w:cs="Arial" w:eastAsia="Arial" w:hAnsi="Arial"/>
          <w:b/>
          <w:bCs/>
          <w:color w:val="0E0E11"/>
          <w:sz w:val="26"/>
          <w:szCs w:val="26"/>
        </w:rPr>
        <w:t xml:space="preserve">For the OHDSI Community</w:t>
      </w:r>
    </w:p>
    <w:p>
      <w:pPr>
        <w:spacing w:after="160"/>
      </w:pPr>
      <w:r>
        <w:rPr>
          <w:rFonts w:ascii="Arial" w:cs="Arial" w:eastAsia="Arial" w:hAnsi="Arial"/>
          <w:sz w:val="20"/>
          <w:szCs w:val="20"/>
        </w:rPr>
        <w:t xml:space="preserve">Parthenon would become the first platform in the OHDSI ecosystem to offer turnkey survey/PRO support with pre-mapped instruments. The PTHN_SURVEY vocabulary and 100-instrument library could be contributed back to the community as an OHDSI-standard resource, directly addressing the CDM Survey Sub-Workgroup’s roadmap goals. The Survey Builder’s concept mapping output could feed into OHDSI’s vocabulary expansion pipeline.</w:t>
      </w:r>
    </w:p>
    <w:p>
      <w:pPr>
        <w:pStyle w:val="Heading2"/>
        <w:spacing w:after="160" w:before="280"/>
      </w:pPr>
      <w:r>
        <w:rPr>
          <w:rFonts w:ascii="Arial" w:cs="Arial" w:eastAsia="Arial" w:hAnsi="Arial"/>
          <w:b/>
          <w:bCs/>
          <w:color w:val="0E0E11"/>
          <w:sz w:val="26"/>
          <w:szCs w:val="26"/>
        </w:rPr>
        <w:t xml:space="preserve">For Outcomes Researchers</w:t>
      </w:r>
    </w:p>
    <w:p>
      <w:pPr>
        <w:spacing w:after="160"/>
      </w:pPr>
      <w:r>
        <w:rPr>
          <w:rFonts w:ascii="Arial" w:cs="Arial" w:eastAsia="Arial" w:hAnsi="Arial"/>
          <w:sz w:val="20"/>
          <w:szCs w:val="20"/>
        </w:rPr>
        <w:t xml:space="preserve">Researchers gain immediate access to standardized survey instruments without weeks of manual concept mapping. The Survey Builder eliminates the ETL expertise barrier—a clinical researcher who designs a new instrument can define it in Parthenon and have OMOP-ready data ingestion configured automatically. Longitudinal PRO tracking becomes a first-class analytical capability alongside claims, EHR, and clinical trial data.</w:t>
      </w:r>
    </w:p>
    <w:p>
      <w:pPr>
        <w:pStyle w:val="Heading2"/>
        <w:spacing w:after="160" w:before="280"/>
      </w:pPr>
      <w:r>
        <w:rPr>
          <w:rFonts w:ascii="Arial" w:cs="Arial" w:eastAsia="Arial" w:hAnsi="Arial"/>
          <w:b/>
          <w:bCs/>
          <w:color w:val="0E0E11"/>
          <w:sz w:val="26"/>
          <w:szCs w:val="26"/>
        </w:rPr>
        <w:t xml:space="preserve">For Network Studies</w:t>
      </w:r>
    </w:p>
    <w:p>
      <w:pPr>
        <w:spacing w:after="160"/>
      </w:pPr>
      <w:r>
        <w:rPr>
          <w:rFonts w:ascii="Arial" w:cs="Arial" w:eastAsia="Arial" w:hAnsi="Arial"/>
          <w:sz w:val="20"/>
          <w:szCs w:val="20"/>
        </w:rPr>
        <w:t xml:space="preserve">The shared PTHN_SURVEY vocabulary and standardized survey_conduct metadata enable multi-site network studies that include PRO endpoints—something that is effectively impossible today without ad-hoc coordination. A federating site running Parthenon can participate in PRO-inclusive studies using the same instrument definitions and concept mappings as every other Parthenon site.</w:t>
      </w:r>
    </w:p>
    <w:p>
      <w:pPr>
        <w:pStyle w:val="Heading2"/>
        <w:spacing w:after="160" w:before="280"/>
      </w:pPr>
      <w:r>
        <w:rPr>
          <w:rFonts w:ascii="Arial" w:cs="Arial" w:eastAsia="Arial" w:hAnsi="Arial"/>
          <w:b/>
          <w:bCs/>
          <w:color w:val="0E0E11"/>
          <w:sz w:val="26"/>
          <w:szCs w:val="26"/>
        </w:rPr>
        <w:t xml:space="preserve">For Regulatory &amp; Value-Based Care</w:t>
      </w:r>
    </w:p>
    <w:p>
      <w:pPr>
        <w:spacing w:after="160"/>
      </w:pPr>
      <w:r>
        <w:rPr>
          <w:rFonts w:ascii="Arial" w:cs="Arial" w:eastAsia="Arial" w:hAnsi="Arial"/>
          <w:sz w:val="20"/>
          <w:szCs w:val="20"/>
        </w:rPr>
        <w:t xml:space="preserve">CMS quality measures increasingly require PRO collection. FDA guidance on Patient-Focused Drug Development emphasizes PRO evidence. The Parthenon survey infrastructure provides a standards-based foundation for regulatory-grade PRO data collection and reporting, with full audit trail from instrument definition through scored results.</w:t>
      </w:r>
    </w:p>
    <w:p>
      <w:pPr>
        <w:spacing w:before="600"/>
      </w:pPr>
    </w:p>
    <w:p>
      <w:pPr>
        <w:pBdr>
          <w:top w:val="single" w:color="C9A227" w:sz="2" w:space="8"/>
        </w:pBdr>
        <w:spacing w:before="200"/>
        <w:jc w:val="center"/>
      </w:pPr>
      <w:r>
        <w:rPr>
          <w:rFonts w:ascii="Arial" w:cs="Arial" w:eastAsia="Arial" w:hAnsi="Arial"/>
          <w:i/>
          <w:iCs/>
          <w:color w:val="999999"/>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Parthenon — Survey &amp; Questionnaire Data in OMOP CDM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9B1B3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E0E1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E0E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2026-03-29T04:45:54.487Z</dcterms:created>
  <dcterms:modified xsi:type="dcterms:W3CDTF">2026-03-29T04:45:54.487Z</dcterms:modified>
</cp:coreProperties>
</file>

<file path=docProps/custom.xml><?xml version="1.0" encoding="utf-8"?>
<Properties xmlns="http://schemas.openxmlformats.org/officeDocument/2006/custom-properties" xmlns:vt="http://schemas.openxmlformats.org/officeDocument/2006/docPropsVTypes"/>
</file>