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Goods</w:t>
      </w:r>
      <w:r>
        <w:t xml:space="preserve"> </w:t>
      </w:r>
      <w:r>
        <w:t xml:space="preserve">on</w:t>
      </w:r>
      <w:r>
        <w:t xml:space="preserve"> </w:t>
      </w:r>
      <w:r>
        <w:t xml:space="preserve">Country</w:t>
      </w:r>
      <w:r>
        <w:t xml:space="preserve"> </w:t>
      </w:r>
      <w:r>
        <w:t xml:space="preserve">—</w:t>
      </w:r>
      <w:r>
        <w:t xml:space="preserve"> </w:t>
      </w:r>
      <w:r>
        <w:t xml:space="preserve">QBE</w:t>
      </w:r>
      <w:r>
        <w:t xml:space="preserve"> </w:t>
      </w:r>
      <w:r>
        <w:t xml:space="preserve">Catalysing</w:t>
      </w:r>
      <w:r>
        <w:t xml:space="preserve"> </w:t>
      </w:r>
      <w:r>
        <w:t xml:space="preserve">Impact</w:t>
      </w:r>
      <w:r>
        <w:t xml:space="preserve"> </w:t>
      </w:r>
      <w:r>
        <w:t xml:space="preserve">Pack</w:t>
      </w:r>
    </w:p>
    <w:p>
      <w:pPr>
        <w:pStyle w:val="Subtitle"/>
      </w:pPr>
      <w:r>
        <w:t xml:space="preserve">Complete</w:t>
      </w:r>
      <w:r>
        <w:t xml:space="preserve"> </w:t>
      </w:r>
      <w:r>
        <w:t xml:space="preserve">strategic</w:t>
      </w:r>
      <w:r>
        <w:t xml:space="preserve"> </w:t>
      </w:r>
      <w:r>
        <w:t xml:space="preserve">pack</w:t>
      </w:r>
      <w:r>
        <w:t xml:space="preserve"> </w:t>
      </w:r>
      <w:r>
        <w:t xml:space="preserve">across</w:t>
      </w:r>
      <w:r>
        <w:t xml:space="preserve"> </w:t>
      </w:r>
      <w:r>
        <w:t xml:space="preserve">all</w:t>
      </w:r>
      <w:r>
        <w:t xml:space="preserve"> </w:t>
      </w:r>
      <w:r>
        <w:t xml:space="preserve">diagnostic</w:t>
      </w:r>
      <w:r>
        <w:t xml:space="preserve"> </w:t>
      </w:r>
      <w:r>
        <w:t xml:space="preserve">areas</w:t>
      </w:r>
      <w:r>
        <w:t xml:space="preserve"> </w:t>
      </w:r>
      <w:r>
        <w:t xml:space="preserve">·</w:t>
      </w:r>
      <w:r>
        <w:t xml:space="preserve"> </w:t>
      </w:r>
      <w:r>
        <w:t xml:space="preserve">DRAFT</w:t>
      </w:r>
      <w:r>
        <w:t xml:space="preserve"> </w:t>
      </w:r>
      <w:r>
        <w:t xml:space="preserve">for</w:t>
      </w:r>
      <w:r>
        <w:t xml:space="preserve"> </w:t>
      </w:r>
      <w:r>
        <w:t xml:space="preserve">founder</w:t>
      </w:r>
      <w:r>
        <w:t xml:space="preserve"> </w:t>
      </w:r>
      <w:r>
        <w:t xml:space="preserve">review</w:t>
      </w:r>
    </w:p>
    <w:p>
      <w:pPr>
        <w:pStyle w:val="Date"/>
      </w:pPr>
      <w:r>
        <w:t xml:space="preserve">13</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BlockText"/>
      </w:pPr>
      <w:r>
        <w:rPr>
          <w:b/>
        </w:rPr>
        <w:t xml:space="preserve">One combined reference.</w:t>
      </w:r>
      <w:r>
        <w:t xml:space="preserve"> </w:t>
      </w:r>
      <w:r>
        <w:t xml:space="preserve">This document bundles every artifact in the Goods on Country QBE pack into one file for sharing. Each section is a standalone DRAFT for founder review. Numbers trace to the Master Strategic Alignment Map (section 00), with the evidence discipline VERIFIED / WORKPAPER / MODELLED / TARGET. The investor deck (.pptx) and the populated investor-alignment workbook (.xlsx) are separate files in the pack folder.</w:t>
      </w:r>
    </w:p>
    <w:p>
      <w:r>
        <w:br w:type="page"/>
      </w:r>
    </w:p>
    <w:p>
      <w:pPr>
        <w:pStyle w:val="Heading1"/>
      </w:pPr>
      <w:bookmarkStart w:id="20" w:name="area-main-artifact-index"/>
      <w:r>
        <w:t xml:space="preserve">Area → Main Artifact Index</w:t>
      </w:r>
      <w:bookmarkEnd w:id="20"/>
    </w:p>
    <w:p>
      <w:pPr>
        <w:pStyle w:val="Heading1"/>
      </w:pPr>
      <w:bookmarkStart w:id="21" w:name="area-main-artifact-index-1"/>
      <w:r>
        <w:t xml:space="preserve">Area → main artifact index</w:t>
      </w:r>
      <w:bookmarkEnd w:id="21"/>
    </w:p>
    <w:p>
      <w:pPr>
        <w:pStyle w:val="BlockText"/>
      </w:pPr>
      <w:r>
        <w:t xml:space="preserve">The SIH Impact Investment Readiness Diagnostic (V4, May 2026) scored Goods across</w:t>
      </w:r>
      <w:r>
        <w:t xml:space="preserve"> </w:t>
      </w:r>
      <w:r>
        <w:rPr>
          <w:b/>
        </w:rPr>
        <w:t xml:space="preserve">10 areas</w:t>
      </w:r>
      <w:r>
        <w:t xml:space="preserve">. The live QBE Notion tracker works in</w:t>
      </w:r>
      <w:r>
        <w:t xml:space="preserve"> </w:t>
      </w:r>
      <w:r>
        <w:rPr>
          <w:b/>
        </w:rPr>
        <w:t xml:space="preserve">12</w:t>
      </w:r>
      <w:r>
        <w:t xml:space="preserve"> </w:t>
      </w:r>
      <w:r>
        <w:t xml:space="preserve">(it adds Cost Model and Investor Alignment). Each area below has</w:t>
      </w:r>
      <w:r>
        <w:t xml:space="preserve"> </w:t>
      </w:r>
      <w:r>
        <w:rPr>
          <w:b/>
        </w:rPr>
        <w:t xml:space="preserve">one designated main artifact</w:t>
      </w:r>
      <w:r>
        <w:t xml:space="preserve"> </w:t>
      </w:r>
      <w:r>
        <w:t xml:space="preserve">in this folder. Scores are current→future (gap) from the diagnostic. Numbers across all artifacts trace to</w:t>
      </w:r>
      <w:r>
        <w:t xml:space="preserve"> </w:t>
      </w:r>
      <w:r>
        <w:rPr>
          <w:rStyle w:val="VerbatimChar"/>
        </w:rPr>
        <w:t xml:space="preserve">00-master-alignment-map.md</w:t>
      </w:r>
      <w:r>
        <w:t xml:space="preserve">, with the evidence discipline [VERIFIED] / [WORKPAPER] / [MODELLED] / [TARGET].</w:t>
      </w:r>
    </w:p>
    <w:tbl>
      <w:tblPr>
        <w:tblStyle w:val="Table"/>
        <w:tblW w:type="pct" w:w="5000.0"/>
        <w:tblLook w:firstRow="1"/>
      </w:tblPr>
      <w:tblGrid>
        <w:gridCol w:w="495"/>
        <w:gridCol w:w="990"/>
        <w:gridCol w:w="1155"/>
        <w:gridCol w:w="1650"/>
        <w:gridCol w:w="2475"/>
        <w:gridCol w:w="115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Main artifact</w:t>
            </w:r>
          </w:p>
        </w:tc>
        <w:tc>
          <w:tcPr>
            <w:tcBorders>
              <w:bottom w:val="single"/>
            </w:tcBorders>
            <w:vAlign w:val="bottom"/>
          </w:tcPr>
          <w:p>
            <w:pPr>
              <w:pStyle w:val="Compact"/>
              <w:jc w:val="left"/>
            </w:pPr>
            <w:r>
              <w:t xml:space="preserve">Built</w:t>
            </w:r>
          </w:p>
        </w:tc>
      </w:tr>
      <w:tr>
        <w:tc>
          <w:p>
            <w:pPr>
              <w:pStyle w:val="Compact"/>
              <w:jc w:val="left"/>
            </w:pPr>
            <w:r>
              <w:t xml:space="preserve">1</w:t>
            </w:r>
          </w:p>
        </w:tc>
        <w:tc>
          <w:p>
            <w:pPr>
              <w:pStyle w:val="Compact"/>
              <w:jc w:val="left"/>
            </w:pPr>
            <w:r>
              <w:t xml:space="preserve">Vision &amp; Ambition</w:t>
            </w:r>
          </w:p>
        </w:tc>
        <w:tc>
          <w:p>
            <w:pPr>
              <w:pStyle w:val="Compact"/>
              <w:jc w:val="left"/>
            </w:pPr>
            <w:r>
              <w:t xml:space="preserve">8→9 (1)</w:t>
            </w:r>
          </w:p>
        </w:tc>
        <w:tc>
          <w:p>
            <w:pPr>
              <w:pStyle w:val="Compact"/>
              <w:jc w:val="left"/>
            </w:pPr>
            <w:r>
              <w:t xml:space="preserve">—</w:t>
            </w:r>
          </w:p>
        </w:tc>
        <w:tc>
          <w:p>
            <w:pPr>
              <w:pStyle w:val="Compact"/>
              <w:jc w:val="left"/>
            </w:pPr>
            <w:r>
              <w:rPr>
                <w:rStyle w:val="VerbatimChar"/>
              </w:rPr>
              <w:t xml:space="preserve">13-vision-and-ambition.md</w:t>
            </w:r>
          </w:p>
        </w:tc>
        <w:tc>
          <w:p>
            <w:pPr>
              <w:pStyle w:val="Compact"/>
              <w:jc w:val="left"/>
            </w:pPr>
            <w:r>
              <w:t xml:space="preserve">✅</w:t>
            </w:r>
          </w:p>
        </w:tc>
      </w:tr>
      <w:tr>
        <w:tc>
          <w:p>
            <w:pPr>
              <w:pStyle w:val="Compact"/>
              <w:jc w:val="left"/>
            </w:pPr>
            <w:r>
              <w:t xml:space="preserve">2</w:t>
            </w:r>
          </w:p>
        </w:tc>
        <w:tc>
          <w:p>
            <w:pPr>
              <w:pStyle w:val="Compact"/>
              <w:jc w:val="left"/>
            </w:pPr>
            <w:r>
              <w:t xml:space="preserve">Social Objective &amp; Impact</w:t>
            </w:r>
          </w:p>
        </w:tc>
        <w:tc>
          <w:p>
            <w:pPr>
              <w:pStyle w:val="Compact"/>
              <w:jc w:val="left"/>
            </w:pPr>
            <w:r>
              <w:t xml:space="preserve">5→8 (3)</w:t>
            </w:r>
          </w:p>
        </w:tc>
        <w:tc>
          <w:p>
            <w:pPr>
              <w:pStyle w:val="Compact"/>
              <w:jc w:val="left"/>
            </w:pPr>
            <w:r>
              <w:t xml:space="preserve">★</w:t>
            </w:r>
          </w:p>
        </w:tc>
        <w:tc>
          <w:p>
            <w:pPr>
              <w:pStyle w:val="Compact"/>
              <w:jc w:val="left"/>
            </w:pPr>
            <w:r>
              <w:rPr>
                <w:rStyle w:val="VerbatimChar"/>
              </w:rPr>
              <w:t xml:space="preserve">05-impact-measurement-method.md</w:t>
            </w:r>
          </w:p>
        </w:tc>
        <w:tc>
          <w:p>
            <w:pPr>
              <w:pStyle w:val="Compact"/>
              <w:jc w:val="left"/>
            </w:pPr>
            <w:r>
              <w:t xml:space="preserve">✅</w:t>
            </w:r>
          </w:p>
        </w:tc>
      </w:tr>
      <w:tr>
        <w:tc>
          <w:p>
            <w:pPr>
              <w:pStyle w:val="Compact"/>
              <w:jc w:val="left"/>
            </w:pPr>
            <w:r>
              <w:t xml:space="preserve">3</w:t>
            </w:r>
          </w:p>
        </w:tc>
        <w:tc>
          <w:p>
            <w:pPr>
              <w:pStyle w:val="Compact"/>
              <w:jc w:val="left"/>
            </w:pPr>
            <w:r>
              <w:t xml:space="preserve">Business Model Clarity</w:t>
            </w:r>
          </w:p>
        </w:tc>
        <w:tc>
          <w:p>
            <w:pPr>
              <w:pStyle w:val="Compact"/>
              <w:jc w:val="left"/>
            </w:pPr>
            <w:r>
              <w:t xml:space="preserve">4→7 (3)</w:t>
            </w:r>
          </w:p>
        </w:tc>
        <w:tc>
          <w:p>
            <w:pPr>
              <w:pStyle w:val="Compact"/>
              <w:jc w:val="left"/>
            </w:pPr>
            <w:r>
              <w:t xml:space="preserve">★</w:t>
            </w:r>
          </w:p>
        </w:tc>
        <w:tc>
          <w:p>
            <w:pPr>
              <w:pStyle w:val="Compact"/>
              <w:jc w:val="left"/>
            </w:pPr>
            <w:r>
              <w:rPr>
                <w:rStyle w:val="VerbatimChar"/>
              </w:rPr>
              <w:t xml:space="preserve">14-business-model.md</w:t>
            </w:r>
          </w:p>
        </w:tc>
        <w:tc>
          <w:p>
            <w:pPr>
              <w:pStyle w:val="Compact"/>
              <w:jc w:val="left"/>
            </w:pPr>
            <w:r>
              <w:t xml:space="preserve">✅</w:t>
            </w:r>
          </w:p>
        </w:tc>
      </w:tr>
      <w:tr>
        <w:tc>
          <w:p>
            <w:pPr>
              <w:pStyle w:val="Compact"/>
              <w:jc w:val="left"/>
            </w:pPr>
            <w:r>
              <w:t xml:space="preserve">4</w:t>
            </w:r>
          </w:p>
        </w:tc>
        <w:tc>
          <w:p>
            <w:pPr>
              <w:pStyle w:val="Compact"/>
              <w:jc w:val="left"/>
            </w:pPr>
            <w:r>
              <w:t xml:space="preserve">Financial Management</w:t>
            </w:r>
          </w:p>
        </w:tc>
        <w:tc>
          <w:p>
            <w:pPr>
              <w:pStyle w:val="Compact"/>
              <w:jc w:val="left"/>
            </w:pPr>
            <w:r>
              <w:t xml:space="preserve">4→7 (3)</w:t>
            </w:r>
          </w:p>
        </w:tc>
        <w:tc>
          <w:p>
            <w:pPr>
              <w:pStyle w:val="Compact"/>
              <w:jc w:val="left"/>
            </w:pPr>
            <w:r>
              <w:t xml:space="preserve">★</w:t>
            </w:r>
          </w:p>
        </w:tc>
        <w:tc>
          <w:p>
            <w:pPr>
              <w:pStyle w:val="Compact"/>
              <w:jc w:val="left"/>
            </w:pPr>
            <w:r>
              <w:rPr>
                <w:rStyle w:val="VerbatimChar"/>
              </w:rPr>
              <w:t xml:space="preserve">15-financial-summary.md</w:t>
            </w:r>
            <w:r>
              <w:t xml:space="preserve"> </w:t>
            </w:r>
            <w:r>
              <w:t xml:space="preserve">+ Goods Playable Model (live)</w:t>
            </w:r>
          </w:p>
        </w:tc>
        <w:tc>
          <w:p>
            <w:pPr>
              <w:pStyle w:val="Compact"/>
              <w:jc w:val="left"/>
            </w:pPr>
            <w:r>
              <w:t xml:space="preserve">✅</w:t>
            </w:r>
          </w:p>
        </w:tc>
      </w:tr>
      <w:tr>
        <w:tc>
          <w:p>
            <w:pPr>
              <w:pStyle w:val="Compact"/>
              <w:jc w:val="left"/>
            </w:pPr>
            <w:r>
              <w:t xml:space="preserve">5</w:t>
            </w:r>
          </w:p>
        </w:tc>
        <w:tc>
          <w:p>
            <w:pPr>
              <w:pStyle w:val="Compact"/>
              <w:jc w:val="left"/>
            </w:pPr>
            <w:r>
              <w:t xml:space="preserve">Strategic Planning &amp; Risk</w:t>
            </w:r>
          </w:p>
        </w:tc>
        <w:tc>
          <w:p>
            <w:pPr>
              <w:pStyle w:val="Compact"/>
              <w:jc w:val="left"/>
            </w:pPr>
            <w:r>
              <w:t xml:space="preserve">5→7 (2)</w:t>
            </w:r>
          </w:p>
        </w:tc>
        <w:tc>
          <w:p>
            <w:pPr>
              <w:pStyle w:val="Compact"/>
              <w:jc w:val="left"/>
            </w:pPr>
            <w:r>
              <w:t xml:space="preserve">★</w:t>
            </w:r>
          </w:p>
        </w:tc>
        <w:tc>
          <w:p>
            <w:pPr>
              <w:pStyle w:val="Compact"/>
              <w:jc w:val="left"/>
            </w:pPr>
            <w:r>
              <w:rPr>
                <w:rStyle w:val="VerbatimChar"/>
              </w:rPr>
              <w:t xml:space="preserve">16-strategic-plan.md</w:t>
            </w:r>
            <w:r>
              <w:t xml:space="preserve"> </w:t>
            </w:r>
            <w:r>
              <w:t xml:space="preserve">+</w:t>
            </w:r>
            <w:r>
              <w:t xml:space="preserve"> </w:t>
            </w:r>
            <w:r>
              <w:rPr>
                <w:rStyle w:val="VerbatimChar"/>
              </w:rPr>
              <w:t xml:space="preserve">06-risk-register.md</w:t>
            </w:r>
          </w:p>
        </w:tc>
        <w:tc>
          <w:p>
            <w:pPr>
              <w:pStyle w:val="Compact"/>
              <w:jc w:val="left"/>
            </w:pPr>
            <w:r>
              <w:t xml:space="preserve">✅</w:t>
            </w:r>
          </w:p>
        </w:tc>
      </w:tr>
      <w:tr>
        <w:tc>
          <w:p>
            <w:pPr>
              <w:pStyle w:val="Compact"/>
              <w:jc w:val="left"/>
            </w:pPr>
            <w:r>
              <w:t xml:space="preserve">6</w:t>
            </w:r>
          </w:p>
        </w:tc>
        <w:tc>
          <w:p>
            <w:pPr>
              <w:pStyle w:val="Compact"/>
              <w:jc w:val="left"/>
            </w:pPr>
            <w:r>
              <w:t xml:space="preserve">Process &amp; Technology</w:t>
            </w:r>
          </w:p>
        </w:tc>
        <w:tc>
          <w:p>
            <w:pPr>
              <w:pStyle w:val="Compact"/>
              <w:jc w:val="left"/>
            </w:pPr>
            <w:r>
              <w:t xml:space="preserve">7→8 (1)</w:t>
            </w:r>
          </w:p>
        </w:tc>
        <w:tc>
          <w:p>
            <w:pPr>
              <w:pStyle w:val="Compact"/>
              <w:jc w:val="left"/>
            </w:pPr>
            <w:r>
              <w:t xml:space="preserve">—</w:t>
            </w:r>
          </w:p>
        </w:tc>
        <w:tc>
          <w:p>
            <w:pPr>
              <w:pStyle w:val="Compact"/>
              <w:jc w:val="left"/>
            </w:pPr>
            <w:r>
              <w:rPr>
                <w:rStyle w:val="VerbatimChar"/>
              </w:rPr>
              <w:t xml:space="preserve">17-operating-model.md</w:t>
            </w:r>
          </w:p>
        </w:tc>
        <w:tc>
          <w:p>
            <w:pPr>
              <w:pStyle w:val="Compact"/>
              <w:jc w:val="left"/>
            </w:pPr>
            <w:r>
              <w:t xml:space="preserve">✅</w:t>
            </w:r>
          </w:p>
        </w:tc>
      </w:tr>
      <w:tr>
        <w:tc>
          <w:p>
            <w:pPr>
              <w:pStyle w:val="Compact"/>
              <w:jc w:val="left"/>
            </w:pPr>
            <w:r>
              <w:t xml:space="preserve">7</w:t>
            </w:r>
          </w:p>
        </w:tc>
        <w:tc>
          <w:p>
            <w:pPr>
              <w:pStyle w:val="Compact"/>
              <w:jc w:val="left"/>
            </w:pPr>
            <w:r>
              <w:t xml:space="preserve">Governance, Data &amp; Reporting</w:t>
            </w:r>
          </w:p>
        </w:tc>
        <w:tc>
          <w:p>
            <w:pPr>
              <w:pStyle w:val="Compact"/>
              <w:jc w:val="left"/>
            </w:pPr>
            <w:r>
              <w:t xml:space="preserve">5→8 (3)</w:t>
            </w:r>
          </w:p>
        </w:tc>
        <w:tc>
          <w:p>
            <w:pPr>
              <w:pStyle w:val="Compact"/>
              <w:jc w:val="left"/>
            </w:pPr>
            <w:r>
              <w:t xml:space="preserve">★</w:t>
            </w:r>
          </w:p>
        </w:tc>
        <w:tc>
          <w:p>
            <w:pPr>
              <w:pStyle w:val="Compact"/>
              <w:jc w:val="left"/>
            </w:pPr>
            <w:r>
              <w:rPr>
                <w:rStyle w:val="VerbatimChar"/>
              </w:rPr>
              <w:t xml:space="preserve">18-governance-framework.md</w:t>
            </w:r>
          </w:p>
        </w:tc>
        <w:tc>
          <w:p>
            <w:pPr>
              <w:pStyle w:val="Compact"/>
              <w:jc w:val="left"/>
            </w:pPr>
            <w:r>
              <w:t xml:space="preserve">✅</w:t>
            </w:r>
          </w:p>
        </w:tc>
      </w:tr>
      <w:tr>
        <w:tc>
          <w:p>
            <w:pPr>
              <w:pStyle w:val="Compact"/>
              <w:jc w:val="left"/>
            </w:pPr>
            <w:r>
              <w:t xml:space="preserve">8</w:t>
            </w:r>
          </w:p>
        </w:tc>
        <w:tc>
          <w:p>
            <w:pPr>
              <w:pStyle w:val="Compact"/>
              <w:jc w:val="left"/>
            </w:pPr>
            <w:r>
              <w:t xml:space="preserve">People &amp; Organisation</w:t>
            </w:r>
          </w:p>
        </w:tc>
        <w:tc>
          <w:p>
            <w:pPr>
              <w:pStyle w:val="Compact"/>
              <w:jc w:val="left"/>
            </w:pPr>
            <w:r>
              <w:t xml:space="preserve">6→7 (1)</w:t>
            </w:r>
          </w:p>
        </w:tc>
        <w:tc>
          <w:p>
            <w:pPr>
              <w:pStyle w:val="Compact"/>
              <w:jc w:val="left"/>
            </w:pPr>
            <w:r>
              <w:t xml:space="preserve">—</w:t>
            </w:r>
          </w:p>
        </w:tc>
        <w:tc>
          <w:p>
            <w:pPr>
              <w:pStyle w:val="Compact"/>
              <w:jc w:val="left"/>
            </w:pPr>
            <w:r>
              <w:rPr>
                <w:rStyle w:val="VerbatimChar"/>
              </w:rPr>
              <w:t xml:space="preserve">07-role-map.md</w:t>
            </w:r>
          </w:p>
        </w:tc>
        <w:tc>
          <w:p>
            <w:pPr>
              <w:pStyle w:val="Compact"/>
              <w:jc w:val="left"/>
            </w:pPr>
            <w:r>
              <w:t xml:space="preserve">✅</w:t>
            </w:r>
          </w:p>
        </w:tc>
      </w:tr>
      <w:tr>
        <w:tc>
          <w:p>
            <w:pPr>
              <w:pStyle w:val="Compact"/>
              <w:jc w:val="left"/>
            </w:pPr>
            <w:r>
              <w:t xml:space="preserve">9</w:t>
            </w:r>
          </w:p>
        </w:tc>
        <w:tc>
          <w:p>
            <w:pPr>
              <w:pStyle w:val="Compact"/>
              <w:jc w:val="left"/>
            </w:pPr>
            <w:r>
              <w:t xml:space="preserve">Legal Structure</w:t>
            </w:r>
          </w:p>
        </w:tc>
        <w:tc>
          <w:p>
            <w:pPr>
              <w:pStyle w:val="Compact"/>
              <w:jc w:val="left"/>
            </w:pPr>
            <w:r>
              <w:t xml:space="preserve">5→7 (2)</w:t>
            </w:r>
          </w:p>
        </w:tc>
        <w:tc>
          <w:p>
            <w:pPr>
              <w:pStyle w:val="Compact"/>
              <w:jc w:val="left"/>
            </w:pPr>
            <w:r>
              <w:t xml:space="preserve">—</w:t>
            </w:r>
          </w:p>
        </w:tc>
        <w:tc>
          <w:p>
            <w:pPr>
              <w:pStyle w:val="Compact"/>
              <w:jc w:val="left"/>
            </w:pPr>
            <w:r>
              <w:rPr>
                <w:rStyle w:val="VerbatimChar"/>
              </w:rPr>
              <w:t xml:space="preserve">04-entity-wording-block.md</w:t>
            </w:r>
          </w:p>
        </w:tc>
        <w:tc>
          <w:p>
            <w:pPr>
              <w:pStyle w:val="Compact"/>
              <w:jc w:val="left"/>
            </w:pPr>
            <w:r>
              <w:t xml:space="preserve">✅</w:t>
            </w:r>
          </w:p>
        </w:tc>
      </w:tr>
      <w:tr>
        <w:tc>
          <w:p>
            <w:pPr>
              <w:pStyle w:val="Compact"/>
              <w:jc w:val="left"/>
            </w:pPr>
            <w:r>
              <w:t xml:space="preserve">10</w:t>
            </w:r>
          </w:p>
        </w:tc>
        <w:tc>
          <w:p>
            <w:pPr>
              <w:pStyle w:val="Compact"/>
              <w:jc w:val="left"/>
            </w:pPr>
            <w:r>
              <w:t xml:space="preserve">Investors &amp; Capital Raising</w:t>
            </w:r>
          </w:p>
        </w:tc>
        <w:tc>
          <w:p>
            <w:pPr>
              <w:pStyle w:val="Compact"/>
              <w:jc w:val="left"/>
            </w:pPr>
            <w:r>
              <w:t xml:space="preserve">6→8 (2)</w:t>
            </w:r>
          </w:p>
        </w:tc>
        <w:tc>
          <w:p>
            <w:pPr>
              <w:pStyle w:val="Compact"/>
              <w:jc w:val="left"/>
            </w:pPr>
            <w:r>
              <w:t xml:space="preserve">—</w:t>
            </w:r>
          </w:p>
        </w:tc>
        <w:tc>
          <w:p>
            <w:pPr>
              <w:pStyle w:val="Compact"/>
              <w:jc w:val="left"/>
            </w:pPr>
            <w:r>
              <w:rPr>
                <w:rStyle w:val="VerbatimChar"/>
              </w:rPr>
              <w:t xml:space="preserve">01-strategy-memo.md</w:t>
            </w:r>
            <w:r>
              <w:t xml:space="preserve"> </w:t>
            </w:r>
            <w:r>
              <w:t xml:space="preserve">·</w:t>
            </w:r>
            <w:r>
              <w:t xml:space="preserve"> </w:t>
            </w:r>
            <w:r>
              <w:rPr>
                <w:rStyle w:val="VerbatimChar"/>
              </w:rPr>
              <w:t xml:space="preserve">02-one-pager.md</w:t>
            </w:r>
            <w:r>
              <w:t xml:space="preserve"> </w:t>
            </w:r>
            <w:r>
              <w:t xml:space="preserve">·</w:t>
            </w:r>
            <w:r>
              <w:t xml:space="preserve"> </w:t>
            </w:r>
            <w:r>
              <w:rPr>
                <w:rStyle w:val="VerbatimChar"/>
              </w:rPr>
              <w:t xml:space="preserve">Goods-on-Country-Investor-Deck.pptx</w:t>
            </w:r>
          </w:p>
        </w:tc>
        <w:tc>
          <w:p>
            <w:pPr>
              <w:pStyle w:val="Compact"/>
              <w:jc w:val="left"/>
            </w:pPr>
            <w:r>
              <w:t xml:space="preserve">✅</w:t>
            </w:r>
          </w:p>
        </w:tc>
      </w:tr>
      <w:tr>
        <w:tc>
          <w:p>
            <w:pPr>
              <w:pStyle w:val="Compact"/>
              <w:jc w:val="left"/>
            </w:pPr>
            <w:r>
              <w:t xml:space="preserve">11</w:t>
            </w:r>
          </w:p>
        </w:tc>
        <w:tc>
          <w:p>
            <w:pPr>
              <w:pStyle w:val="Compact"/>
              <w:jc w:val="left"/>
            </w:pPr>
            <w:r>
              <w:t xml:space="preserve">Cost Model (Notion working area)</w:t>
            </w:r>
          </w:p>
        </w:tc>
        <w:tc>
          <w:p>
            <w:pPr>
              <w:pStyle w:val="Compact"/>
              <w:jc w:val="left"/>
            </w:pPr>
            <w:r>
              <w:t xml:space="preserve">—</w:t>
            </w:r>
          </w:p>
        </w:tc>
        <w:tc>
          <w:p>
            <w:pPr>
              <w:pStyle w:val="Compact"/>
              <w:jc w:val="left"/>
            </w:pPr>
            <w:r>
              <w:t xml:space="preserve">P0</w:t>
            </w:r>
          </w:p>
        </w:tc>
        <w:tc>
          <w:p>
            <w:pPr>
              <w:pStyle w:val="Compact"/>
              <w:jc w:val="left"/>
            </w:pPr>
            <w:r>
              <w:t xml:space="preserve">Goods Playable Model (live) + cost section of</w:t>
            </w:r>
            <w:r>
              <w:t xml:space="preserve"> </w:t>
            </w:r>
            <w:r>
              <w:rPr>
                <w:rStyle w:val="VerbatimChar"/>
              </w:rPr>
              <w:t xml:space="preserve">15-financial-summary.md</w:t>
            </w:r>
          </w:p>
        </w:tc>
        <w:tc>
          <w:p>
            <w:pPr>
              <w:pStyle w:val="Compact"/>
              <w:jc w:val="left"/>
            </w:pPr>
            <w:r>
              <w:t xml:space="preserve">✅</w:t>
            </w:r>
          </w:p>
        </w:tc>
      </w:tr>
      <w:tr>
        <w:tc>
          <w:p>
            <w:pPr>
              <w:pStyle w:val="Compact"/>
              <w:jc w:val="left"/>
            </w:pPr>
            <w:r>
              <w:t xml:space="preserve">12</w:t>
            </w:r>
          </w:p>
        </w:tc>
        <w:tc>
          <w:p>
            <w:pPr>
              <w:pStyle w:val="Compact"/>
              <w:jc w:val="left"/>
            </w:pPr>
            <w:r>
              <w:t xml:space="preserve">Investor Alignment (Notion working area)</w:t>
            </w:r>
          </w:p>
        </w:tc>
        <w:tc>
          <w:p>
            <w:pPr>
              <w:pStyle w:val="Compact"/>
              <w:jc w:val="left"/>
            </w:pPr>
            <w:r>
              <w:t xml:space="preserve">—</w:t>
            </w:r>
          </w:p>
        </w:tc>
        <w:tc>
          <w:p>
            <w:pPr>
              <w:pStyle w:val="Compact"/>
              <w:jc w:val="left"/>
            </w:pPr>
            <w:r>
              <w:t xml:space="preserve">—</w:t>
            </w:r>
          </w:p>
        </w:tc>
        <w:tc>
          <w:p>
            <w:pPr>
              <w:pStyle w:val="Compact"/>
              <w:jc w:val="left"/>
            </w:pPr>
            <w:r>
              <w:rPr>
                <w:rStyle w:val="VerbatimChar"/>
              </w:rPr>
              <w:t xml:space="preserve">12-investor-alignment.md</w:t>
            </w:r>
            <w:r>
              <w:t xml:space="preserve"> </w:t>
            </w:r>
            <w:r>
              <w:t xml:space="preserve">+</w:t>
            </w:r>
            <w:r>
              <w:t xml:space="preserve"> </w:t>
            </w:r>
            <w:r>
              <w:rPr>
                <w:rStyle w:val="VerbatimChar"/>
              </w:rPr>
              <w:t xml:space="preserve">Investor-Alignment-Tool-Goods-POPULATED.xlsx</w:t>
            </w:r>
          </w:p>
        </w:tc>
        <w:tc>
          <w:p>
            <w:pPr>
              <w:pStyle w:val="Compact"/>
              <w:jc w:val="left"/>
            </w:pPr>
            <w:r>
              <w:t xml:space="preserve">✅</w:t>
            </w:r>
          </w:p>
        </w:tc>
      </w:tr>
    </w:tbl>
    <w:p>
      <w:pPr>
        <w:pStyle w:val="BodyText"/>
      </w:pPr>
      <w:r>
        <w:t xml:space="preserve">★ = SIH priority opportunity area.</w:t>
      </w:r>
    </w:p>
    <w:p>
      <w:pPr>
        <w:pStyle w:val="Heading2"/>
      </w:pPr>
      <w:bookmarkStart w:id="22" w:name="how-the-pack-is-organised"/>
      <w:r>
        <w:t xml:space="preserve">How the pack is organised</w:t>
      </w:r>
      <w:bookmarkEnd w:id="22"/>
    </w:p>
    <w:p>
      <w:pPr>
        <w:numPr>
          <w:ilvl w:val="0"/>
          <w:numId w:val="1001"/>
        </w:numPr>
        <w:pStyle w:val="Compact"/>
      </w:pPr>
      <w:r>
        <w:rPr>
          <w:b/>
        </w:rPr>
        <w:t xml:space="preserve">Read-first:</w:t>
      </w:r>
      <w:r>
        <w:t xml:space="preserve"> </w:t>
      </w:r>
      <w:r>
        <w:t xml:space="preserve">this index, then</w:t>
      </w:r>
      <w:r>
        <w:t xml:space="preserve"> </w:t>
      </w:r>
      <w:r>
        <w:rPr>
          <w:rStyle w:val="VerbatimChar"/>
        </w:rPr>
        <w:t xml:space="preserve">11-diagnostic-closure-map.md</w:t>
      </w:r>
      <w:r>
        <w:t xml:space="preserve"> </w:t>
      </w:r>
      <w:r>
        <w:t xml:space="preserve">(how close each area is to</w:t>
      </w:r>
      <w:r>
        <w:t xml:space="preserve"> </w:t>
      </w:r>
      <w:r>
        <w:t xml:space="preserve">“</w:t>
      </w:r>
      <w:r>
        <w:t xml:space="preserve">final</w:t>
      </w:r>
      <w:r>
        <w:t xml:space="preserve">”</w:t>
      </w:r>
      <w:r>
        <w:t xml:space="preserve">) and</w:t>
      </w:r>
      <w:r>
        <w:t xml:space="preserve"> </w:t>
      </w:r>
      <w:r>
        <w:rPr>
          <w:rStyle w:val="VerbatimChar"/>
        </w:rPr>
        <w:t xml:space="preserve">03-next-stage-focus.md</w:t>
      </w:r>
      <w:r>
        <w:t xml:space="preserve"> </w:t>
      </w:r>
      <w:r>
        <w:t xml:space="preserve">(what actually moves the raise).</w:t>
      </w:r>
    </w:p>
    <w:p>
      <w:pPr>
        <w:numPr>
          <w:ilvl w:val="0"/>
          <w:numId w:val="1001"/>
        </w:numPr>
        <w:pStyle w:val="Compact"/>
      </w:pPr>
      <w:r>
        <w:rPr>
          <w:b/>
        </w:rPr>
        <w:t xml:space="preserve">Source of truth:</w:t>
      </w:r>
      <w:r>
        <w:t xml:space="preserve"> </w:t>
      </w:r>
      <w:r>
        <w:rPr>
          <w:rStyle w:val="VerbatimChar"/>
        </w:rPr>
        <w:t xml:space="preserve">00-master-alignment-map.md</w:t>
      </w:r>
      <w:r>
        <w:t xml:space="preserve"> </w:t>
      </w:r>
      <w:r>
        <w:t xml:space="preserve">— every number, with labels and the contradictions ledger.</w:t>
      </w:r>
    </w:p>
    <w:p>
      <w:pPr>
        <w:numPr>
          <w:ilvl w:val="0"/>
          <w:numId w:val="1001"/>
        </w:numPr>
        <w:pStyle w:val="Compact"/>
      </w:pPr>
      <w:r>
        <w:rPr>
          <w:b/>
        </w:rPr>
        <w:t xml:space="preserve">The six recommendations</w:t>
      </w:r>
      <w:r>
        <w:t xml:space="preserve"> </w:t>
      </w:r>
      <w:r>
        <w:t xml:space="preserve">from the diagnostic map to: financial model (</w:t>
      </w:r>
      <w:r>
        <w:rPr>
          <w:rStyle w:val="VerbatimChar"/>
        </w:rPr>
        <w:t xml:space="preserve">15</w:t>
      </w:r>
      <w:r>
        <w:t xml:space="preserve"> </w:t>
      </w:r>
      <w:r>
        <w:t xml:space="preserve">+ Playable Model), production cost + market research (the SIH and QBE projects, in flight), governance (</w:t>
      </w:r>
      <w:r>
        <w:rPr>
          <w:rStyle w:val="VerbatimChar"/>
        </w:rPr>
        <w:t xml:space="preserve">18</w:t>
      </w:r>
      <w:r>
        <w:t xml:space="preserve">), Theory of Change/MEL (</w:t>
      </w:r>
      <w:r>
        <w:rPr>
          <w:rStyle w:val="VerbatimChar"/>
        </w:rPr>
        <w:t xml:space="preserve">05</w:t>
      </w:r>
      <w:r>
        <w:t xml:space="preserve">), risk register (</w:t>
      </w:r>
      <w:r>
        <w:rPr>
          <w:rStyle w:val="VerbatimChar"/>
        </w:rPr>
        <w:t xml:space="preserve">06</w:t>
      </w:r>
      <w:r>
        <w:t xml:space="preserve">).</w:t>
      </w:r>
    </w:p>
    <w:p>
      <w:pPr>
        <w:numPr>
          <w:ilvl w:val="0"/>
          <w:numId w:val="1001"/>
        </w:numPr>
        <w:pStyle w:val="Compact"/>
      </w:pPr>
      <w:r>
        <w:rPr>
          <w:b/>
        </w:rPr>
        <w:t xml:space="preserve">Capital action:</w:t>
      </w:r>
      <w:r>
        <w:t xml:space="preserve"> </w:t>
      </w:r>
      <w:r>
        <w:t xml:space="preserve">funder notes</w:t>
      </w:r>
      <w:r>
        <w:t xml:space="preserve"> </w:t>
      </w:r>
      <w:r>
        <w:rPr>
          <w:rStyle w:val="VerbatimChar"/>
        </w:rPr>
        <w:t xml:space="preserve">08</w:t>
      </w:r>
      <w:r>
        <w:t xml:space="preserve"> </w:t>
      </w:r>
      <w:r>
        <w:t xml:space="preserve">(Snow),</w:t>
      </w:r>
      <w:r>
        <w:t xml:space="preserve"> </w:t>
      </w:r>
      <w:r>
        <w:rPr>
          <w:rStyle w:val="VerbatimChar"/>
        </w:rPr>
        <w:t xml:space="preserve">09</w:t>
      </w:r>
      <w:r>
        <w:t xml:space="preserve"> </w:t>
      </w:r>
      <w:r>
        <w:t xml:space="preserve">(Centrecorp),</w:t>
      </w:r>
      <w:r>
        <w:t xml:space="preserve"> </w:t>
      </w:r>
      <w:r>
        <w:rPr>
          <w:rStyle w:val="VerbatimChar"/>
        </w:rPr>
        <w:t xml:space="preserve">10</w:t>
      </w:r>
      <w:r>
        <w:t xml:space="preserve"> </w:t>
      </w:r>
      <w:r>
        <w:t xml:space="preserve">(SEFA) + the alignment tool</w:t>
      </w:r>
      <w:r>
        <w:t xml:space="preserve"> </w:t>
      </w:r>
      <w:r>
        <w:rPr>
          <w:rStyle w:val="VerbatimChar"/>
        </w:rPr>
        <w:t xml:space="preserve">12</w:t>
      </w:r>
      <w:r>
        <w:t xml:space="preserve">.</w:t>
      </w:r>
    </w:p>
    <w:p>
      <w:pPr>
        <w:pStyle w:val="Heading2"/>
      </w:pPr>
      <w:bookmarkStart w:id="23" w:name="what-built-means-here"/>
      <w:r>
        <w:t xml:space="preserve">What</w:t>
      </w:r>
      <w:r>
        <w:t xml:space="preserve"> </w:t>
      </w:r>
      <w:r>
        <w:t xml:space="preserve">“</w:t>
      </w:r>
      <w:r>
        <w:t xml:space="preserve">built</w:t>
      </w:r>
      <w:r>
        <w:t xml:space="preserve">”</w:t>
      </w:r>
      <w:r>
        <w:t xml:space="preserve"> </w:t>
      </w:r>
      <w:r>
        <w:t xml:space="preserve">means here</w:t>
      </w:r>
      <w:bookmarkEnd w:id="23"/>
    </w:p>
    <w:p>
      <w:pPr>
        <w:pStyle w:val="FirstParagraph"/>
      </w:pPr>
      <w:r>
        <w:t xml:space="preserve">Every area now has a written main artifact in</w:t>
      </w:r>
      <w:r>
        <w:t xml:space="preserve"> </w:t>
      </w:r>
      <w:r>
        <w:rPr>
          <w:b/>
        </w:rPr>
        <w:t xml:space="preserve">DRAFT for founder review</w:t>
      </w:r>
      <w:r>
        <w:t xml:space="preserve">. Built ≠ done. The remaining work is the five real-world proofs no document can finish, from the focus brief: one signed legally-binding commitment, accountant-endorsed GOC-only financials, the legal-entity decision, a measured (not modelled) in-source bed cost, and a consent-cleared story list — plus the two SIH/QBE-run projects (production-cost tool, market research).</w:t>
      </w:r>
    </w:p>
    <w:p>
      <w:pPr>
        <w:pStyle w:val="Heading2"/>
      </w:pPr>
      <w:bookmarkStart w:id="24" w:name="X3031a4adb4ae8d543da32705024bba0f80f74ff"/>
      <w:r>
        <w:t xml:space="preserve">Maintainer notes (canon fixes to make at source, found while building)</w:t>
      </w:r>
      <w:bookmarkEnd w:id="24"/>
    </w:p>
    <w:p>
      <w:pPr>
        <w:numPr>
          <w:ilvl w:val="0"/>
          <w:numId w:val="1002"/>
        </w:numPr>
        <w:pStyle w:val="Compact"/>
      </w:pPr>
      <w:r>
        <w:rPr>
          <w:rStyle w:val="VerbatimChar"/>
        </w:rPr>
        <w:t xml:space="preserve">wiki/articles/enterprise/01-vision-and-ambition.md</w:t>
      </w:r>
      <w:r>
        <w:t xml:space="preserve"> </w:t>
      </w:r>
      <w:r>
        <w:t xml:space="preserve">still says the legs</w:t>
      </w:r>
      <w:r>
        <w:t xml:space="preserve"> </w:t>
      </w:r>
      <w:r>
        <w:t xml:space="preserve">“</w:t>
      </w:r>
      <w:r>
        <w:t xml:space="preserve">slot onto the poles</w:t>
      </w:r>
      <w:r>
        <w:t xml:space="preserve">”</w:t>
      </w:r>
      <w:r>
        <w:t xml:space="preserve"> </w:t>
      </w:r>
      <w:r>
        <w:t xml:space="preserve">— wrong; it is the X-trestle tension design (canvas is structural). Fix at source.</w:t>
      </w:r>
    </w:p>
    <w:p>
      <w:pPr>
        <w:numPr>
          <w:ilvl w:val="0"/>
          <w:numId w:val="1002"/>
        </w:numPr>
        <w:pStyle w:val="Compact"/>
      </w:pPr>
      <w:r>
        <w:t xml:space="preserve">Governance: confirm the Zinus advisory seat’s name/title (brief said</w:t>
      </w:r>
      <w:r>
        <w:t xml:space="preserve"> </w:t>
      </w:r>
      <w:r>
        <w:t xml:space="preserve">“</w:t>
      </w:r>
      <w:r>
        <w:t xml:space="preserve">MD</w:t>
      </w:r>
      <w:r>
        <w:t xml:space="preserve">”</w:t>
      </w:r>
      <w:r>
        <w:t xml:space="preserve">;</w:t>
      </w:r>
      <w:r>
        <w:t xml:space="preserve"> </w:t>
      </w:r>
      <w:r>
        <w:rPr>
          <w:rStyle w:val="VerbatimChar"/>
        </w:rPr>
        <w:t xml:space="preserve">governance/board-structure</w:t>
      </w:r>
      <w:r>
        <w:t xml:space="preserve"> </w:t>
      </w:r>
      <w:r>
        <w:t xml:space="preserve">records Daniel Pittman) before external use.</w:t>
      </w:r>
    </w:p>
    <w:p>
      <w:pPr>
        <w:numPr>
          <w:ilvl w:val="0"/>
          <w:numId w:val="1002"/>
        </w:numPr>
        <w:pStyle w:val="Compact"/>
      </w:pPr>
      <w:r>
        <w:t xml:space="preserve">Capex has two coexisting figures — gross range AU$112–222K (≈$167K midpoint, firm quote pending) vs the confirmed AU$110,046 press-capex line. Accountant to confirm which is canonical.</w:t>
      </w:r>
    </w:p>
    <w:p>
      <w:r>
        <w:br w:type="page"/>
      </w:r>
    </w:p>
    <w:p>
      <w:pPr>
        <w:pStyle w:val="Heading1"/>
      </w:pPr>
      <w:bookmarkStart w:id="25" w:name="master-strategic-alignment-map"/>
      <w:r>
        <w:t xml:space="preserve">00 · Master Strategic Alignment Map</w:t>
      </w:r>
      <w:bookmarkEnd w:id="25"/>
    </w:p>
    <w:p>
      <w:pPr>
        <w:pStyle w:val="Heading1"/>
      </w:pPr>
      <w:bookmarkStart w:id="26" w:name="X77050f3eef6cd97a78f5abb86764c20d9d401a0"/>
      <w:r>
        <w:t xml:space="preserve">Goods on Country — Master Strategic Alignment Map</w:t>
      </w:r>
      <w:bookmarkEnd w:id="26"/>
    </w:p>
    <w:p>
      <w:pPr>
        <w:pStyle w:val="BlockText"/>
      </w:pPr>
      <w:r>
        <w:rPr>
          <w:b/>
        </w:rPr>
        <w:t xml:space="preserve">What this is.</w:t>
      </w:r>
      <w:r>
        <w:t xml:space="preserve"> </w:t>
      </w:r>
      <w:r>
        <w:t xml:space="preserve">One page that holds every QBE element together: the agreed numbers, the strategic spine, the capital ask, and — most importantly — the places where the wiki still disagrees with itself. Nothing in the one-pager, memo, or deck should use a number that is not reconciled here first.</w:t>
      </w:r>
    </w:p>
    <w:p>
      <w:pPr>
        <w:pStyle w:val="BlockText"/>
      </w:pPr>
      <w:r>
        <w:rPr>
          <w:b/>
        </w:rPr>
        <w:t xml:space="preserve">The discipline that makes this credible.</w:t>
      </w:r>
      <w:r>
        <w:t xml:space="preserve"> </w:t>
      </w:r>
      <w:r>
        <w:t xml:space="preserve">Goods’ own canonical numbers sheet exists</w:t>
      </w:r>
      <w:r>
        <w:t xml:space="preserve"> </w:t>
      </w:r>
      <w:r>
        <w:t xml:space="preserve">“</w:t>
      </w:r>
      <w:r>
        <w:t xml:space="preserve">to stop 369+, 496+, 520+, 600+, $405K, $445K, $684K, $732K and $3M from being mixed without definitions.</w:t>
      </w:r>
      <w:r>
        <w:t xml:space="preserve">”</w:t>
      </w:r>
      <w:r>
        <w:t xml:space="preserve"> </w:t>
      </w:r>
      <w:r>
        <w:t xml:space="preserve">This map honours that. Catalytic investors forgive a gap they can see; they kill a venture for a blended number that hides one.</w:t>
      </w:r>
    </w:p>
    <w:p>
      <w:r>
        <w:pict>
          <v:rect style="width:0;height:1.5pt" o:hralign="center" o:hrstd="t" o:hr="t"/>
        </w:pict>
      </w:r>
    </w:p>
    <w:p>
      <w:pPr>
        <w:pStyle w:val="Heading2"/>
      </w:pPr>
      <w:bookmarkStart w:id="27" w:name="X80c889b7535a6c6053338a3ab8675cae7848481"/>
      <w:r>
        <w:t xml:space="preserve">1. The strategic spine (the one-sentence chain)</w:t>
      </w:r>
      <w:bookmarkEnd w:id="27"/>
    </w:p>
    <w:p>
      <w:pPr>
        <w:pStyle w:val="FirstParagraph"/>
      </w:pPr>
      <w:r>
        <w:rPr>
          <w:b/>
        </w:rPr>
        <w:t xml:space="preserve">A good bed can prevent heart disease.</w:t>
      </w:r>
      <w:r>
        <w:t xml:space="preserve"> </w:t>
      </w:r>
      <w:r>
        <w:t xml:space="preserve">In remote Australia the household goods people depend on for health and dignity — beds, washing machines — are often the worst-designed things in the house: hard to freight, impossible to wash, quick to break, and unrecyclable when they fail. Unwashable bedding feeds scabies and skin infections → Strep A → rheumatic fever → rheumatic heart disease. Goods designs essential household goods</w:t>
      </w:r>
      <w:r>
        <w:t xml:space="preserve"> </w:t>
      </w:r>
      <w:r>
        <w:rPr>
          <w:i/>
        </w:rPr>
        <w:t xml:space="preserve">with</w:t>
      </w:r>
      <w:r>
        <w:t xml:space="preserve"> </w:t>
      </w:r>
      <w:r>
        <w:t xml:space="preserve">communities, builds them for actual remote conditions from recycled plastic, tracks every unit, and moves production toward community ownership.</w:t>
      </w:r>
      <w:r>
        <w:t xml:space="preserve"> </w:t>
      </w:r>
      <w:r>
        <w:rPr>
          <w:b/>
        </w:rPr>
        <w:t xml:space="preserve">The endgame is to become unnecessary</w:t>
      </w:r>
      <w:r>
        <w:t xml:space="preserve"> </w:t>
      </w:r>
      <w:r>
        <w:t xml:space="preserve">— local people making, owning, and repairing the goods themselves.</w:t>
      </w:r>
    </w:p>
    <w:p>
      <w:pPr>
        <w:pStyle w:val="BodyText"/>
      </w:pPr>
      <w:r>
        <w:t xml:space="preserve">The three shifts:</w:t>
      </w:r>
      <w:r>
        <w:t xml:space="preserve"> </w:t>
      </w:r>
      <w:r>
        <w:rPr>
          <w:b/>
        </w:rPr>
        <w:t xml:space="preserve">material</w:t>
      </w:r>
      <w:r>
        <w:t xml:space="preserve"> </w:t>
      </w:r>
      <w:r>
        <w:t xml:space="preserve">(durable, washable, repairable goods replace failing ones),</w:t>
      </w:r>
      <w:r>
        <w:t xml:space="preserve"> </w:t>
      </w:r>
      <w:r>
        <w:rPr>
          <w:b/>
        </w:rPr>
        <w:t xml:space="preserve">economic</w:t>
      </w:r>
      <w:r>
        <w:t xml:space="preserve"> </w:t>
      </w:r>
      <w:r>
        <w:t xml:space="preserve">(more value stays local),</w:t>
      </w:r>
      <w:r>
        <w:t xml:space="preserve"> </w:t>
      </w:r>
      <w:r>
        <w:rPr>
          <w:b/>
        </w:rPr>
        <w:t xml:space="preserve">story</w:t>
      </w:r>
      <w:r>
        <w:t xml:space="preserve"> </w:t>
      </w:r>
      <w:r>
        <w:t xml:space="preserve">(communities control how their experience is recorded). [Source: theory-of-change.md, enterprise/01–02]</w:t>
      </w:r>
    </w:p>
    <w:p>
      <w:r>
        <w:pict>
          <v:rect style="width:0;height:1.5pt" o:hralign="center" o:hrstd="t" o:hr="t"/>
        </w:pict>
      </w:r>
    </w:p>
    <w:p>
      <w:pPr>
        <w:pStyle w:val="Heading2"/>
      </w:pPr>
      <w:bookmarkStart w:id="28" w:name="Xd5889ba74939ff5f8b9f7dab5a125bab399d315"/>
      <w:r>
        <w:t xml:space="preserve">2. Canonical numbers — use these, retire the rest</w:t>
      </w:r>
      <w:bookmarkEnd w:id="28"/>
    </w:p>
    <w:p>
      <w:pPr>
        <w:pStyle w:val="Heading3"/>
      </w:pPr>
      <w:bookmarkStart w:id="29" w:name="X3064e7560795e251ca8ff8f86864bccb55a0ff2"/>
      <w:r>
        <w:t xml:space="preserve">Proof of delivery [VERIFIED — asset register, 29 May 2026]</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Figure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Note</w:t>
            </w:r>
          </w:p>
        </w:tc>
      </w:tr>
      <w:tr>
        <w:tc>
          <w:p>
            <w:pPr>
              <w:pStyle w:val="Compact"/>
              <w:jc w:val="left"/>
            </w:pPr>
            <w:r>
              <w:t xml:space="preserve">Beds deployed (tracked)</w:t>
            </w:r>
          </w:p>
        </w:tc>
        <w:tc>
          <w:p>
            <w:pPr>
              <w:pStyle w:val="Compact"/>
              <w:jc w:val="left"/>
            </w:pPr>
            <w:r>
              <w:rPr>
                <w:b/>
              </w:rPr>
              <w:t xml:space="preserve">496</w:t>
            </w:r>
          </w:p>
        </w:tc>
        <w:tc>
          <w:p>
            <w:pPr>
              <w:pStyle w:val="Compact"/>
              <w:jc w:val="left"/>
            </w:pPr>
            <w:r>
              <w:t xml:space="preserve">133 Stretch + 363 Basket (legacy, discontinued/open-sourced)</w:t>
            </w:r>
          </w:p>
        </w:tc>
      </w:tr>
      <w:tr>
        <w:tc>
          <w:p>
            <w:pPr>
              <w:pStyle w:val="Compact"/>
              <w:jc w:val="left"/>
            </w:pPr>
            <w:r>
              <w:t xml:space="preserve">Communities</w:t>
            </w:r>
          </w:p>
        </w:tc>
        <w:tc>
          <w:p>
            <w:pPr>
              <w:pStyle w:val="Compact"/>
              <w:jc w:val="left"/>
            </w:pPr>
            <w:r>
              <w:rPr>
                <w:b/>
              </w:rPr>
              <w:t xml:space="preserve">9</w:t>
            </w:r>
          </w:p>
        </w:tc>
        <w:tc>
          <w:p>
            <w:pPr>
              <w:pStyle w:val="Compact"/>
              <w:jc w:val="left"/>
            </w:pPr>
            <w:r>
              <w:t xml:space="preserve">served communities (reviewer-approved public figure); supersedes</w:t>
            </w:r>
            <w:r>
              <w:t xml:space="preserve"> </w:t>
            </w:r>
            <w:r>
              <w:t xml:space="preserve">“</w:t>
            </w:r>
            <w:r>
              <w:t xml:space="preserve">10 represented in records</w:t>
            </w:r>
            <w:r>
              <w:t xml:space="preserve">”</w:t>
            </w:r>
            <w:r>
              <w:t xml:space="preserve"> </w:t>
            </w:r>
            <w:r>
              <w:t xml:space="preserve">and the stale</w:t>
            </w:r>
            <w:r>
              <w:t xml:space="preserve"> </w:t>
            </w:r>
            <w:r>
              <w:t xml:space="preserve">“</w:t>
            </w:r>
            <w:r>
              <w:t xml:space="preserve">8</w:t>
            </w:r>
            <w:r>
              <w:t xml:space="preserve">”</w:t>
            </w:r>
          </w:p>
        </w:tc>
      </w:tr>
      <w:tr>
        <w:tc>
          <w:p>
            <w:pPr>
              <w:pStyle w:val="Compact"/>
              <w:jc w:val="left"/>
            </w:pPr>
            <w:r>
              <w:t xml:space="preserve">HDPE diverted (Stretch only)</w:t>
            </w:r>
          </w:p>
        </w:tc>
        <w:tc>
          <w:p>
            <w:pPr>
              <w:pStyle w:val="Compact"/>
              <w:jc w:val="left"/>
            </w:pPr>
            <w:r>
              <w:rPr>
                <w:b/>
              </w:rPr>
              <w:t xml:space="preserve">2,660 kg</w:t>
            </w:r>
          </w:p>
        </w:tc>
        <w:tc>
          <w:p>
            <w:pPr>
              <w:pStyle w:val="Compact"/>
              <w:jc w:val="left"/>
            </w:pPr>
            <w:r>
              <w:t xml:space="preserve">133 Stretch × 20 kg.</w:t>
            </w:r>
            <w:r>
              <w:t xml:space="preserve"> </w:t>
            </w:r>
            <w:r>
              <w:rPr>
                <w:b/>
              </w:rPr>
              <w:t xml:space="preserve">Retire 9,920 kg / 9,225 kg</w:t>
            </w:r>
            <w:r>
              <w:t xml:space="preserve"> </w:t>
            </w:r>
            <w:r>
              <w:t xml:space="preserve">(3.7× overclaim)</w:t>
            </w:r>
          </w:p>
        </w:tc>
      </w:tr>
      <w:tr>
        <w:tc>
          <w:p>
            <w:pPr>
              <w:pStyle w:val="Compact"/>
              <w:jc w:val="left"/>
            </w:pPr>
            <w:r>
              <w:t xml:space="preserve">Plastic diverted per bed</w:t>
            </w:r>
          </w:p>
        </w:tc>
        <w:tc>
          <w:p>
            <w:pPr>
              <w:pStyle w:val="Compact"/>
              <w:jc w:val="left"/>
            </w:pPr>
            <w:r>
              <w:rPr>
                <w:b/>
              </w:rPr>
              <w:t xml:space="preserve">20 kg</w:t>
            </w:r>
          </w:p>
        </w:tc>
        <w:tc>
          <w:p>
            <w:pPr>
              <w:pStyle w:val="Compact"/>
              <w:jc w:val="left"/>
            </w:pPr>
            <w:r>
              <w:t xml:space="preserve">canonical, from products.ts</w:t>
            </w:r>
          </w:p>
        </w:tc>
      </w:tr>
    </w:tbl>
    <w:p>
      <w:pPr>
        <w:pStyle w:val="BlockText"/>
      </w:pPr>
      <w:r>
        <w:t xml:space="preserve">The 496 is</w:t>
      </w:r>
      <w:r>
        <w:t xml:space="preserve"> </w:t>
      </w:r>
      <w:r>
        <w:rPr>
          <w:i/>
        </w:rPr>
        <w:t xml:space="preserve">beds tracked in the asset register</w:t>
      </w:r>
      <w:r>
        <w:t xml:space="preserve">, not</w:t>
      </w:r>
      <w:r>
        <w:t xml:space="preserve"> </w:t>
      </w:r>
      <w:r>
        <w:t xml:space="preserve">“</w:t>
      </w:r>
      <w:r>
        <w:t xml:space="preserve">shipped</w:t>
      </w:r>
      <w:r>
        <w:t xml:space="preserve">”</w:t>
      </w:r>
      <w:r>
        <w:t xml:space="preserve"> </w:t>
      </w:r>
      <w:r>
        <w:t xml:space="preserve">or</w:t>
      </w:r>
      <w:r>
        <w:t xml:space="preserve"> </w:t>
      </w:r>
      <w:r>
        <w:t xml:space="preserve">“</w:t>
      </w:r>
      <w:r>
        <w:t xml:space="preserve">sold</w:t>
      </w:r>
      <w:r>
        <w:t xml:space="preserve">”</w:t>
      </w:r>
      <w:r>
        <w:t xml:space="preserve">. Keep that wording. Do not say</w:t>
      </w:r>
      <w:r>
        <w:t xml:space="preserve"> </w:t>
      </w:r>
      <w:r>
        <w:t xml:space="preserve">“</w:t>
      </w:r>
      <w:r>
        <w:t xml:space="preserve">600+ shipped</w:t>
      </w:r>
      <w:r>
        <w:t xml:space="preserve">”</w:t>
      </w:r>
      <w:r>
        <w:t xml:space="preserve"> </w:t>
      </w:r>
      <w:r>
        <w:t xml:space="preserve">(overstates) or</w:t>
      </w:r>
      <w:r>
        <w:t xml:space="preserve"> </w:t>
      </w:r>
      <w:r>
        <w:t xml:space="preserve">“</w:t>
      </w:r>
      <w:r>
        <w:t xml:space="preserve">369 delivered</w:t>
      </w:r>
      <w:r>
        <w:t xml:space="preserve">”</w:t>
      </w:r>
      <w:r>
        <w:t xml:space="preserve"> </w:t>
      </w:r>
      <w:r>
        <w:t xml:space="preserve">(stale).</w:t>
      </w:r>
    </w:p>
    <w:p>
      <w:pPr>
        <w:pStyle w:val="Heading3"/>
      </w:pPr>
      <w:bookmarkStart w:id="30" w:name="Xe967a5c1ba8b18cadf1d8e0fff75b62856a2337"/>
      <w:r>
        <w:t xml:space="preserve">Product — Stretch Bed [VERIFIED — v2/src/lib/data/products.ts, single source of truth]</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Status</w:t>
            </w:r>
          </w:p>
        </w:tc>
        <w:tc>
          <w:p>
            <w:pPr>
              <w:pStyle w:val="Compact"/>
              <w:jc w:val="left"/>
            </w:pPr>
            <w:r>
              <w:t xml:space="preserve">For sale (the only product for direct sale)</w:t>
            </w:r>
          </w:p>
        </w:tc>
      </w:tr>
      <w:tr>
        <w:tc>
          <w:p>
            <w:pPr>
              <w:pStyle w:val="Compact"/>
              <w:jc w:val="left"/>
            </w:pPr>
            <w:r>
              <w:t xml:space="preserve">Materials</w:t>
            </w:r>
          </w:p>
        </w:tc>
        <w:tc>
          <w:p>
            <w:pPr>
              <w:pStyle w:val="Compact"/>
              <w:jc w:val="left"/>
            </w:pPr>
            <w:r>
              <w:t xml:space="preserve">Recycled HDPE plastic X-trestle legs · 2× galvanised steel poles (26.9mm OD × 2.6mm wall) · heavy-duty Australian canvas</w:t>
            </w:r>
          </w:p>
        </w:tc>
      </w:tr>
      <w:tr>
        <w:tc>
          <w:p>
            <w:pPr>
              <w:pStyle w:val="Compact"/>
              <w:jc w:val="left"/>
            </w:pPr>
            <w:r>
              <w:t xml:space="preserve">Mechanism</w:t>
            </w:r>
          </w:p>
        </w:tc>
        <w:tc>
          <w:p>
            <w:pPr>
              <w:pStyle w:val="Compact"/>
              <w:jc w:val="left"/>
            </w:pPr>
            <w:r>
              <w:rPr>
                <w:b/>
              </w:rPr>
              <w:t xml:space="preserve">X-trestle tension design</w:t>
            </w:r>
            <w:r>
              <w:t xml:space="preserve"> </w:t>
            </w:r>
            <w:r>
              <w:t xml:space="preserve">— poles thread through the canvas sleeves</w:t>
            </w:r>
            <w:r>
              <w:t xml:space="preserve"> </w:t>
            </w:r>
            <w:r>
              <w:rPr>
                <w:i/>
              </w:rPr>
              <w:t xml:space="preserve">and</w:t>
            </w:r>
            <w:r>
              <w:t xml:space="preserve"> </w:t>
            </w:r>
            <w:r>
              <w:t xml:space="preserve">the top holes of the two crossed-plank HDPE X-legs; tensioning pulls poles deep into the legs;</w:t>
            </w:r>
            <w:r>
              <w:t xml:space="preserve"> </w:t>
            </w:r>
            <w:r>
              <w:rPr>
                <w:b/>
              </w:rPr>
              <w:t xml:space="preserve">the canvas is structural and braces the frame.</w:t>
            </w:r>
            <w:r>
              <w:t xml:space="preserve"> </w:t>
            </w:r>
            <w:r>
              <w:t xml:space="preserve">NOT clip-on/slot-on legs.</w:t>
            </w:r>
          </w:p>
        </w:tc>
      </w:tr>
      <w:tr>
        <w:tc>
          <w:p>
            <w:pPr>
              <w:pStyle w:val="Compact"/>
              <w:jc w:val="left"/>
            </w:pPr>
            <w:r>
              <w:t xml:space="preserve">Weight</w:t>
            </w:r>
          </w:p>
        </w:tc>
        <w:tc>
          <w:p>
            <w:pPr>
              <w:pStyle w:val="Compact"/>
              <w:jc w:val="left"/>
            </w:pPr>
            <w:r>
              <w:t xml:space="preserve">26 kg</w:t>
            </w:r>
          </w:p>
        </w:tc>
      </w:tr>
      <w:tr>
        <w:tc>
          <w:p>
            <w:pPr>
              <w:pStyle w:val="Compact"/>
              <w:jc w:val="left"/>
            </w:pPr>
            <w:r>
              <w:t xml:space="preserve">Capacity</w:t>
            </w:r>
          </w:p>
        </w:tc>
        <w:tc>
          <w:p>
            <w:pPr>
              <w:pStyle w:val="Compact"/>
              <w:jc w:val="left"/>
            </w:pPr>
            <w:r>
              <w:t xml:space="preserve">200 kg</w:t>
            </w:r>
          </w:p>
        </w:tc>
      </w:tr>
      <w:tr>
        <w:tc>
          <w:p>
            <w:pPr>
              <w:pStyle w:val="Compact"/>
              <w:jc w:val="left"/>
            </w:pPr>
            <w:r>
              <w:t xml:space="preserve">Dimensions</w:t>
            </w:r>
          </w:p>
        </w:tc>
        <w:tc>
          <w:p>
            <w:pPr>
              <w:pStyle w:val="Compact"/>
              <w:jc w:val="left"/>
            </w:pPr>
            <w:r>
              <w:t xml:space="preserve">188 × 92 × 25 cm</w:t>
            </w:r>
          </w:p>
        </w:tc>
      </w:tr>
      <w:tr>
        <w:tc>
          <w:p>
            <w:pPr>
              <w:pStyle w:val="Compact"/>
              <w:jc w:val="left"/>
            </w:pPr>
            <w:r>
              <w:t xml:space="preserve">Assembly</w:t>
            </w:r>
          </w:p>
        </w:tc>
        <w:tc>
          <w:p>
            <w:pPr>
              <w:pStyle w:val="Compact"/>
              <w:jc w:val="left"/>
            </w:pPr>
            <w:r>
              <w:t xml:space="preserve">~5 minutes, no tools</w:t>
            </w:r>
          </w:p>
        </w:tc>
      </w:tr>
      <w:tr>
        <w:tc>
          <w:p>
            <w:pPr>
              <w:pStyle w:val="Compact"/>
              <w:jc w:val="left"/>
            </w:pPr>
            <w:r>
              <w:t xml:space="preserve">Lifespan / warranty</w:t>
            </w:r>
          </w:p>
        </w:tc>
        <w:tc>
          <w:p>
            <w:pPr>
              <w:pStyle w:val="Compact"/>
              <w:jc w:val="left"/>
            </w:pPr>
            <w:r>
              <w:t xml:space="preserve">10+ year design lifespan, 5-year warranty</w:t>
            </w:r>
          </w:p>
        </w:tc>
      </w:tr>
      <w:tr>
        <w:tc>
          <w:p>
            <w:pPr>
              <w:pStyle w:val="Compact"/>
              <w:jc w:val="left"/>
            </w:pPr>
            <w:r>
              <w:t xml:space="preserve">Shop price</w:t>
            </w:r>
          </w:p>
        </w:tc>
        <w:tc>
          <w:p>
            <w:pPr>
              <w:pStyle w:val="Compact"/>
              <w:jc w:val="left"/>
            </w:pPr>
            <w:r>
              <w:t xml:space="preserve">AU$750</w:t>
            </w:r>
          </w:p>
        </w:tc>
      </w:tr>
    </w:tbl>
    <w:p>
      <w:pPr>
        <w:pStyle w:val="Heading3"/>
      </w:pPr>
      <w:bookmarkStart w:id="31" w:name="unit-economics-mixed-labelled-per-line"/>
      <w:r>
        <w:t xml:space="preserve">Unit economics [mixed — labelled per line]</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Figure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Label</w:t>
            </w:r>
          </w:p>
        </w:tc>
      </w:tr>
      <w:tr>
        <w:tc>
          <w:p>
            <w:pPr>
              <w:pStyle w:val="Compact"/>
              <w:jc w:val="left"/>
            </w:pPr>
            <w:r>
              <w:t xml:space="preserve">Sale price</w:t>
            </w:r>
          </w:p>
        </w:tc>
        <w:tc>
          <w:p>
            <w:pPr>
              <w:pStyle w:val="Compact"/>
              <w:jc w:val="left"/>
            </w:pPr>
            <w:r>
              <w:t xml:space="preserve">AU$750</w:t>
            </w:r>
          </w:p>
        </w:tc>
        <w:tc>
          <w:p>
            <w:pPr>
              <w:pStyle w:val="Compact"/>
              <w:jc w:val="left"/>
            </w:pPr>
            <w:r>
              <w:t xml:space="preserve">[VERIFIED]</w:t>
            </w:r>
          </w:p>
        </w:tc>
      </w:tr>
      <w:tr>
        <w:tc>
          <w:p>
            <w:pPr>
              <w:pStyle w:val="Compact"/>
              <w:jc w:val="left"/>
            </w:pPr>
            <w:r>
              <w:t xml:space="preserve">Bill of materials, today</w:t>
            </w:r>
          </w:p>
        </w:tc>
        <w:tc>
          <w:p>
            <w:pPr>
              <w:pStyle w:val="Compact"/>
              <w:jc w:val="left"/>
            </w:pPr>
            <w:r>
              <w:t xml:space="preserve">AU$469.79</w:t>
            </w:r>
          </w:p>
        </w:tc>
        <w:tc>
          <w:p>
            <w:pPr>
              <w:pStyle w:val="Compact"/>
              <w:jc w:val="left"/>
            </w:pPr>
            <w:r>
              <w:t xml:space="preserve">[WORKPAPER]</w:t>
            </w:r>
          </w:p>
        </w:tc>
      </w:tr>
      <w:tr>
        <w:tc>
          <w:p>
            <w:pPr>
              <w:pStyle w:val="Compact"/>
              <w:jc w:val="left"/>
            </w:pPr>
            <w:r>
              <w:t xml:space="preserve">Marginal cost, today</w:t>
            </w:r>
          </w:p>
        </w:tc>
        <w:tc>
          <w:p>
            <w:pPr>
              <w:pStyle w:val="Compact"/>
              <w:jc w:val="left"/>
            </w:pPr>
            <w:r>
              <w:t xml:space="preserve">AU$684.79</w:t>
            </w:r>
          </w:p>
        </w:tc>
        <w:tc>
          <w:p>
            <w:pPr>
              <w:pStyle w:val="Compact"/>
              <w:jc w:val="left"/>
            </w:pPr>
            <w:r>
              <w:t xml:space="preserve">[WORKPAPER]</w:t>
            </w:r>
          </w:p>
        </w:tc>
      </w:tr>
      <w:tr>
        <w:tc>
          <w:p>
            <w:pPr>
              <w:pStyle w:val="Compact"/>
              <w:jc w:val="left"/>
            </w:pPr>
            <w:r>
              <w:t xml:space="preserve">Fixed cost block</w:t>
            </w:r>
          </w:p>
        </w:tc>
        <w:tc>
          <w:p>
            <w:pPr>
              <w:pStyle w:val="Compact"/>
              <w:jc w:val="left"/>
            </w:pPr>
            <w:r>
              <w:t xml:space="preserve">~AU$109,500/yr</w:t>
            </w:r>
          </w:p>
        </w:tc>
        <w:tc>
          <w:p>
            <w:pPr>
              <w:pStyle w:val="Compact"/>
              <w:jc w:val="left"/>
            </w:pPr>
            <w:r>
              <w:t xml:space="preserve">[MODELLED]</w:t>
            </w:r>
          </w:p>
        </w:tc>
      </w:tr>
      <w:tr>
        <w:tc>
          <w:p>
            <w:pPr>
              <w:pStyle w:val="Compact"/>
              <w:jc w:val="left"/>
            </w:pPr>
            <w:r>
              <w:t xml:space="preserve">Breakeven, today’s cost</w:t>
            </w:r>
          </w:p>
        </w:tc>
        <w:tc>
          <w:p>
            <w:pPr>
              <w:pStyle w:val="Compact"/>
              <w:jc w:val="left"/>
            </w:pPr>
            <w:r>
              <w:t xml:space="preserve">~1,679 Stretch beds/yr</w:t>
            </w:r>
          </w:p>
        </w:tc>
        <w:tc>
          <w:p>
            <w:pPr>
              <w:pStyle w:val="Compact"/>
              <w:jc w:val="left"/>
            </w:pPr>
            <w:r>
              <w:t xml:space="preserve">[MODELLED] — out of reach (deploying ~130/yr now)</w:t>
            </w:r>
          </w:p>
        </w:tc>
      </w:tr>
      <w:tr>
        <w:tc>
          <w:p>
            <w:pPr>
              <w:pStyle w:val="Compact"/>
              <w:jc w:val="left"/>
            </w:pPr>
            <w:r>
              <w:t xml:space="preserve">In-source target cost (factory)</w:t>
            </w:r>
          </w:p>
        </w:tc>
        <w:tc>
          <w:p>
            <w:pPr>
              <w:pStyle w:val="Compact"/>
              <w:jc w:val="left"/>
            </w:pPr>
            <w:r>
              <w:t xml:space="preserve">AU$425.74</w:t>
            </w:r>
          </w:p>
        </w:tc>
        <w:tc>
          <w:p>
            <w:pPr>
              <w:pStyle w:val="Compact"/>
              <w:jc w:val="left"/>
            </w:pPr>
            <w:r>
              <w:t xml:space="preserve">[MODELLED] —</w:t>
            </w:r>
            <w:r>
              <w:t xml:space="preserve"> </w:t>
            </w:r>
            <w:r>
              <w:rPr>
                <w:b/>
              </w:rPr>
              <w:t xml:space="preserve">0 beds assembled in-house yet</w:t>
            </w:r>
          </w:p>
        </w:tc>
      </w:tr>
      <w:tr>
        <w:tc>
          <w:p>
            <w:pPr>
              <w:pStyle w:val="Compact"/>
              <w:jc w:val="left"/>
            </w:pPr>
            <w:r>
              <w:t xml:space="preserve">In-source target cost (community)</w:t>
            </w:r>
          </w:p>
        </w:tc>
        <w:tc>
          <w:p>
            <w:pPr>
              <w:pStyle w:val="Compact"/>
              <w:jc w:val="left"/>
            </w:pPr>
            <w:r>
              <w:t xml:space="preserve">AU$270.74</w:t>
            </w:r>
          </w:p>
        </w:tc>
        <w:tc>
          <w:p>
            <w:pPr>
              <w:pStyle w:val="Compact"/>
              <w:jc w:val="left"/>
            </w:pPr>
            <w:r>
              <w:t xml:space="preserve">[MODELLED]</w:t>
            </w:r>
          </w:p>
        </w:tc>
      </w:tr>
      <w:tr>
        <w:tc>
          <w:p>
            <w:pPr>
              <w:pStyle w:val="Compact"/>
              <w:jc w:val="left"/>
            </w:pPr>
            <w:r>
              <w:t xml:space="preserve">Breakeven after cost-down</w:t>
            </w:r>
          </w:p>
        </w:tc>
        <w:tc>
          <w:p>
            <w:pPr>
              <w:pStyle w:val="Compact"/>
              <w:jc w:val="left"/>
            </w:pPr>
            <w:r>
              <w:t xml:space="preserve">333–338 beds/yr</w:t>
            </w:r>
          </w:p>
        </w:tc>
        <w:tc>
          <w:p>
            <w:pPr>
              <w:pStyle w:val="Compact"/>
              <w:jc w:val="left"/>
            </w:pPr>
            <w:r>
              <w:t xml:space="preserve">[MODELLED]</w:t>
            </w:r>
          </w:p>
        </w:tc>
      </w:tr>
      <w:tr>
        <w:tc>
          <w:p>
            <w:pPr>
              <w:pStyle w:val="Compact"/>
              <w:jc w:val="left"/>
            </w:pPr>
            <w:r>
              <w:t xml:space="preserve">Key input proof</w:t>
            </w:r>
          </w:p>
        </w:tc>
        <w:tc>
          <w:p>
            <w:pPr>
              <w:pStyle w:val="Compact"/>
              <w:jc w:val="left"/>
            </w:pPr>
            <w:r>
              <w:t xml:space="preserve">8.6×</w:t>
            </w:r>
            <w:r>
              <w:t xml:space="preserve"> </w:t>
            </w:r>
            <w:r>
              <w:t xml:space="preserve">“</w:t>
            </w:r>
            <w:r>
              <w:t xml:space="preserve">idiot index</w:t>
            </w:r>
            <w:r>
              <w:t xml:space="preserve">”</w:t>
            </w:r>
            <w:r>
              <w:t xml:space="preserve"> </w:t>
            </w:r>
            <w:r>
              <w:t xml:space="preserve">markup on Defy HDPE legs</w:t>
            </w:r>
          </w:p>
        </w:tc>
        <w:tc>
          <w:p>
            <w:pPr>
              <w:pStyle w:val="Compact"/>
              <w:jc w:val="left"/>
            </w:pPr>
            <w:r>
              <w:t xml:space="preserve">[VERIFIED]</w:t>
            </w:r>
          </w:p>
        </w:tc>
      </w:tr>
    </w:tbl>
    <w:p>
      <w:pPr>
        <w:pStyle w:val="Heading3"/>
      </w:pPr>
      <w:bookmarkStart w:id="32" w:name="Xe91bbff7f8fb01a35d321eebe3f242663e7e739"/>
      <w:r>
        <w:t xml:space="preserve">Money in [WORKPAPER — Xero mirror, 29 May 2026, unaudited — never call this</w:t>
      </w:r>
      <w:r>
        <w:t xml:space="preserve"> </w:t>
      </w:r>
      <w:r>
        <w:t xml:space="preserve">“</w:t>
      </w:r>
      <w:r>
        <w:t xml:space="preserve">audited Goods revenue</w:t>
      </w:r>
      <w:r>
        <w:t xml:space="preserve">”</w:t>
      </w:r>
      <w:r>
        <w:t xml:space="preserve">]</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Figure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Note</w:t>
            </w:r>
          </w:p>
        </w:tc>
      </w:tr>
      <w:tr>
        <w:tc>
          <w:p>
            <w:pPr>
              <w:pStyle w:val="Compact"/>
              <w:jc w:val="left"/>
            </w:pPr>
            <w:r>
              <w:t xml:space="preserve">Received</w:t>
            </w:r>
          </w:p>
        </w:tc>
        <w:tc>
          <w:p>
            <w:pPr>
              <w:pStyle w:val="Compact"/>
              <w:jc w:val="left"/>
            </w:pPr>
            <w:r>
              <w:rPr>
                <w:b/>
              </w:rPr>
              <w:t xml:space="preserve">AU$649,710.79</w:t>
            </w:r>
          </w:p>
        </w:tc>
        <w:tc>
          <w:p>
            <w:pPr>
              <w:pStyle w:val="Compact"/>
              <w:jc w:val="left"/>
            </w:pPr>
            <w:r>
              <w:t xml:space="preserve">across funders</w:t>
            </w:r>
          </w:p>
        </w:tc>
      </w:tr>
      <w:tr>
        <w:tc>
          <w:p>
            <w:pPr>
              <w:pStyle w:val="Compact"/>
              <w:jc w:val="left"/>
            </w:pPr>
            <w:r>
              <w:t xml:space="preserve">Billed</w:t>
            </w:r>
          </w:p>
        </w:tc>
        <w:tc>
          <w:p>
            <w:pPr>
              <w:pStyle w:val="Compact"/>
              <w:jc w:val="left"/>
            </w:pPr>
            <w:r>
              <w:t xml:space="preserve">AU$732,210.79</w:t>
            </w:r>
          </w:p>
        </w:tc>
        <w:tc>
          <w:p>
            <w:pPr>
              <w:pStyle w:val="Compact"/>
              <w:jc w:val="left"/>
            </w:pPr>
            <w:r>
              <w:t xml:space="preserve">incl. AU$82,500 in-flight (Rotary)</w:t>
            </w:r>
          </w:p>
        </w:tc>
      </w:tr>
      <w:tr>
        <w:tc>
          <w:p>
            <w:pPr>
              <w:pStyle w:val="Compact"/>
              <w:jc w:val="left"/>
            </w:pPr>
            <w:r>
              <w:t xml:space="preserve">Collection rate</w:t>
            </w:r>
          </w:p>
        </w:tc>
        <w:tc>
          <w:p>
            <w:pPr>
              <w:pStyle w:val="Compact"/>
              <w:jc w:val="left"/>
            </w:pPr>
            <w:r>
              <w:t xml:space="preserve">88.8%</w:t>
            </w:r>
          </w:p>
        </w:tc>
        <w:tc>
          <w:p/>
        </w:tc>
      </w:tr>
      <w:tr>
        <w:tc>
          <w:p>
            <w:pPr>
              <w:pStyle w:val="Compact"/>
              <w:jc w:val="left"/>
            </w:pPr>
            <w:r>
              <w:t xml:space="preserve">Commercial revenue (shop)</w:t>
            </w:r>
          </w:p>
        </w:tc>
        <w:tc>
          <w:p>
            <w:pPr>
              <w:pStyle w:val="Compact"/>
              <w:jc w:val="left"/>
            </w:pPr>
            <w:r>
              <w:rPr>
                <w:b/>
              </w:rPr>
              <w:t xml:space="preserve">AU$90</w:t>
            </w:r>
          </w:p>
        </w:tc>
        <w:tc>
          <w:p>
            <w:pPr>
              <w:pStyle w:val="Compact"/>
              <w:jc w:val="left"/>
            </w:pPr>
            <w:r>
              <w:t xml:space="preserve">3 orders — proof of pipe, not of market</w:t>
            </w:r>
          </w:p>
        </w:tc>
      </w:tr>
      <w:tr>
        <w:tc>
          <w:p>
            <w:pPr>
              <w:pStyle w:val="Compact"/>
              <w:jc w:val="left"/>
            </w:pPr>
            <w:r>
              <w:t xml:space="preserve">Grant-funded share</w:t>
            </w:r>
          </w:p>
        </w:tc>
        <w:tc>
          <w:p>
            <w:pPr>
              <w:pStyle w:val="Compact"/>
              <w:jc w:val="left"/>
            </w:pPr>
            <w:r>
              <w:rPr>
                <w:b/>
              </w:rPr>
              <w:t xml:space="preserve">~89% by design</w:t>
            </w:r>
          </w:p>
        </w:tc>
        <w:tc>
          <w:p>
            <w:pPr>
              <w:pStyle w:val="Compact"/>
              <w:jc w:val="left"/>
            </w:pPr>
            <w:r>
              <w:t xml:space="preserve">this is a de-risking round, not a growth round</w:t>
            </w:r>
          </w:p>
        </w:tc>
      </w:tr>
      <w:tr>
        <w:tc>
          <w:p>
            <w:pPr>
              <w:pStyle w:val="Compact"/>
              <w:jc w:val="left"/>
            </w:pPr>
            <w:r>
              <w:t xml:space="preserve">Anchor funders [VERIFIED]</w:t>
            </w:r>
          </w:p>
        </w:tc>
        <w:tc>
          <w:p>
            <w:pPr>
              <w:pStyle w:val="Compact"/>
              <w:jc w:val="left"/>
            </w:pPr>
            <w:r>
              <w:t xml:space="preserve">Snow Foundation AU$402,930 · Centrecorp AU$123,332 paid · VFFF AU$50K · QIC AU$12K</w:t>
            </w:r>
          </w:p>
        </w:tc>
        <w:tc>
          <w:p/>
        </w:tc>
      </w:tr>
    </w:tbl>
    <w:p>
      <w:pPr>
        <w:pStyle w:val="Heading3"/>
      </w:pPr>
      <w:bookmarkStart w:id="33" w:name="X7f44e78c5d326826d26ae17fc42c9b89a762243"/>
      <w:r>
        <w:t xml:space="preserve">Funding received to date — the reconciled trail [~AU$405,685]</w:t>
      </w:r>
      <w:bookmarkEnd w:id="33"/>
    </w:p>
    <w:p>
      <w:pPr>
        <w:pStyle w:val="FirstParagraph"/>
      </w:pPr>
      <w:r>
        <w:t xml:space="preserve">Snow Foundation $193,785 (2023–25) · TFN $130,000 (Dec 2025) · FRRR+VFFF Backing the Future</w:t>
      </w:r>
      <w:r>
        <w:t xml:space="preserve"> </w:t>
      </w:r>
      <w:r>
        <w:rPr>
          <w:b/>
        </w:rPr>
        <w:t xml:space="preserve">$50,000 (one joint grant, not two)</w:t>
      </w:r>
      <w:r>
        <w:t xml:space="preserve"> </w:t>
      </w:r>
      <w:r>
        <w:t xml:space="preserve">· AMP SPARK $21,900 (Jun 2024) · QBE Foundation Stage 1 $10,000 (Mar 2026).</w:t>
      </w:r>
      <w:r>
        <w:t xml:space="preserve"> </w:t>
      </w:r>
      <w:r>
        <w:rPr>
          <w:b/>
        </w:rPr>
        <w:t xml:space="preserve">Exclusions:</w:t>
      </w:r>
      <w:r>
        <w:t xml:space="preserve"> </w:t>
      </w:r>
      <w:r>
        <w:t xml:space="preserve">Dusseldorp $15K is NOT Goods (belongs to Mounty Backyard/Contained/JusticeHub).</w:t>
      </w:r>
      <w:r>
        <w:t xml:space="preserve"> </w:t>
      </w:r>
      <w:r>
        <w:rPr>
          <w:b/>
        </w:rPr>
        <w:t xml:space="preserve">Retire externally:</w:t>
      </w:r>
      <w:r>
        <w:t xml:space="preserve"> </w:t>
      </w:r>
      <w:r>
        <w:t xml:space="preserve">“</w:t>
      </w:r>
      <w:r>
        <w:t xml:space="preserve">$445K</w:t>
      </w:r>
      <w:r>
        <w:t xml:space="preserve">”</w:t>
      </w:r>
      <w:r>
        <w:t xml:space="preserve">,</w:t>
      </w:r>
      <w:r>
        <w:t xml:space="preserve"> </w:t>
      </w:r>
      <w:r>
        <w:t xml:space="preserve">“</w:t>
      </w:r>
      <w:r>
        <w:t xml:space="preserve">$778,162</w:t>
      </w:r>
      <w:r>
        <w:t xml:space="preserve">”</w:t>
      </w:r>
      <w:r>
        <w:t xml:space="preserve">,</w:t>
      </w:r>
      <w:r>
        <w:t xml:space="preserve"> </w:t>
      </w:r>
      <w:r>
        <w:t xml:space="preserve">“</w:t>
      </w:r>
      <w:r>
        <w:t xml:space="preserve">$537,595</w:t>
      </w:r>
      <w:r>
        <w:t xml:space="preserve">”</w:t>
      </w:r>
      <w:r>
        <w:t xml:space="preserve"> </w:t>
      </w:r>
      <w:r>
        <w:t xml:space="preserve">— all superseded/do-not-use funder figures.</w:t>
      </w:r>
    </w:p>
    <w:p>
      <w:pPr>
        <w:pStyle w:val="BlockText"/>
      </w:pPr>
      <w:r>
        <w:t xml:space="preserve">Note the two coexisting frames: the</w:t>
      </w:r>
      <w:r>
        <w:t xml:space="preserve"> </w:t>
      </w:r>
      <w:r>
        <w:rPr>
          <w:b/>
        </w:rPr>
        <w:t xml:space="preserve">Xero workpaper</w:t>
      </w:r>
      <w:r>
        <w:t xml:space="preserve"> </w:t>
      </w:r>
      <w:r>
        <w:t xml:space="preserve">($649,710.79 received) is the live billing view; the</w:t>
      </w:r>
      <w:r>
        <w:t xml:space="preserve"> </w:t>
      </w:r>
      <w:r>
        <w:rPr>
          <w:b/>
        </w:rPr>
        <w:t xml:space="preserve">reconciled funder trail</w:t>
      </w:r>
      <w:r>
        <w:t xml:space="preserve"> </w:t>
      </w:r>
      <w:r>
        <w:t xml:space="preserve">($405,685) is the grants-received view. They measure different things. The standing P0 is to produce</w:t>
      </w:r>
      <w:r>
        <w:t xml:space="preserve"> </w:t>
      </w:r>
      <w:r>
        <w:rPr>
          <w:b/>
        </w:rPr>
        <w:t xml:space="preserve">one accountant-reviewed, Goods-only revenue figure</w:t>
      </w:r>
      <w:r>
        <w:t xml:space="preserve"> </w:t>
      </w:r>
      <w:r>
        <w:t xml:space="preserve">— it does not exist yet.</w:t>
      </w:r>
    </w:p>
    <w:p>
      <w:pPr>
        <w:pStyle w:val="FirstParagraph"/>
      </w:pPr>
      <w:r>
        <w:rPr>
          <w:b/>
        </w:rPr>
        <w:t xml:space="preserve">Snow Foundation — reconciled 2026-06-13 (read-only Xero MCP, org = Nicholas Marchesi sole trader).</w:t>
      </w:r>
      <w:r>
        <w:t xml:space="preserve"> </w:t>
      </w:r>
      <w:r>
        <w:t xml:space="preserve">The Snow Foundation is the #1 contact by revenue:</w:t>
      </w:r>
      <w:r>
        <w:t xml:space="preserve"> </w:t>
      </w:r>
      <w:r>
        <w:rPr>
          <w:b/>
        </w:rPr>
        <w:t xml:space="preserve">$493,129.79 invoiced over the trailing 3 years</w:t>
      </w:r>
      <w:r>
        <w:t xml:space="preserve"> </w:t>
      </w:r>
      <w:r>
        <w:t xml:space="preserve">(accrual, last refreshed 2026-06-12, unaudited). This reconciles the three conflicting Snow figures —</w:t>
      </w:r>
      <w:r>
        <w:t xml:space="preserve"> </w:t>
      </w:r>
      <w:r>
        <w:rPr>
          <w:b/>
        </w:rPr>
        <w:t xml:space="preserve">$193,785</w:t>
      </w:r>
      <w:r>
        <w:t xml:space="preserve"> </w:t>
      </w:r>
      <w:r>
        <w:t xml:space="preserve">(older</w:t>
      </w:r>
      <w:r>
        <w:t xml:space="preserve"> </w:t>
      </w:r>
      <w:r>
        <w:t xml:space="preserve">“</w:t>
      </w:r>
      <w:r>
        <w:t xml:space="preserve">received 2023–25</w:t>
      </w:r>
      <w:r>
        <w:t xml:space="preserve">”</w:t>
      </w:r>
      <w:r>
        <w:t xml:space="preserve"> </w:t>
      </w:r>
      <w:r>
        <w:t xml:space="preserve">cash snapshot) and</w:t>
      </w:r>
      <w:r>
        <w:t xml:space="preserve"> </w:t>
      </w:r>
      <w:r>
        <w:rPr>
          <w:b/>
        </w:rPr>
        <w:t xml:space="preserve">$402,930</w:t>
      </w:r>
      <w:r>
        <w:t xml:space="preserve"> </w:t>
      </w:r>
      <w:r>
        <w:t xml:space="preserve">(deck</w:t>
      </w:r>
      <w:r>
        <w:t xml:space="preserve"> </w:t>
      </w:r>
      <w:r>
        <w:t xml:space="preserve">“</w:t>
      </w:r>
      <w:r>
        <w:t xml:space="preserve">anchor</w:t>
      </w:r>
      <w:r>
        <w:t xml:space="preserve">”</w:t>
      </w:r>
      <w:r>
        <w:t xml:space="preserve"> </w:t>
      </w:r>
      <w:r>
        <w:t xml:space="preserve">subset) are narrower/earlier views;</w:t>
      </w:r>
      <w:r>
        <w:t xml:space="preserve"> </w:t>
      </w:r>
      <w:r>
        <w:rPr>
          <w:b/>
        </w:rPr>
        <w:t xml:space="preserve">$493,129.79</w:t>
      </w:r>
      <w:r>
        <w:t xml:space="preserve"> </w:t>
      </w:r>
      <w:r>
        <w:t xml:space="preserve">is the current trailing-3yr invoiced total. Use $493,129.79 (accrual, this org) as the verified Snow total; it is invoiced, not necessarily cash-received.</w:t>
      </w:r>
      <w:r>
        <w:t xml:space="preserve"> </w:t>
      </w:r>
      <w:r>
        <w:rPr>
          <w:i/>
        </w:rPr>
        <w:t xml:space="preserve">Other top contacts confirmed in the same pull: PICC $436,700 · SMART Recovery $197,200 (non-Goods) · Centrecorp $123,332.00 (matches pack) · HipCamp $120,205 (non-Goods) — confirming this org holds non-Goods income too, so it is NOT a Goods-only revenue figure.</w:t>
      </w:r>
    </w:p>
    <w:p>
      <w:r>
        <w:pict>
          <v:rect style="width:0;height:1.5pt" o:hralign="center" o:hrstd="t" o:hr="t"/>
        </w:pict>
      </w:r>
    </w:p>
    <w:p>
      <w:pPr>
        <w:pStyle w:val="Heading2"/>
      </w:pPr>
      <w:bookmarkStart w:id="34" w:name="the-capital-ask-catalytic-non-equity"/>
      <w:r>
        <w:t xml:space="preserve">3. The capital ask (catalytic, non-equity)</w:t>
      </w:r>
      <w:bookmarkEnd w:id="34"/>
    </w:p>
    <w:p>
      <w:pPr>
        <w:pStyle w:val="FirstParagraph"/>
      </w:pPr>
      <w:r>
        <w:rPr>
          <w:b/>
        </w:rPr>
        <w:t xml:space="preserve">Headline:</w:t>
      </w:r>
      <w:r>
        <w:t xml:space="preserve"> </w:t>
      </w:r>
      <w:r>
        <w:t xml:space="preserve">AU$900K–$1M blended,</w:t>
      </w:r>
      <w:r>
        <w:t xml:space="preserve"> </w:t>
      </w:r>
      <w:r>
        <w:rPr>
          <w:b/>
        </w:rPr>
        <w:t xml:space="preserve">non-equity</w:t>
      </w:r>
      <w:r>
        <w:t xml:space="preserve"> </w:t>
      </w:r>
      <w:r>
        <w:t xml:space="preserve">— close the first ~AU$400K of signed, match-eligible capital by</w:t>
      </w:r>
      <w:r>
        <w:t xml:space="preserve"> </w:t>
      </w:r>
      <w:r>
        <w:rPr>
          <w:b/>
        </w:rPr>
        <w:t xml:space="preserve">31 August 2026</w:t>
      </w:r>
      <w:r>
        <w:t xml:space="preserve">.</w:t>
      </w:r>
    </w:p>
    <w:p>
      <w:pPr>
        <w:pStyle w:val="BodyText"/>
      </w:pPr>
      <w:r>
        <w:rPr>
          <w:b/>
        </w:rPr>
        <w:t xml:space="preserve">Why the deadline matters.</w:t>
      </w:r>
      <w:r>
        <w:t xml:space="preserve"> </w:t>
      </w:r>
      <w:r>
        <w:t xml:space="preserve">QBE Catalysing Impact Stage 2 offers</w:t>
      </w:r>
      <w:r>
        <w:t xml:space="preserve"> </w:t>
      </w:r>
      <w:r>
        <w:rPr>
          <w:b/>
        </w:rPr>
        <w:t xml:space="preserve">up to AU$400K</w:t>
      </w:r>
      <w:r>
        <w:t xml:space="preserve"> </w:t>
      </w:r>
      <w:r>
        <w:t xml:space="preserve">from a $1M pool,</w:t>
      </w:r>
      <w:r>
        <w:t xml:space="preserve"> </w:t>
      </w:r>
      <w:r>
        <w:rPr>
          <w:b/>
        </w:rPr>
        <w:t xml:space="preserve">at least 1:1 matched to secured external investment</w:t>
      </w:r>
      <w:r>
        <w:t xml:space="preserve"> </w:t>
      </w:r>
      <w:r>
        <w:t xml:space="preserve">(more is better;</w:t>
      </w:r>
      <w:r>
        <w:t xml:space="preserve"> </w:t>
      </w:r>
      <w:r>
        <w:rPr>
          <w:b/>
        </w:rPr>
        <w:t xml:space="preserve">repayable finance prioritised over grants</w:t>
      </w:r>
      <w:r>
        <w:t xml:space="preserve">). Match must be</w:t>
      </w:r>
      <w:r>
        <w:t xml:space="preserve"> </w:t>
      </w:r>
      <w:r>
        <w:rPr>
          <w:b/>
        </w:rPr>
        <w:t xml:space="preserve">legally binding</w:t>
      </w:r>
      <w:r>
        <w:t xml:space="preserve"> </w:t>
      </w:r>
      <w:r>
        <w:t xml:space="preserve">(letters of commitment / loan / investment agreements) and is</w:t>
      </w:r>
      <w:r>
        <w:t xml:space="preserve"> </w:t>
      </w:r>
      <w:r>
        <w:rPr>
          <w:b/>
        </w:rPr>
        <w:t xml:space="preserve">verified by SIH at the September 2026 Stage 2 application</w:t>
      </w:r>
      <w:r>
        <w:t xml:space="preserve">; conditional grants are possible if the match is not fully locked.</w:t>
      </w:r>
      <w:r>
        <w:t xml:space="preserve"> </w:t>
      </w:r>
      <w:r>
        <w:rPr>
          <w:i/>
        </w:rPr>
        <w:t xml:space="preserve">(Confirmed from program docs 2026-06-13 — ledger #7. The earlier</w:t>
      </w:r>
      <w:r>
        <w:rPr>
          <w:i/>
        </w:rPr>
        <w:t xml:space="preserve"> </w:t>
      </w:r>
      <w:r>
        <w:rPr>
          <w:i/>
        </w:rPr>
        <w:t xml:space="preserve">“</w:t>
      </w:r>
      <w:r>
        <w:rPr>
          <w:i/>
        </w:rPr>
        <w:t xml:space="preserve">$200K</w:t>
      </w:r>
      <w:r>
        <w:rPr>
          <w:i/>
        </w:rPr>
        <w:t xml:space="preserve">”</w:t>
      </w:r>
      <w:r>
        <w:rPr>
          <w:i/>
        </w:rPr>
        <w:t xml:space="preserve"> </w:t>
      </w:r>
      <w:r>
        <w:rPr>
          <w:i/>
        </w:rPr>
        <w:t xml:space="preserve">hedge is retired.)</w:t>
      </w:r>
      <w:r>
        <w:t xml:space="preserve"> </w:t>
      </w:r>
      <w:r>
        <w:t xml:space="preserve">The QBE match is an</w:t>
      </w:r>
      <w:r>
        <w:t xml:space="preserve"> </w:t>
      </w:r>
      <w:r>
        <w:rPr>
          <w:i/>
        </w:rPr>
        <w:t xml:space="preserve">output</w:t>
      </w:r>
      <w:r>
        <w:t xml:space="preserve"> </w:t>
      </w:r>
      <w:r>
        <w:t xml:space="preserve">of money raised first.</w:t>
      </w:r>
      <w:r>
        <w:t xml:space="preserve"> </w:t>
      </w:r>
      <w:r>
        <w:rPr>
          <w:b/>
        </w:rPr>
        <w:t xml:space="preserve">Signed, match-eligible LOIs today: 0.</w:t>
      </w:r>
      <w:r>
        <w:t xml:space="preserve"> </w:t>
      </w:r>
      <w:r>
        <w:t xml:space="preserve">This is</w:t>
      </w:r>
      <w:r>
        <w:t xml:space="preserve"> </w:t>
      </w:r>
      <w:r>
        <w:t xml:space="preserve">“</w:t>
      </w:r>
      <w:r>
        <w:t xml:space="preserve">a conversation problem, not a discovery problem.</w:t>
      </w:r>
      <w:r>
        <w:t xml:space="preserve">”</w:t>
      </w:r>
    </w:p>
    <w:p>
      <w:pPr>
        <w:pStyle w:val="BodyText"/>
      </w:pPr>
      <w:r>
        <w:rPr>
          <w:b/>
        </w:rPr>
        <w:t xml:space="preserve">The stack (junior → senior), all [TARGET] unless noted:</w:t>
      </w:r>
      <w:r>
        <w:t xml:space="preserve"> </w:t>
      </w:r>
      <w:r>
        <w:t xml:space="preserve">| Layer | Instrument | Amount | Status |</w:t>
      </w:r>
      <w:r>
        <w:t xml:space="preserve"> </w:t>
      </w:r>
      <w:r>
        <w:t xml:space="preserve">|—|—|—|—|</w:t>
      </w:r>
      <w:r>
        <w:t xml:space="preserve"> </w:t>
      </w:r>
      <w:r>
        <w:t xml:space="preserve">| Grants (junior) | Philanthropy | ~AU$500K | Snow R4/R5 (~$132–200K NEW, NT-restricted, separate from the $402,930 anchor); Centrecorp next round (~end-June board); VFFF R2 / Minderoo |</w:t>
      </w:r>
      <w:r>
        <w:t xml:space="preserve"> </w:t>
      </w:r>
      <w:r>
        <w:t xml:space="preserve">| Catalytic top | QBE match | up to AU$400K | ≥1:1 vs secured external capital; repayable preferred; legally-binding evidence verified at Sept 2026 application |</w:t>
      </w:r>
      <w:r>
        <w:t xml:space="preserve"> </w:t>
      </w:r>
      <w:r>
        <w:t xml:space="preserve">| Concessional debt (senior) | SEFA working-capital line | AU$300K | ~70% modelled; gated on the financial model + independent-director majority + revenue covenant |</w:t>
      </w:r>
      <w:r>
        <w:t xml:space="preserve"> </w:t>
      </w:r>
      <w:r>
        <w:t xml:space="preserve">| Upside only | Butterfly/DGR | ~AU$200K | FY2026-27, DGR not live today |</w:t>
      </w:r>
    </w:p>
    <w:p>
      <w:pPr>
        <w:pStyle w:val="BodyText"/>
      </w:pPr>
      <w:r>
        <w:rPr>
          <w:b/>
        </w:rPr>
        <w:t xml:space="preserve">Use of funds:</w:t>
      </w:r>
      <w:r>
        <w:t xml:space="preserve"> </w:t>
      </w:r>
      <w:r>
        <w:t xml:space="preserve">in-source 50-bed proof run</w:t>
      </w:r>
      <w:r>
        <w:t xml:space="preserve"> </w:t>
      </w:r>
      <w:r>
        <w:rPr>
          <w:b/>
        </w:rPr>
        <w:t xml:space="preserve">~$60–80K</w:t>
      </w:r>
      <w:r>
        <w:t xml:space="preserve"> </w:t>
      </w:r>
      <w:r>
        <w:t xml:space="preserve">(the gating experiment) · plant capex ~$300–400K · working-capital buffer ~$150–200K · GM + BD hires ~$200K.</w:t>
      </w:r>
    </w:p>
    <w:p>
      <w:pPr>
        <w:pStyle w:val="BodyText"/>
      </w:pPr>
      <w:r>
        <w:rPr>
          <w:b/>
        </w:rPr>
        <w:t xml:space="preserve">Why catalytic, why non-equity.</w:t>
      </w:r>
      <w:r>
        <w:t xml:space="preserve"> </w:t>
      </w:r>
      <w:r>
        <w:t xml:space="preserve">Goods sits at the end of</w:t>
      </w:r>
      <w:r>
        <w:t xml:space="preserve"> </w:t>
      </w:r>
      <w:r>
        <w:t xml:space="preserve">“</w:t>
      </w:r>
      <w:r>
        <w:t xml:space="preserve">proven product + proven delivery</w:t>
      </w:r>
      <w:r>
        <w:t xml:space="preserve">”</w:t>
      </w:r>
      <w:r>
        <w:t xml:space="preserve"> </w:t>
      </w:r>
      <w:r>
        <w:t xml:space="preserve">and the very start of</w:t>
      </w:r>
      <w:r>
        <w:t xml:space="preserve"> </w:t>
      </w:r>
      <w:r>
        <w:t xml:space="preserve">“</w:t>
      </w:r>
      <w:r>
        <w:t xml:space="preserve">proving the repeatable commercial engine</w:t>
      </w:r>
      <w:r>
        <w:t xml:space="preserve">”</w:t>
      </w:r>
      <w:r>
        <w:t xml:space="preserve"> </w:t>
      </w:r>
      <w:r>
        <w:t xml:space="preserve">— exactly the pre-revenue, no-fiduciary-board zone catalytic capital exists for. Equity is inappropriate now because</w:t>
      </w:r>
      <w:r>
        <w:t xml:space="preserve"> </w:t>
      </w:r>
      <w:r>
        <w:rPr>
          <w:b/>
        </w:rPr>
        <w:t xml:space="preserve">the end-state is community-owned production</w:t>
      </w:r>
      <w:r>
        <w:t xml:space="preserve">; equity is revisited only</w:t>
      </w:r>
      <w:r>
        <w:t xml:space="preserve"> </w:t>
      </w:r>
      <w:r>
        <w:t xml:space="preserve">“</w:t>
      </w:r>
      <w:r>
        <w:t xml:space="preserve">within a future model where communities themselves become equity holders.</w:t>
      </w:r>
      <w:r>
        <w:t xml:space="preserve">”</w:t>
      </w:r>
      <w:r>
        <w:t xml:space="preserve"> </w:t>
      </w:r>
      <w:r>
        <w:t xml:space="preserve">Best-fit structure: project-level (the containerised plant) + company-level (SEFA/IBA) blend, with grants and guarantees on top de-risking concessional debt at the base. [Source: catalytic-capital.md, blended-finance.md, deck blueprint]</w:t>
      </w:r>
    </w:p>
    <w:p>
      <w:r>
        <w:pict>
          <v:rect style="width:0;height:1.5pt" o:hralign="center" o:hrstd="t" o:hr="t"/>
        </w:pict>
      </w:r>
    </w:p>
    <w:p>
      <w:pPr>
        <w:pStyle w:val="Heading2"/>
      </w:pPr>
      <w:bookmarkStart w:id="35" w:name="X6370f2dfba6294ab8e774ba02a061ba88ececd0"/>
      <w:r>
        <w:t xml:space="preserve">4. The hypothesis this capital tests (the honest core)</w:t>
      </w:r>
      <w:bookmarkEnd w:id="35"/>
    </w:p>
    <w:p>
      <w:pPr>
        <w:pStyle w:val="FirstParagraph"/>
      </w:pPr>
      <w:r>
        <w:t xml:space="preserve">The capital case is</w:t>
      </w:r>
      <w:r>
        <w:t xml:space="preserve"> </w:t>
      </w:r>
      <w:r>
        <w:rPr>
          <w:b/>
        </w:rPr>
        <w:t xml:space="preserve">100% modelled.</w:t>
      </w:r>
      <w:r>
        <w:t xml:space="preserve"> </w:t>
      </w:r>
      <w:r>
        <w:t xml:space="preserve">The 8.6× markup on outsourced HDPE legs is [VERIFIED]; the claim that in-sourcing drops unit cost from $684.79 → $425.74 (factory) → $270.74 (community) is [MODELLED] with</w:t>
      </w:r>
      <w:r>
        <w:t xml:space="preserve"> </w:t>
      </w:r>
      <w:r>
        <w:rPr>
          <w:b/>
        </w:rPr>
        <w:t xml:space="preserve">0 beds assembled in-house</w:t>
      </w:r>
      <w:r>
        <w:t xml:space="preserve"> </w:t>
      </w:r>
      <w:r>
        <w:t xml:space="preserve">and a stale inventory snapshot (2026-03-27).</w:t>
      </w:r>
    </w:p>
    <w:p>
      <w:pPr>
        <w:pStyle w:val="BodyText"/>
      </w:pPr>
      <w:r>
        <w:rPr>
          <w:b/>
        </w:rPr>
        <w:t xml:space="preserve">The de-risking experiment:</w:t>
      </w:r>
      <w:r>
        <w:t xml:space="preserve"> </w:t>
      </w:r>
      <w:r>
        <w:t xml:space="preserve">~AU$60–80K funds a 50-bed in-source production run.</w:t>
      </w:r>
      <w:r>
        <w:t xml:space="preserve"> </w:t>
      </w:r>
      <w:r>
        <w:t xml:space="preserve">-</w:t>
      </w:r>
      <w:r>
        <w:t xml:space="preserve"> </w:t>
      </w:r>
      <w:r>
        <w:rPr>
          <w:b/>
        </w:rPr>
        <w:t xml:space="preserve">Pass</w:t>
      </w:r>
      <w:r>
        <w:t xml:space="preserve"> </w:t>
      </w:r>
      <w:r>
        <w:t xml:space="preserve">= $425.74 confirmed → scale the raise.</w:t>
      </w:r>
      <w:r>
        <w:t xml:space="preserve"> </w:t>
      </w:r>
      <w:r>
        <w:t xml:space="preserve">-</w:t>
      </w:r>
      <w:r>
        <w:t xml:space="preserve"> </w:t>
      </w:r>
      <w:r>
        <w:rPr>
          <w:b/>
        </w:rPr>
        <w:t xml:space="preserve">Miss</w:t>
      </w:r>
      <w:r>
        <w:t xml:space="preserve"> </w:t>
      </w:r>
      <w:r>
        <w:t xml:space="preserve">= re-base the raise at $684.79.</w:t>
      </w:r>
    </w:p>
    <w:p>
      <w:pPr>
        <w:pStyle w:val="BodyText"/>
      </w:pPr>
      <w:r>
        <w:t xml:space="preserve">A catalytic investor is being asked to fund this experiment, not a finished economic engine. Say so.</w:t>
      </w:r>
    </w:p>
    <w:p>
      <w:pPr>
        <w:pStyle w:val="BodyText"/>
      </w:pPr>
      <w:r>
        <w:rPr>
          <w:b/>
        </w:rPr>
        <w:t xml:space="preserve">36-month model (deck slide 10) [all MODELLED]:</w:t>
      </w:r>
      <w:r>
        <w:t xml:space="preserve"> </w:t>
      </w:r>
      <w:r>
        <w:t xml:space="preserve">without injection the position reaches</w:t>
      </w:r>
      <w:r>
        <w:t xml:space="preserve"> </w:t>
      </w:r>
      <w:r>
        <w:rPr>
          <w:b/>
        </w:rPr>
        <w:t xml:space="preserve">−AU$487,722</w:t>
      </w:r>
      <w:r>
        <w:t xml:space="preserve"> </w:t>
      </w:r>
      <w:r>
        <w:t xml:space="preserve">by month 36; with the catalytic injection stack (QBE + SEFA + philanthropy) it reaches</w:t>
      </w:r>
      <w:r>
        <w:t xml:space="preserve"> </w:t>
      </w:r>
      <w:r>
        <w:rPr>
          <w:b/>
        </w:rPr>
        <w:t xml:space="preserve">+AU$212,278</w:t>
      </w:r>
      <w:r>
        <w:t xml:space="preserve"> </w:t>
      </w:r>
      <w:r>
        <w:t xml:space="preserve">by month 36, through an intra-period trough of</w:t>
      </w:r>
      <w:r>
        <w:t xml:space="preserve"> </w:t>
      </w:r>
      <w:r>
        <w:rPr>
          <w:b/>
        </w:rPr>
        <w:t xml:space="preserve">−AU$177,292</w:t>
      </w:r>
      <w:r>
        <w:t xml:space="preserve">. These come from the financial model, not from actuals — show the trough, not just the recovery. Reconcile against the live model before external use.</w:t>
      </w:r>
    </w:p>
    <w:p>
      <w:r>
        <w:pict>
          <v:rect style="width:0;height:1.5pt" o:hralign="center" o:hrstd="t" o:hr="t"/>
        </w:pict>
      </w:r>
    </w:p>
    <w:p>
      <w:pPr>
        <w:pStyle w:val="Heading2"/>
      </w:pPr>
      <w:bookmarkStart w:id="36" w:name="Xfa028039c8386d382d631cf8cf73e9ec348f571"/>
      <w:r>
        <w:t xml:space="preserve">5. Traction — communities (keep source type visible)</w:t>
      </w:r>
      <w:bookmarkEnd w:id="36"/>
    </w:p>
    <w:p>
      <w:pPr>
        <w:pStyle w:val="FirstParagraph"/>
      </w:pPr>
      <w:r>
        <w:t xml:space="preserve">Deployment snapshot is the</w:t>
      </w:r>
      <w:r>
        <w:t xml:space="preserve"> </w:t>
      </w:r>
      <w:r>
        <w:rPr>
          <w:b/>
        </w:rPr>
        <w:t xml:space="preserve">March 2026 compendium</w:t>
      </w:r>
      <w:r>
        <w:t xml:space="preserve"> </w:t>
      </w:r>
      <w:r>
        <w:t xml:space="preserve">(412 beds + 9 washers across 7 rows) —</w:t>
      </w:r>
      <w:r>
        <w:t xml:space="preserve"> </w:t>
      </w:r>
      <w:r>
        <w:rPr>
          <w:i/>
        </w:rPr>
        <w:t xml:space="preserve">different baseline</w:t>
      </w:r>
      <w:r>
        <w:t xml:space="preserve"> </w:t>
      </w:r>
      <w:r>
        <w:t xml:space="preserve">from the 496 asset-register figure. Do not blend. Largest relationships:</w:t>
      </w:r>
      <w:r>
        <w:t xml:space="preserve"> </w:t>
      </w:r>
      <w:r>
        <w:rPr>
          <w:b/>
        </w:rPr>
        <w:t xml:space="preserve">Palm Island 141 beds / 4 washers</w:t>
      </w:r>
      <w:r>
        <w:t xml:space="preserve">,</w:t>
      </w:r>
      <w:r>
        <w:t xml:space="preserve"> </w:t>
      </w:r>
      <w:r>
        <w:rPr>
          <w:b/>
        </w:rPr>
        <w:t xml:space="preserve">Tennant Creek 139 / 5</w:t>
      </w:r>
      <w:r>
        <w:t xml:space="preserve">,</w:t>
      </w:r>
      <w:r>
        <w:t xml:space="preserve"> </w:t>
      </w:r>
      <w:r>
        <w:rPr>
          <w:b/>
        </w:rPr>
        <w:t xml:space="preserve">Alice Homelands (Oonchiumpa) 60</w:t>
      </w:r>
      <w:r>
        <w:t xml:space="preserve">, Utopia 24, Maningrida 24, Kalgoorlie 20, Mount Isa 4. Plus Darwin/Miwatj and NPY Lands relationships not in the snapshot.</w:t>
      </w:r>
    </w:p>
    <w:p>
      <w:pPr>
        <w:pStyle w:val="BodyText"/>
      </w:pPr>
      <w:r>
        <w:rPr>
          <w:b/>
        </w:rPr>
        <w:t xml:space="preserve">Standing demand — keep separate from deployed:</w:t>
      </w:r>
      <w:r>
        <w:t xml:space="preserve"> </w:t>
      </w:r>
      <w:r>
        <w:t xml:space="preserve">- 107 beds approved, INV-0291 paid (Centrecorp/Utopia)</w:t>
      </w:r>
      <w:r>
        <w:t xml:space="preserve"> </w:t>
      </w:r>
      <w:r>
        <w:t xml:space="preserve">- 65 beds for children (Maningrida / Homeland Schools Company)</w:t>
      </w:r>
      <w:r>
        <w:t xml:space="preserve"> </w:t>
      </w:r>
      <w:r>
        <w:t xml:space="preserve">- 40 beds discussed (PICC, Palm Island)</w:t>
      </w:r>
      <w:r>
        <w:t xml:space="preserve"> </w:t>
      </w:r>
      <w:r>
        <w:t xml:space="preserve">- 20 beds offered self-funded (Dianne Stokes, Tennant Creek) —</w:t>
      </w:r>
      <w:r>
        <w:t xml:space="preserve"> </w:t>
      </w:r>
      <w:r>
        <w:rPr>
          <w:i/>
        </w:rPr>
        <w:t xml:space="preserve">strongest validation: request followed direct use and co-design</w:t>
      </w:r>
      <w:r>
        <w:t xml:space="preserve"> </w:t>
      </w:r>
      <w:r>
        <w:t xml:space="preserve">- 500 mattresses + 300 washing machines exploratory (Groote Archipelago) — large market signal, NOT revenue</w:t>
      </w:r>
      <w:r>
        <w:t xml:space="preserve"> </w:t>
      </w:r>
      <w:r>
        <w:t xml:space="preserve">- NPY Women’s Council — standing tri-state demand (Angela Lynch, demand voice)</w:t>
      </w:r>
    </w:p>
    <w:p>
      <w:pPr>
        <w:pStyle w:val="BodyText"/>
      </w:pPr>
      <w:r>
        <w:rPr>
          <w:b/>
        </w:rPr>
        <w:t xml:space="preserve">The human anchor:</w:t>
      </w:r>
      <w:r>
        <w:t xml:space="preserve"> </w:t>
      </w:r>
      <w:r>
        <w:t xml:space="preserve">Ray Nelson’s bed, GB0-156-96, Plenty Highway, supplied 21 May 2026 —</w:t>
      </w:r>
      <w:r>
        <w:t xml:space="preserve"> </w:t>
      </w:r>
      <w:r>
        <w:rPr>
          <w:i/>
        </w:rPr>
        <w:t xml:space="preserve">“</w:t>
      </w:r>
      <w:r>
        <w:rPr>
          <w:i/>
        </w:rPr>
        <w:t xml:space="preserve">Since receiving their new beds, they are no longer experiencing back pains.</w:t>
      </w:r>
      <w:r>
        <w:rPr>
          <w:i/>
        </w:rPr>
        <w:t xml:space="preserve">”</w:t>
      </w:r>
      <w:r>
        <w:t xml:space="preserve"> </w:t>
      </w:r>
      <w:r>
        <w:t xml:space="preserve">[VERIFIED — approved community voice]. 12 consented stories syndicated via Empathy Ledger (use only Ivy Johnson + Dianne Stokes headshots externally; others consent-pending).</w:t>
      </w:r>
    </w:p>
    <w:p>
      <w:r>
        <w:pict>
          <v:rect style="width:0;height:1.5pt" o:hralign="center" o:hrstd="t" o:hr="t"/>
        </w:pict>
      </w:r>
    </w:p>
    <w:p>
      <w:pPr>
        <w:pStyle w:val="Heading2"/>
      </w:pPr>
      <w:bookmarkStart w:id="37" w:name="Xb8338f3700d1d46adbf72eae44a9d3db3dbbeab"/>
      <w:r>
        <w:t xml:space="preserve">6. Market (DRAFT v1 — to be ground-truthed; present as direction, not booked)</w:t>
      </w:r>
      <w:bookmarkEnd w:id="37"/>
    </w:p>
    <w:p>
      <w:pPr>
        <w:pStyle w:val="FirstParagraph"/>
      </w:pPr>
      <w:r>
        <w:t xml:space="preserve">5-year addressable ~</w:t>
      </w:r>
      <w:r>
        <w:rPr>
          <w:b/>
        </w:rPr>
        <w:t xml:space="preserve">30,750 beds</w:t>
      </w:r>
      <w:r>
        <w:t xml:space="preserve"> </w:t>
      </w:r>
      <w:r>
        <w:t xml:space="preserve">(~6,150/yr); realistic capture ~6,000 beds + ~975 washers. Eight procurement</w:t>
      </w:r>
      <w:r>
        <w:t xml:space="preserve"> </w:t>
      </w:r>
      <w:r>
        <w:t xml:space="preserve">“</w:t>
      </w:r>
      <w:r>
        <w:t xml:space="preserve">pipes</w:t>
      </w:r>
      <w:r>
        <w:t xml:space="preserve">”</w:t>
      </w:r>
      <w:r>
        <w:t xml:space="preserve">: NT Remote Housing ($4B/10yr, 270 homes/yr), Aboriginal Hostels Ltd (~17,000 beds), Outback Stores/ALPA, NACCHO + 144 ACCHOs, NIAA Community Laundries ($11.4M, partner not compete), State Aboriginal Housing offices, mining-region foundations (BHP $195M/yr, Rio $153M/yr), NDIS SDA (~$700M/yr).</w:t>
      </w:r>
      <w:r>
        <w:t xml:space="preserve"> </w:t>
      </w:r>
      <w:r>
        <w:rPr>
          <w:b/>
        </w:rPr>
        <w:t xml:space="preserve">The ceiling is procurement plumbing, not demand.</w:t>
      </w:r>
      <w:r>
        <w:t xml:space="preserve"> </w:t>
      </w:r>
      <w:r>
        <w:t xml:space="preserve">Context: one Alice Springs supplier sells</w:t>
      </w:r>
      <w:r>
        <w:t xml:space="preserve"> </w:t>
      </w:r>
      <w:r>
        <w:rPr>
          <w:b/>
        </w:rPr>
        <w:t xml:space="preserve">~AU$3M/yr</w:t>
      </w:r>
      <w:r>
        <w:t xml:space="preserve"> </w:t>
      </w:r>
      <w:r>
        <w:t xml:space="preserve">of washing machines into remote communities — most landfilled within months (supplier unnamed/unconfirmed). Indigenous-owned blueprint exists:</w:t>
      </w:r>
      <w:r>
        <w:t xml:space="preserve"> </w:t>
      </w:r>
      <w:r>
        <w:rPr>
          <w:b/>
        </w:rPr>
        <w:t xml:space="preserve">WINYA Furniture</w:t>
      </w:r>
      <w:r>
        <w:t xml:space="preserve"> </w:t>
      </w:r>
      <w:r>
        <w:t xml:space="preserve">(36 federal contracts, $950K, Supply Nation). Diagnostic claim:</w:t>
      </w:r>
      <w:r>
        <w:t xml:space="preserve"> </w:t>
      </w:r>
      <w:r>
        <w:rPr>
          <w:i/>
        </w:rPr>
        <w:t xml:space="preserve">no comparable washable, repairable, flat-pack mattress and no comparable repair-engineered remote washing machine currently exist.</w:t>
      </w:r>
    </w:p>
    <w:p>
      <w:pPr>
        <w:pStyle w:val="BodyText"/>
      </w:pPr>
      <w:r>
        <w:rPr>
          <w:b/>
        </w:rPr>
        <w:t xml:space="preserve">Pre-condition for 4 of 8 pipes:</w:t>
      </w:r>
      <w:r>
        <w:t xml:space="preserve"> </w:t>
      </w:r>
      <w:r>
        <w:t xml:space="preserve">a</w:t>
      </w:r>
      <w:r>
        <w:t xml:space="preserve"> </w:t>
      </w:r>
      <w:r>
        <w:rPr>
          <w:b/>
        </w:rPr>
        <w:t xml:space="preserve">51%+ First Nations-owned operating entity</w:t>
      </w:r>
      <w:r>
        <w:t xml:space="preserve"> </w:t>
      </w:r>
      <w:r>
        <w:t xml:space="preserve">(IPP threshold tightens 1 July 2026).</w:t>
      </w:r>
    </w:p>
    <w:p>
      <w:r>
        <w:pict>
          <v:rect style="width:0;height:1.5pt" o:hralign="center" o:hrstd="t" o:hr="t"/>
        </w:pict>
      </w:r>
    </w:p>
    <w:p>
      <w:pPr>
        <w:pStyle w:val="Heading2"/>
      </w:pPr>
      <w:bookmarkStart w:id="38" w:name="structure-governance-people"/>
      <w:r>
        <w:t xml:space="preserve">7. Structure, governance, people</w:t>
      </w:r>
      <w:bookmarkEnd w:id="38"/>
    </w:p>
    <w:p>
      <w:pPr>
        <w:numPr>
          <w:ilvl w:val="0"/>
          <w:numId w:val="1003"/>
        </w:numPr>
        <w:pStyle w:val="Compact"/>
      </w:pPr>
      <w:r>
        <w:rPr>
          <w:b/>
        </w:rPr>
        <w:t xml:space="preserve">Trades today:</w:t>
      </w:r>
      <w:r>
        <w:t xml:space="preserve"> </w:t>
      </w:r>
      <w:r>
        <w:t xml:space="preserve">Nicholas Marchesi sole trader (ABN 21 591 780 066) → migrating all Goods activity into</w:t>
      </w:r>
      <w:r>
        <w:t xml:space="preserve"> </w:t>
      </w:r>
      <w:r>
        <w:rPr>
          <w:b/>
        </w:rPr>
        <w:t xml:space="preserve">A Curious Tractor Pty Ltd</w:t>
      </w:r>
      <w:r>
        <w:t xml:space="preserve"> </w:t>
      </w:r>
      <w:r>
        <w:t xml:space="preserve">(ACN 697 347 676, t/a Goods on Country) this FY.</w:t>
      </w:r>
    </w:p>
    <w:p>
      <w:pPr>
        <w:numPr>
          <w:ilvl w:val="0"/>
          <w:numId w:val="1003"/>
        </w:numPr>
        <w:pStyle w:val="Compact"/>
      </w:pPr>
      <w:r>
        <w:rPr>
          <w:b/>
        </w:rPr>
        <w:t xml:space="preserve">DGR home:</w:t>
      </w:r>
      <w:r>
        <w:t xml:space="preserve"> </w:t>
      </w:r>
      <w:r>
        <w:rPr>
          <w:b/>
        </w:rPr>
        <w:t xml:space="preserve">The Butterfly Movement Ltd</w:t>
      </w:r>
      <w:r>
        <w:t xml:space="preserve"> </w:t>
      </w:r>
      <w:r>
        <w:t xml:space="preserve">(ACNC, Item 1 DGR) — operational FY2026-27 (~1 July 2026), gifted from TABOO.</w:t>
      </w:r>
      <w:r>
        <w:t xml:space="preserve"> </w:t>
      </w:r>
      <w:r>
        <w:rPr>
          <w:b/>
        </w:rPr>
        <w:t xml:space="preserve">Not live today — donors cannot tax-receipt yet.</w:t>
      </w:r>
      <w:r>
        <w:t xml:space="preserve"> </w:t>
      </w:r>
      <w:r>
        <w:t xml:space="preserve">The only Goods DGR pathway.</w:t>
      </w:r>
      <w:r>
        <w:t xml:space="preserve"> </w:t>
      </w:r>
      <w:r>
        <w:rPr>
          <w:i/>
        </w:rPr>
        <w:t xml:space="preserve">A Kind Tractor Ltd is dormant, not the vehicle.</w:t>
      </w:r>
    </w:p>
    <w:p>
      <w:pPr>
        <w:numPr>
          <w:ilvl w:val="0"/>
          <w:numId w:val="1003"/>
        </w:numPr>
        <w:pStyle w:val="Compact"/>
      </w:pPr>
      <w:r>
        <w:rPr>
          <w:b/>
        </w:rPr>
        <w:t xml:space="preserve">Unsettled (the keystone gap):</w:t>
      </w:r>
      <w:r>
        <w:t xml:space="preserve"> </w:t>
      </w:r>
      <w:r>
        <w:t xml:space="preserve">subsidiary/CLG/hybrid form beneath ACT; the community-production entity’s legal form; mission lock (no B Corp / asset-lock / community-ownership deed yet — protection is</w:t>
      </w:r>
      <w:r>
        <w:t xml:space="preserve"> </w:t>
      </w:r>
      <w:r>
        <w:t xml:space="preserve">“</w:t>
      </w:r>
      <w:r>
        <w:t xml:space="preserve">cultural and relational,</w:t>
      </w:r>
      <w:r>
        <w:t xml:space="preserve">”</w:t>
      </w:r>
      <w:r>
        <w:t xml:space="preserve"> </w:t>
      </w:r>
      <w:r>
        <w:t xml:space="preserve">explicitly</w:t>
      </w:r>
      <w:r>
        <w:t xml:space="preserve"> </w:t>
      </w:r>
      <w:r>
        <w:t xml:space="preserve">“</w:t>
      </w:r>
      <w:r>
        <w:t xml:space="preserve">not enough to carry larger capital</w:t>
      </w:r>
      <w:r>
        <w:t xml:space="preserve">”</w:t>
      </w:r>
      <w:r>
        <w:t xml:space="preserve">).</w:t>
      </w:r>
    </w:p>
    <w:p>
      <w:pPr>
        <w:numPr>
          <w:ilvl w:val="0"/>
          <w:numId w:val="1003"/>
        </w:numPr>
        <w:pStyle w:val="Compact"/>
      </w:pPr>
      <w:r>
        <w:rPr>
          <w:b/>
        </w:rPr>
        <w:t xml:space="preserve">Governance:</w:t>
      </w:r>
      <w:r>
        <w:t xml:space="preserve"> </w:t>
      </w:r>
      <w:r>
        <w:t xml:space="preserve">founder accountability + an advisory board (11 named members incl. Kristy Bloomfield, Nicholas Marchesi OAM, Corey Tutt, Judith Meiklejohn) —</w:t>
      </w:r>
      <w:r>
        <w:t xml:space="preserve"> </w:t>
      </w:r>
      <w:r>
        <w:rPr>
          <w:b/>
        </w:rPr>
        <w:t xml:space="preserve">advisory, not fiduciary.</w:t>
      </w:r>
      <w:r>
        <w:t xml:space="preserve"> </w:t>
      </w:r>
      <w:r>
        <w:t xml:space="preserve">MinterEllison (Keith Rovers) on structure. Gating gap for SEFA’s $300K: an independent-majority fiduciary board.</w:t>
      </w:r>
    </w:p>
    <w:p>
      <w:pPr>
        <w:numPr>
          <w:ilvl w:val="0"/>
          <w:numId w:val="1003"/>
        </w:numPr>
        <w:pStyle w:val="Compact"/>
      </w:pPr>
      <w:r>
        <w:rPr>
          <w:b/>
        </w:rPr>
        <w:t xml:space="preserve">People:</w:t>
      </w:r>
      <w:r>
        <w:t xml:space="preserve"> </w:t>
      </w:r>
      <w:r>
        <w:t xml:space="preserve">two FTE founders —</w:t>
      </w:r>
      <w:r>
        <w:t xml:space="preserve"> </w:t>
      </w:r>
      <w:r>
        <w:rPr>
          <w:b/>
        </w:rPr>
        <w:t xml:space="preserve">Ben Knight</w:t>
      </w:r>
      <w:r>
        <w:t xml:space="preserve"> </w:t>
      </w:r>
      <w:r>
        <w:t xml:space="preserve">(relationships, story-consent, governance, product feedback) and</w:t>
      </w:r>
      <w:r>
        <w:t xml:space="preserve"> </w:t>
      </w:r>
      <w:r>
        <w:rPr>
          <w:b/>
        </w:rPr>
        <w:t xml:space="preserve">Nicholas Marchesi</w:t>
      </w:r>
      <w:r>
        <w:t xml:space="preserve"> </w:t>
      </w:r>
      <w:r>
        <w:t xml:space="preserve">(builder/operator, remote-community, prototype-to-product). The founder bottleneck is the #1 risk (</w:t>
      </w:r>
      <w:r>
        <w:t xml:space="preserve">“</w:t>
      </w:r>
      <w:r>
        <w:t xml:space="preserve">already happening</w:t>
      </w:r>
      <w:r>
        <w:t xml:space="preserve">”</w:t>
      </w:r>
      <w:r>
        <w:t xml:space="preserve">). Two priority hires:</w:t>
      </w:r>
      <w:r>
        <w:t xml:space="preserve"> </w:t>
      </w:r>
      <w:r>
        <w:rPr>
          <w:b/>
        </w:rPr>
        <w:t xml:space="preserve">General Manager</w:t>
      </w:r>
      <w:r>
        <w:t xml:space="preserve"> </w:t>
      </w:r>
      <w:r>
        <w:t xml:space="preserve">+</w:t>
      </w:r>
      <w:r>
        <w:t xml:space="preserve"> </w:t>
      </w:r>
      <w:r>
        <w:rPr>
          <w:b/>
        </w:rPr>
        <w:t xml:space="preserve">Business Development/sales lead</w:t>
      </w:r>
      <w:r>
        <w:t xml:space="preserve">, backfilled in the interim by QBE skilled-volunteering + 6-session PIN mentoring.</w:t>
      </w:r>
    </w:p>
    <w:p>
      <w:r>
        <w:pict>
          <v:rect style="width:0;height:1.5pt" o:hralign="center" o:hrstd="t" o:hr="t"/>
        </w:pict>
      </w:r>
    </w:p>
    <w:p>
      <w:pPr>
        <w:pStyle w:val="Heading2"/>
      </w:pPr>
      <w:bookmarkStart w:id="39" w:name="risk-register-working"/>
      <w:r>
        <w:t xml:space="preserve">8. Risk register (working)</w:t>
      </w:r>
      <w:bookmarkEnd w:id="39"/>
    </w:p>
    <w:p>
      <w:pPr>
        <w:pStyle w:val="FirstParagraph"/>
      </w:pPr>
      <w:r>
        <w:t xml:space="preserve">Key-person/founder bottleneck (</w:t>
      </w:r>
      <w:r>
        <w:rPr>
          <w:b/>
        </w:rPr>
        <w:t xml:space="preserve">already happening</w:t>
      </w:r>
      <w:r>
        <w:t xml:space="preserve">, high) · cashflow (</w:t>
      </w:r>
      <w:r>
        <w:t xml:space="preserve">“</w:t>
      </w:r>
      <w:r>
        <w:t xml:space="preserve">costs land before payments</w:t>
      </w:r>
      <w:r>
        <w:t xml:space="preserve">”</w:t>
      </w:r>
      <w:r>
        <w:t xml:space="preserve">, high) · product safety (low-med likelihood, high consequence) · environmental (</w:t>
      </w:r>
      <w:r>
        <w:t xml:space="preserve">“</w:t>
      </w:r>
      <w:r>
        <w:t xml:space="preserve">accidentally add to the waste problem</w:t>
      </w:r>
      <w:r>
        <w:t xml:space="preserve">”</w:t>
      </w:r>
      <w:r>
        <w:t xml:space="preserve">, med/high) · debt taken before the model can service it (future, high consequence) · story/data consent (med likelihood, very high consequence) · community trust (always live) · governance lagging investor needs · community-ownership model risk (value/risk asymmetry). Guiding test (Nicholas):</w:t>
      </w:r>
      <w:r>
        <w:t xml:space="preserve"> </w:t>
      </w:r>
      <w:r>
        <w:rPr>
          <w:b/>
        </w:rPr>
        <w:t xml:space="preserve">“</w:t>
      </w:r>
      <w:r>
        <w:rPr>
          <w:b/>
        </w:rPr>
        <w:t xml:space="preserve">do no harm</w:t>
      </w:r>
      <w:r>
        <w:rPr>
          <w:b/>
        </w:rPr>
        <w:t xml:space="preserve">”</w:t>
      </w:r>
      <w:r>
        <w:t xml:space="preserve"> </w:t>
      </w:r>
      <w:r>
        <w:t xml:space="preserve">— incl. </w:t>
      </w:r>
      <w:r>
        <w:t xml:space="preserve">“</w:t>
      </w:r>
      <w:r>
        <w:t xml:space="preserve">do not centralise value in ACT while talking about community ownership.</w:t>
      </w:r>
      <w:r>
        <w:t xml:space="preserve">”</w:t>
      </w:r>
    </w:p>
    <w:p>
      <w:r>
        <w:pict>
          <v:rect style="width:0;height:1.5pt" o:hralign="center" o:hrstd="t" o:hr="t"/>
        </w:pict>
      </w:r>
    </w:p>
    <w:p>
      <w:pPr>
        <w:pStyle w:val="Heading2"/>
      </w:pPr>
      <w:bookmarkStart w:id="40" w:name="X731d37eb735fb7e027c528349ede9de8473113e"/>
      <w:r>
        <w:t xml:space="preserve">9. QBE readiness — what’s ready vs what blocks the raise</w:t>
      </w:r>
      <w:bookmarkEnd w:id="40"/>
    </w:p>
    <w:p>
      <w:pPr>
        <w:pStyle w:val="FirstParagraph"/>
      </w:pPr>
      <w:r>
        <w:t xml:space="preserve">[Source: canon/qbe-readiness.md, scores asOf 2026-06-02. P0 = priority gap.]</w:t>
      </w:r>
    </w:p>
    <w:p>
      <w:pPr>
        <w:pStyle w:val="BodyText"/>
      </w:pPr>
      <w:r>
        <w:rPr>
          <w:b/>
        </w:rPr>
        <w:t xml:space="preserve">Ready / strong:</w:t>
      </w:r>
      <w:r>
        <w:t xml:space="preserve"> </w:t>
      </w:r>
      <w:r>
        <w:t xml:space="preserve">Vision (8→9), Social Impact &amp; MEL (11 artifacts), Business Model, Process &amp; Tech, Investors &amp; Capital Raising, Cost Model v6 (BOM + $110,046 press capex solid).</w:t>
      </w:r>
    </w:p>
    <w:p>
      <w:pPr>
        <w:pStyle w:val="BodyText"/>
      </w:pPr>
      <w:r>
        <w:rPr>
          <w:b/>
        </w:rPr>
        <w:t xml:space="preserve">The five raise-blockers (NOT ready):</w:t>
      </w:r>
      <w:r>
        <w:t xml:space="preserve"> </w:t>
      </w:r>
      <w:r>
        <w:t xml:space="preserve">1.</w:t>
      </w:r>
      <w:r>
        <w:t xml:space="preserve"> </w:t>
      </w:r>
      <w:r>
        <w:rPr>
          <w:b/>
        </w:rPr>
        <w:t xml:space="preserve">Legal structure (KEYSTONE, 0 artifacts)</w:t>
      </w:r>
      <w:r>
        <w:t xml:space="preserve"> </w:t>
      </w:r>
      <w:r>
        <w:t xml:space="preserve">— entity/Indigenous-ownership undecided; blocks Supply Nation 51% cert (1-July deadline) and FAC/IBA eligibility. Needs one approved entity-wording block + a decided transition path.</w:t>
      </w:r>
      <w:r>
        <w:t xml:space="preserve"> </w:t>
      </w:r>
      <w:r>
        <w:t xml:space="preserve">2.</w:t>
      </w:r>
      <w:r>
        <w:t xml:space="preserve"> </w:t>
      </w:r>
      <w:r>
        <w:rPr>
          <w:b/>
        </w:rPr>
        <w:t xml:space="preserve">0 signed LOIs</w:t>
      </w:r>
      <w:r>
        <w:t xml:space="preserve"> </w:t>
      </w:r>
      <w:r>
        <w:t xml:space="preserve">— the match gate is open. One signed procurement/offtake LOI fixes both the match and the weak-commercial-paperwork gap.</w:t>
      </w:r>
      <w:r>
        <w:t xml:space="preserve"> </w:t>
      </w:r>
      <w:r>
        <w:t xml:space="preserve">3.</w:t>
      </w:r>
      <w:r>
        <w:t xml:space="preserve"> </w:t>
      </w:r>
      <w:r>
        <w:rPr>
          <w:b/>
        </w:rPr>
        <w:t xml:space="preserve">Financial reconciliation + founder-time costing</w:t>
      </w:r>
      <w:r>
        <w:t xml:space="preserve"> </w:t>
      </w:r>
      <w:r>
        <w:t xml:space="preserve">— three revenue cuts → one accountant-reviewed Goods-only figure; cost founder time at fair-market rate; no cashflow-buffer policy yet.</w:t>
      </w:r>
      <w:r>
        <w:t xml:space="preserve"> </w:t>
      </w:r>
      <w:r>
        <w:t xml:space="preserve">4.</w:t>
      </w:r>
      <w:r>
        <w:t xml:space="preserve"> </w:t>
      </w:r>
      <w:r>
        <w:rPr>
          <w:b/>
        </w:rPr>
        <w:t xml:space="preserve">Governance for the new entity</w:t>
      </w:r>
      <w:r>
        <w:t xml:space="preserve"> </w:t>
      </w:r>
      <w:r>
        <w:t xml:space="preserve">— advisory ≠ board; need 1–2 directors with commercial/scale-up experience; reports not audited.</w:t>
      </w:r>
      <w:r>
        <w:t xml:space="preserve"> </w:t>
      </w:r>
      <w:r>
        <w:t xml:space="preserve">5.</w:t>
      </w:r>
      <w:r>
        <w:t xml:space="preserve"> </w:t>
      </w:r>
      <w:r>
        <w:rPr>
          <w:b/>
        </w:rPr>
        <w:t xml:space="preserve">Public-copy accuracy + consent-cleared story list</w:t>
      </w:r>
      <w:r>
        <w:t xml:space="preserve"> </w:t>
      </w:r>
      <w:r>
        <w:t xml:space="preserve">— separate verified from modelled on every metric; rotate plaintext passwords out of Notion.</w:t>
      </w:r>
    </w:p>
    <w:p>
      <w:r>
        <w:pict>
          <v:rect style="width:0;height:1.5pt" o:hralign="center" o:hrstd="t" o:hr="t"/>
        </w:pict>
      </w:r>
    </w:p>
    <w:p>
      <w:pPr>
        <w:pStyle w:val="Heading2"/>
      </w:pPr>
      <w:bookmarkStart w:id="41" w:name="X1f9d3713c0eb56c1b128c0a09bdc9cf66edef2d"/>
      <w:r>
        <w:t xml:space="preserve">10. Contradictions ledger — fix before external use</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Resolution for this pack</w:t>
            </w:r>
          </w:p>
        </w:tc>
      </w:tr>
      <w:tr>
        <w:tc>
          <w:p>
            <w:pPr>
              <w:pStyle w:val="Compact"/>
              <w:jc w:val="left"/>
            </w:pPr>
            <w:r>
              <w:t xml:space="preserve">1</w:t>
            </w:r>
          </w:p>
        </w:tc>
        <w:tc>
          <w:p>
            <w:pPr>
              <w:pStyle w:val="Compact"/>
              <w:jc w:val="left"/>
            </w:pPr>
            <w:r>
              <w:t xml:space="preserve">Wiki product copy says legs</w:t>
            </w:r>
            <w:r>
              <w:t xml:space="preserve"> </w:t>
            </w:r>
            <w:r>
              <w:t xml:space="preserve">“</w:t>
            </w:r>
            <w:r>
              <w:t xml:space="preserve">click/slot onto poles</w:t>
            </w:r>
            <w:r>
              <w:t xml:space="preserve">”</w:t>
            </w:r>
          </w:p>
        </w:tc>
        <w:tc>
          <w:p>
            <w:pPr>
              <w:pStyle w:val="Compact"/>
              <w:jc w:val="left"/>
            </w:pPr>
            <w:r>
              <w:rPr>
                <w:b/>
              </w:rPr>
              <w:t xml:space="preserve">WRONG.</w:t>
            </w:r>
            <w:r>
              <w:t xml:space="preserve"> </w:t>
            </w:r>
            <w:r>
              <w:t xml:space="preserve">Use the X-trestle tension design (canvas is structural). Fix wiki separately.</w:t>
            </w:r>
          </w:p>
        </w:tc>
      </w:tr>
      <w:tr>
        <w:tc>
          <w:p>
            <w:pPr>
              <w:pStyle w:val="Compact"/>
              <w:jc w:val="left"/>
            </w:pPr>
            <w:r>
              <w:t xml:space="preserve">2</w:t>
            </w:r>
          </w:p>
        </w:tc>
        <w:tc>
          <w:p>
            <w:pPr>
              <w:pStyle w:val="Compact"/>
              <w:jc w:val="left"/>
            </w:pPr>
            <w:r>
              <w:t xml:space="preserve">Bed counts: 496 vs 412 vs 369</w:t>
            </w:r>
          </w:p>
        </w:tc>
        <w:tc>
          <w:p>
            <w:pPr>
              <w:pStyle w:val="Compact"/>
              <w:jc w:val="left"/>
            </w:pPr>
            <w:r>
              <w:t xml:space="preserve">Use</w:t>
            </w:r>
            <w:r>
              <w:t xml:space="preserve"> </w:t>
            </w:r>
            <w:r>
              <w:rPr>
                <w:b/>
              </w:rPr>
              <w:t xml:space="preserve">496 deployed [VERIFIED, 29 May 2026]</w:t>
            </w:r>
            <w:r>
              <w:t xml:space="preserve">; label source; never blend baselines.</w:t>
            </w:r>
          </w:p>
        </w:tc>
      </w:tr>
      <w:tr>
        <w:tc>
          <w:p>
            <w:pPr>
              <w:pStyle w:val="Compact"/>
              <w:jc w:val="left"/>
            </w:pPr>
            <w:r>
              <w:t xml:space="preserve">3</w:t>
            </w:r>
          </w:p>
        </w:tc>
        <w:tc>
          <w:p>
            <w:pPr>
              <w:pStyle w:val="Compact"/>
              <w:jc w:val="left"/>
            </w:pPr>
            <w:r>
              <w:t xml:space="preserve">Plastic: 9,920 / 9,225 vs 2,660 kg</w:t>
            </w:r>
          </w:p>
        </w:tc>
        <w:tc>
          <w:p>
            <w:pPr>
              <w:pStyle w:val="Compact"/>
              <w:jc w:val="left"/>
            </w:pPr>
            <w:r>
              <w:t xml:space="preserve">Use</w:t>
            </w:r>
            <w:r>
              <w:t xml:space="preserve"> </w:t>
            </w:r>
            <w:r>
              <w:rPr>
                <w:b/>
              </w:rPr>
              <w:t xml:space="preserve">2,660 kg (Stretch only) [VERIFIED]</w:t>
            </w:r>
            <w:r>
              <w:t xml:space="preserve">; retire the higher figures.</w:t>
            </w:r>
          </w:p>
        </w:tc>
      </w:tr>
      <w:tr>
        <w:tc>
          <w:p>
            <w:pPr>
              <w:pStyle w:val="Compact"/>
              <w:jc w:val="left"/>
            </w:pPr>
            <w:r>
              <w:t xml:space="preserve">4</w:t>
            </w:r>
          </w:p>
        </w:tc>
        <w:tc>
          <w:p>
            <w:pPr>
              <w:pStyle w:val="Compact"/>
              <w:jc w:val="left"/>
            </w:pPr>
            <w:r>
              <w:t xml:space="preserve">Revenue: $649,710.79 / $732,210.79 / $537,595 / $405,685</w:t>
            </w:r>
          </w:p>
        </w:tc>
        <w:tc>
          <w:p>
            <w:pPr>
              <w:pStyle w:val="Compact"/>
              <w:jc w:val="left"/>
            </w:pPr>
            <w:r>
              <w:t xml:space="preserve">Use</w:t>
            </w:r>
            <w:r>
              <w:t xml:space="preserve"> </w:t>
            </w:r>
            <w:r>
              <w:rPr>
                <w:b/>
              </w:rPr>
              <w:t xml:space="preserve">received $649,710.79 [WORKPAPER]</w:t>
            </w:r>
            <w:r>
              <w:t xml:space="preserve"> </w:t>
            </w:r>
            <w:r>
              <w:t xml:space="preserve">for billing view,</w:t>
            </w:r>
            <w:r>
              <w:t xml:space="preserve"> </w:t>
            </w:r>
            <w:r>
              <w:rPr>
                <w:b/>
              </w:rPr>
              <w:t xml:space="preserve">$405,685</w:t>
            </w:r>
            <w:r>
              <w:t xml:space="preserve"> </w:t>
            </w:r>
            <w:r>
              <w:t xml:space="preserve">for grants-received; never</w:t>
            </w:r>
            <w:r>
              <w:t xml:space="preserve"> </w:t>
            </w:r>
            <w:r>
              <w:t xml:space="preserve">“</w:t>
            </w:r>
            <w:r>
              <w:t xml:space="preserve">audited</w:t>
            </w:r>
            <w:r>
              <w:t xml:space="preserve">”</w:t>
            </w:r>
            <w:r>
              <w:t xml:space="preserve">.</w:t>
            </w:r>
          </w:p>
        </w:tc>
      </w:tr>
      <w:tr>
        <w:tc>
          <w:p>
            <w:pPr>
              <w:pStyle w:val="Compact"/>
              <w:jc w:val="left"/>
            </w:pPr>
            <w:r>
              <w:t xml:space="preserve">5</w:t>
            </w:r>
          </w:p>
        </w:tc>
        <w:tc>
          <w:p>
            <w:pPr>
              <w:pStyle w:val="Compact"/>
              <w:jc w:val="left"/>
            </w:pPr>
            <w:r>
              <w:t xml:space="preserve">Capital stack differs: catalytic-capital.md (PFI $640K, Mindaroo $200K, QBE $400K) vs deck (Snow + SEFA $300K + QBE up to $400K + philanthropy $500K)</w:t>
            </w:r>
          </w:p>
        </w:tc>
        <w:tc>
          <w:p>
            <w:pPr>
              <w:pStyle w:val="Compact"/>
              <w:jc w:val="left"/>
            </w:pPr>
            <w:r>
              <w:t xml:space="preserve">Use the</w:t>
            </w:r>
            <w:r>
              <w:t xml:space="preserve"> </w:t>
            </w:r>
            <w:r>
              <w:rPr>
                <w:b/>
              </w:rPr>
              <w:t xml:space="preserve">deck stack</w:t>
            </w:r>
            <w:r>
              <w:t xml:space="preserve"> </w:t>
            </w:r>
            <w:r>
              <w:t xml:space="preserve">as primary (it is the adversarially-reviewed version). Note PFI/Minderoo as relationship-stage pipeline, not in the headline ask.</w:t>
            </w:r>
          </w:p>
        </w:tc>
      </w:tr>
      <w:tr>
        <w:tc>
          <w:p>
            <w:pPr>
              <w:pStyle w:val="Compact"/>
              <w:jc w:val="left"/>
            </w:pPr>
            <w:r>
              <w:t xml:space="preserve">6</w:t>
            </w:r>
          </w:p>
        </w:tc>
        <w:tc>
          <w:p>
            <w:pPr>
              <w:pStyle w:val="Compact"/>
              <w:jc w:val="left"/>
            </w:pPr>
            <w:r>
              <w:t xml:space="preserve">Unit cost-down $425.74/$270.74</w:t>
            </w:r>
          </w:p>
        </w:tc>
        <w:tc>
          <w:p>
            <w:pPr>
              <w:pStyle w:val="Compact"/>
              <w:jc w:val="left"/>
            </w:pPr>
            <w:r>
              <w:t xml:space="preserve">Always [MODELLED], 0 beds in-house. Frame as the hypothesis the capital tests.</w:t>
            </w:r>
          </w:p>
        </w:tc>
      </w:tr>
      <w:tr>
        <w:tc>
          <w:p>
            <w:pPr>
              <w:pStyle w:val="Compact"/>
              <w:jc w:val="left"/>
            </w:pPr>
            <w:r>
              <w:t xml:space="preserve">7</w:t>
            </w:r>
          </w:p>
        </w:tc>
        <w:tc>
          <w:p>
            <w:pPr>
              <w:pStyle w:val="Compact"/>
              <w:jc w:val="left"/>
            </w:pPr>
            <w:r>
              <w:t xml:space="preserve">QBE match cap $200K vs $400K</w:t>
            </w:r>
          </w:p>
        </w:tc>
        <w:tc>
          <w:p>
            <w:pPr>
              <w:pStyle w:val="Compact"/>
              <w:jc w:val="left"/>
            </w:pPr>
            <w:r>
              <w:rPr>
                <w:b/>
              </w:rPr>
              <w:t xml:space="preserve">RESOLVED 2026-06-13 from program docs (EOI, Letter to Funders 1 Apr 2026, Induction slides).</w:t>
            </w:r>
            <w:r>
              <w:t xml:space="preserve"> </w:t>
            </w:r>
            <w:r>
              <w:t xml:space="preserve">Cap is</w:t>
            </w:r>
            <w:r>
              <w:t xml:space="preserve"> </w:t>
            </w:r>
            <w:r>
              <w:rPr>
                <w:b/>
              </w:rPr>
              <w:t xml:space="preserve">AU$400,000 per enterprise from a $1M pool</w:t>
            </w:r>
            <w:r>
              <w:t xml:space="preserve">,</w:t>
            </w:r>
            <w:r>
              <w:t xml:space="preserve"> </w:t>
            </w:r>
            <w:r>
              <w:rPr>
                <w:b/>
              </w:rPr>
              <w:t xml:space="preserve">at least 1:1 matched to secured external investment</w:t>
            </w:r>
            <w:r>
              <w:t xml:space="preserve"> </w:t>
            </w:r>
            <w:r>
              <w:t xml:space="preserve">(more is better),</w:t>
            </w:r>
            <w:r>
              <w:t xml:space="preserve"> </w:t>
            </w:r>
            <w:r>
              <w:rPr>
                <w:b/>
              </w:rPr>
              <w:t xml:space="preserve">repayable finance prioritised over grants</w:t>
            </w:r>
            <w:r>
              <w:t xml:space="preserve">. Match must be</w:t>
            </w:r>
            <w:r>
              <w:t xml:space="preserve"> </w:t>
            </w:r>
            <w:r>
              <w:rPr>
                <w:b/>
              </w:rPr>
              <w:t xml:space="preserve">legally binding</w:t>
            </w:r>
            <w:r>
              <w:t xml:space="preserve"> </w:t>
            </w:r>
            <w:r>
              <w:t xml:space="preserve">(letters of commitment / loan / investment agreements) and is</w:t>
            </w:r>
            <w:r>
              <w:t xml:space="preserve"> </w:t>
            </w:r>
            <w:r>
              <w:rPr>
                <w:b/>
              </w:rPr>
              <w:t xml:space="preserve">verified by SIH</w:t>
            </w:r>
            <w:r>
              <w:t xml:space="preserve"> </w:t>
            </w:r>
            <w:r>
              <w:t xml:space="preserve">at the Sept 2026 application; conditional grants possible if match isn’t fully locked.</w:t>
            </w:r>
            <w:r>
              <w:t xml:space="preserve"> </w:t>
            </w:r>
            <w:r>
              <w:rPr>
                <w:b/>
              </w:rPr>
              <w:t xml:space="preserve">Stop modelling at $200K — use $400K with the 1:1 rule.</w:t>
            </w:r>
            <w:r>
              <w:t xml:space="preserve"> </w:t>
            </w:r>
            <w:r>
              <w:t xml:space="preserve">Propagate to memo §4, one-pager, deck slide 11, next-stage focus.</w:t>
            </w:r>
          </w:p>
        </w:tc>
      </w:tr>
      <w:tr>
        <w:tc>
          <w:p>
            <w:pPr>
              <w:pStyle w:val="Compact"/>
              <w:jc w:val="left"/>
            </w:pPr>
            <w:r>
              <w:t xml:space="preserve">14</w:t>
            </w:r>
          </w:p>
        </w:tc>
        <w:tc>
          <w:p>
            <w:pPr>
              <w:pStyle w:val="Compact"/>
              <w:jc w:val="left"/>
            </w:pPr>
            <w:r>
              <w:t xml:space="preserve">EOI on record (submitted 2 Feb 2026) states a</w:t>
            </w:r>
            <w:r>
              <w:t xml:space="preserve"> </w:t>
            </w:r>
            <w:r>
              <w:rPr>
                <w:b/>
              </w:rPr>
              <w:t xml:space="preserve">$210K</w:t>
            </w:r>
            <w:r>
              <w:t xml:space="preserve"> </w:t>
            </w:r>
            <w:r>
              <w:t xml:space="preserve">capital target with</w:t>
            </w:r>
            <w:r>
              <w:t xml:space="preserve"> </w:t>
            </w:r>
            <w:r>
              <w:rPr>
                <w:b/>
              </w:rPr>
              <w:t xml:space="preserve">old figures</w:t>
            </w:r>
            <w:r>
              <w:t xml:space="preserve"> </w:t>
            </w:r>
            <w:r>
              <w:t xml:space="preserve">(369 beds / 8 communities / 25 kg per bed / 9,225 kg / 40% profit share)</w:t>
            </w:r>
          </w:p>
        </w:tc>
        <w:tc>
          <w:p>
            <w:pPr>
              <w:pStyle w:val="Compact"/>
              <w:jc w:val="left"/>
            </w:pPr>
            <w:r>
              <w:t xml:space="preserve">The EOI is the historical entry, not a current claim. Our reconciled canon (496 / 9 / 20 kg / 2,660 kg) supersedes it. The Stage 2 ask (AU$900K–1M blended; first ~$400K signed) is deliberately larger than the EOI — fine, but be aware Stage 2 diligence may compare against the EOI. Do not restate the old EOI figures externally.</w:t>
            </w:r>
          </w:p>
        </w:tc>
      </w:tr>
      <w:tr>
        <w:tc>
          <w:p>
            <w:pPr>
              <w:pStyle w:val="Compact"/>
              <w:jc w:val="left"/>
            </w:pPr>
            <w:r>
              <w:t xml:space="preserve">15</w:t>
            </w:r>
          </w:p>
        </w:tc>
        <w:tc>
          <w:p>
            <w:pPr>
              <w:pStyle w:val="Compact"/>
              <w:jc w:val="left"/>
            </w:pPr>
            <w:r>
              <w:t xml:space="preserve">Stage 2 requires</w:t>
            </w:r>
            <w:r>
              <w:t xml:space="preserve"> </w:t>
            </w:r>
            <w:r>
              <w:rPr>
                <w:b/>
              </w:rPr>
              <w:t xml:space="preserve">audited or accountant-endorsed</w:t>
            </w:r>
            <w:r>
              <w:t xml:space="preserve"> </w:t>
            </w:r>
            <w:r>
              <w:t xml:space="preserve">financials +</w:t>
            </w:r>
            <w:r>
              <w:t xml:space="preserve"> </w:t>
            </w:r>
            <w:r>
              <w:rPr>
                <w:b/>
              </w:rPr>
              <w:t xml:space="preserve">legally-binding</w:t>
            </w:r>
            <w:r>
              <w:t xml:space="preserve"> </w:t>
            </w:r>
            <w:r>
              <w:t xml:space="preserve">match evidence by</w:t>
            </w:r>
            <w:r>
              <w:t xml:space="preserve"> </w:t>
            </w:r>
            <w:r>
              <w:rPr>
                <w:b/>
              </w:rPr>
              <w:t xml:space="preserve">September 2026</w:t>
            </w:r>
          </w:p>
        </w:tc>
        <w:tc>
          <w:p>
            <w:pPr>
              <w:pStyle w:val="Compact"/>
              <w:jc w:val="left"/>
            </w:pPr>
            <w:r>
              <w:t xml:space="preserve">This sharpens the Area 04 P0: the accountant carve-out/endorsement is now a hard Stage-2 gate, not just good practice. Converting pipeline → signed commitments before September is the critical path.</w:t>
            </w:r>
          </w:p>
        </w:tc>
      </w:tr>
      <w:tr>
        <w:tc>
          <w:p>
            <w:pPr>
              <w:pStyle w:val="Compact"/>
              <w:jc w:val="left"/>
            </w:pPr>
            <w:r>
              <w:t xml:space="preserve">8</w:t>
            </w:r>
          </w:p>
        </w:tc>
        <w:tc>
          <w:p>
            <w:pPr>
              <w:pStyle w:val="Compact"/>
              <w:jc w:val="left"/>
            </w:pPr>
            <w:r>
              <w:t xml:space="preserve">40% community profit share</w:t>
            </w:r>
          </w:p>
        </w:tc>
        <w:tc>
          <w:p>
            <w:pPr>
              <w:pStyle w:val="Compact"/>
              <w:jc w:val="left"/>
            </w:pPr>
            <w:r>
              <w:t xml:space="preserve">Placeholder concept, not committed. Say</w:t>
            </w:r>
            <w:r>
              <w:t xml:space="preserve"> </w:t>
            </w:r>
            <w:r>
              <w:t xml:space="preserve">“</w:t>
            </w:r>
            <w:r>
              <w:t xml:space="preserve">principle settled, mechanism not.</w:t>
            </w:r>
            <w:r>
              <w:t xml:space="preserve">”</w:t>
            </w:r>
          </w:p>
        </w:tc>
      </w:tr>
      <w:tr>
        <w:tc>
          <w:p>
            <w:pPr>
              <w:pStyle w:val="Compact"/>
              <w:jc w:val="left"/>
            </w:pPr>
            <w:r>
              <w:t xml:space="preserve">9</w:t>
            </w:r>
          </w:p>
        </w:tc>
        <w:tc>
          <w:p>
            <w:pPr>
              <w:pStyle w:val="Compact"/>
              <w:jc w:val="left"/>
            </w:pPr>
            <w:r>
              <w:t xml:space="preserve">DGR1 status /</w:t>
            </w:r>
            <w:r>
              <w:t xml:space="preserve"> </w:t>
            </w:r>
            <w:r>
              <w:t xml:space="preserve">“</w:t>
            </w:r>
            <w:r>
              <w:t xml:space="preserve">community-owned production</w:t>
            </w:r>
            <w:r>
              <w:t xml:space="preserve">”</w:t>
            </w:r>
            <w:r>
              <w:t xml:space="preserve"> </w:t>
            </w:r>
            <w:r>
              <w:t xml:space="preserve">today</w:t>
            </w:r>
          </w:p>
        </w:tc>
        <w:tc>
          <w:p>
            <w:pPr>
              <w:pStyle w:val="Compact"/>
              <w:jc w:val="left"/>
            </w:pPr>
            <w:r>
              <w:t xml:space="preserve">DGR not live (FY2026-27); community ownership is the north star/pathway, not current state.</w:t>
            </w:r>
          </w:p>
        </w:tc>
      </w:tr>
      <w:tr>
        <w:tc>
          <w:p>
            <w:pPr>
              <w:pStyle w:val="Compact"/>
              <w:jc w:val="left"/>
            </w:pPr>
            <w:r>
              <w:t xml:space="preserve">10</w:t>
            </w:r>
          </w:p>
        </w:tc>
        <w:tc>
          <w:p>
            <w:pPr>
              <w:pStyle w:val="Compact"/>
              <w:jc w:val="left"/>
            </w:pPr>
            <w:r>
              <w:t xml:space="preserve">$16.56M / 103 Notion opportunities;</w:t>
            </w:r>
            <w:r>
              <w:t xml:space="preserve"> </w:t>
            </w:r>
            <w:r>
              <w:t xml:space="preserve">“</w:t>
            </w:r>
            <w:r>
              <w:t xml:space="preserve">Won CRM</w:t>
            </w:r>
            <w:r>
              <w:t xml:space="preserve">”</w:t>
            </w:r>
            <w:r>
              <w:t xml:space="preserve"> </w:t>
            </w:r>
            <w:r>
              <w:t xml:space="preserve">$898,863</w:t>
            </w:r>
          </w:p>
        </w:tc>
        <w:tc>
          <w:p>
            <w:pPr>
              <w:pStyle w:val="Compact"/>
              <w:jc w:val="left"/>
            </w:pPr>
            <w:r>
              <w:t xml:space="preserve">Internal pipeline intelligence only — exclude from external materials.</w:t>
            </w:r>
          </w:p>
        </w:tc>
      </w:tr>
      <w:tr>
        <w:tc>
          <w:p>
            <w:pPr>
              <w:pStyle w:val="Compact"/>
              <w:jc w:val="left"/>
            </w:pPr>
            <w:r>
              <w:t xml:space="preserve">11</w:t>
            </w:r>
          </w:p>
        </w:tc>
        <w:tc>
          <w:p>
            <w:pPr>
              <w:pStyle w:val="Compact"/>
              <w:jc w:val="left"/>
            </w:pPr>
            <w:r>
              <w:t xml:space="preserve">Market files (GO_TO_MARKET, MARKET_INTELLIGENCE)</w:t>
            </w:r>
          </w:p>
        </w:tc>
        <w:tc>
          <w:p>
            <w:pPr>
              <w:pStyle w:val="Compact"/>
              <w:jc w:val="left"/>
            </w:pPr>
            <w:r>
              <w:t xml:space="preserve">DRAFT v1, un-ground-truthed. Present sizing as direction; flag the $3M supplier as unconfirmed.</w:t>
            </w:r>
          </w:p>
        </w:tc>
      </w:tr>
      <w:tr>
        <w:tc>
          <w:p>
            <w:pPr>
              <w:pStyle w:val="Compact"/>
              <w:jc w:val="left"/>
            </w:pPr>
            <w:r>
              <w:t xml:space="preserve">12</w:t>
            </w:r>
          </w:p>
        </w:tc>
        <w:tc>
          <w:p>
            <w:pPr>
              <w:pStyle w:val="Compact"/>
              <w:jc w:val="left"/>
            </w:pPr>
            <w:r>
              <w:rPr>
                <w:b/>
              </w:rPr>
              <w:t xml:space="preserve">Communities: this pack says 10; the live QBE Notion reviewer-safe copy (1 Jun 2026) says</w:t>
            </w:r>
            <w:r>
              <w:rPr>
                <w:b/>
              </w:rPr>
              <w:t xml:space="preserve"> </w:t>
            </w:r>
            <w:r>
              <w:rPr>
                <w:b/>
              </w:rPr>
              <w:t xml:space="preserve">“</w:t>
            </w:r>
            <w:r>
              <w:rPr>
                <w:b/>
              </w:rPr>
              <w:t xml:space="preserve">9 served communities</w:t>
            </w:r>
            <w:r>
              <w:rPr>
                <w:b/>
              </w:rPr>
              <w:t xml:space="preserve">”</w:t>
            </w:r>
          </w:p>
        </w:tc>
        <w:tc>
          <w:p>
            <w:pPr>
              <w:pStyle w:val="Compact"/>
              <w:jc w:val="left"/>
            </w:pPr>
            <w:r>
              <w:rPr>
                <w:b/>
              </w:rPr>
              <w:t xml:space="preserve">RESOLVED 2026-06-13: founder confirmed — use 9 served communities externally. Propagated across pack.</w:t>
            </w:r>
          </w:p>
        </w:tc>
      </w:tr>
      <w:tr>
        <w:tc>
          <w:p>
            <w:pPr>
              <w:pStyle w:val="Compact"/>
              <w:jc w:val="left"/>
            </w:pPr>
            <w:r>
              <w:t xml:space="preserve">13</w:t>
            </w:r>
          </w:p>
        </w:tc>
        <w:tc>
          <w:p>
            <w:pPr>
              <w:pStyle w:val="Compact"/>
              <w:jc w:val="left"/>
            </w:pPr>
            <w:r>
              <w:rPr>
                <w:b/>
              </w:rPr>
              <w:t xml:space="preserve">Revenue drift: pack uses received $649,710.79 / billed $732,210.79 (29 May); live Notion check (1 Jun) is paid $650,910.79 / raised $733,410.79</w:t>
            </w:r>
          </w:p>
        </w:tc>
        <w:tc>
          <w:p>
            <w:pPr>
              <w:pStyle w:val="Compact"/>
              <w:jc w:val="left"/>
            </w:pPr>
            <w:r>
              <w:t xml:space="preserve">~$1,200 higher on both. Not an error — the figure moves as invoices clear. Confirms</w:t>
            </w:r>
            <w:r>
              <w:t xml:space="preserve"> </w:t>
            </w:r>
            <w:r>
              <w:t xml:space="preserve">“</w:t>
            </w:r>
            <w:r>
              <w:t xml:space="preserve">re-pull Xero before sending.</w:t>
            </w:r>
            <w:r>
              <w:t xml:space="preserve">”</w:t>
            </w:r>
            <w:r>
              <w:t xml:space="preserve"> </w:t>
            </w:r>
            <w:r>
              <w:t xml:space="preserve">Use the freshest pull on the send date.</w:t>
            </w:r>
          </w:p>
        </w:tc>
      </w:tr>
    </w:tbl>
    <w:p>
      <w:pPr>
        <w:pStyle w:val="BlockText"/>
      </w:pPr>
      <w:r>
        <w:rPr>
          <w:b/>
        </w:rPr>
        <w:t xml:space="preserve">Live-tracker note (added 2026-06-13).</w:t>
      </w:r>
      <w:r>
        <w:t xml:space="preserve"> </w:t>
      </w:r>
      <w:r>
        <w:t xml:space="preserve">The QBE Diagnostic Artifact Database (Notion, under Goods. HQ → Projects) shows all 12 areas at</w:t>
      </w:r>
      <w:r>
        <w:t xml:space="preserve"> </w:t>
      </w:r>
      <w:r>
        <w:rPr>
          <w:b/>
        </w:rPr>
        <w:t xml:space="preserve">“</w:t>
      </w:r>
      <w:r>
        <w:rPr>
          <w:b/>
        </w:rPr>
        <w:t xml:space="preserve">Built — needs review</w:t>
      </w:r>
      <w:r>
        <w:rPr>
          <w:b/>
        </w:rPr>
        <w:t xml:space="preserve">”</w:t>
      </w:r>
      <w:r>
        <w:t xml:space="preserve"> </w:t>
      </w:r>
      <w:r>
        <w:t xml:space="preserve">— none</w:t>
      </w:r>
      <w:r>
        <w:t xml:space="preserve"> </w:t>
      </w:r>
      <w:r>
        <w:t xml:space="preserve">“</w:t>
      </w:r>
      <w:r>
        <w:t xml:space="preserve">Ready to share</w:t>
      </w:r>
      <w:r>
        <w:t xml:space="preserve">”</w:t>
      </w:r>
      <w:r>
        <w:t xml:space="preserve">. The pack is consistent with that: present nothing as final/approved. Good news to fold in: HighLevel API re-verified 10 Jun 2026, and the</w:t>
      </w:r>
      <w:r>
        <w:t xml:space="preserve"> </w:t>
      </w:r>
      <w:r>
        <w:rPr>
          <w:b/>
        </w:rPr>
        <w:t xml:space="preserve">signed/eligible commitment register is now live in CivicGraph (</w:t>
      </w:r>
      <w:r>
        <w:rPr>
          <w:b/>
        </w:rPr>
        <w:t xml:space="preserve">“</w:t>
      </w:r>
      <w:r>
        <w:rPr>
          <w:b/>
        </w:rPr>
        <w:t xml:space="preserve">Match Campaign</w:t>
      </w:r>
      <w:r>
        <w:rPr>
          <w:b/>
        </w:rPr>
        <w:t xml:space="preserve">”</w:t>
      </w:r>
      <w:r>
        <w:rPr>
          <w:b/>
        </w:rPr>
        <w:t xml:space="preserve"> </w:t>
      </w:r>
      <w:r>
        <w:rPr>
          <w:b/>
        </w:rPr>
        <w:t xml:space="preserve">tab)</w:t>
      </w:r>
      <w:r>
        <w:t xml:space="preserve"> </w:t>
      </w:r>
      <w:r>
        <w:t xml:space="preserve">— that is the real home for the deck’s</w:t>
      </w:r>
      <w:r>
        <w:t xml:space="preserve"> </w:t>
      </w:r>
      <w:r>
        <w:t xml:space="preserve">“</w:t>
      </w:r>
      <w:r>
        <w:t xml:space="preserve">round assembling in real time</w:t>
      </w:r>
      <w:r>
        <w:t xml:space="preserve">”</w:t>
      </w:r>
      <w:r>
        <w:t xml:space="preserve"> </w:t>
      </w:r>
      <w:r>
        <w:t xml:space="preserve">slide.</w:t>
      </w:r>
    </w:p>
    <w:p>
      <w:r>
        <w:pict>
          <v:rect style="width:0;height:1.5pt" o:hralign="center" o:hrstd="t" o:hr="t"/>
        </w:pict>
      </w:r>
    </w:p>
    <w:p>
      <w:pPr>
        <w:pStyle w:val="Heading2"/>
      </w:pPr>
      <w:bookmarkStart w:id="42" w:name="pre-send-checklist-nothing-ships-until"/>
      <w:r>
        <w:t xml:space="preserve">11. Pre-send checklist (nothing ships until)</w:t>
      </w:r>
      <w:bookmarkEnd w:id="42"/>
    </w:p>
    <w:p>
      <w:pPr>
        <w:numPr>
          <w:ilvl w:val="0"/>
          <w:numId w:val="1004"/>
        </w:numPr>
        <w:pStyle w:val="Compact"/>
      </w:pPr>
      <w:r>
        <w:t xml:space="preserve">☐ A core team member has audited each external number and can defend it in live Q&amp;A.</w:t>
      </w:r>
    </w:p>
    <w:p>
      <w:pPr>
        <w:numPr>
          <w:ilvl w:val="0"/>
          <w:numId w:val="1004"/>
        </w:numPr>
        <w:pStyle w:val="Compact"/>
      </w:pPr>
      <w:r>
        <w:t xml:space="preserve">☐ Re-pull Xero immediately before sending (received/billed figures move).</w:t>
      </w:r>
    </w:p>
    <w:p>
      <w:pPr>
        <w:numPr>
          <w:ilvl w:val="0"/>
          <w:numId w:val="1004"/>
        </w:numPr>
        <w:pStyle w:val="Compact"/>
      </w:pPr>
      <w:r>
        <w:t xml:space="preserve">☐ Refresh CRM/pipeline (last updated 2026-03-26/27 — stale).</w:t>
      </w:r>
    </w:p>
    <w:p>
      <w:pPr>
        <w:numPr>
          <w:ilvl w:val="0"/>
          <w:numId w:val="1004"/>
        </w:numPr>
        <w:pStyle w:val="Compact"/>
      </w:pPr>
      <w:r>
        <w:t xml:space="preserve">☐ Team slide carries named roles — no placeholders.</w:t>
      </w:r>
    </w:p>
    <w:p>
      <w:pPr>
        <w:numPr>
          <w:ilvl w:val="0"/>
          <w:numId w:val="1004"/>
        </w:numPr>
        <w:pStyle w:val="Compact"/>
      </w:pPr>
      <w:r>
        <w:t xml:space="preserve">☐ Only consent-cleared voices/photos used (Ivy Johnson + Dianne Stokes safe; others pending).</w:t>
      </w:r>
    </w:p>
    <w:p>
      <w:pPr>
        <w:numPr>
          <w:ilvl w:val="0"/>
          <w:numId w:val="1004"/>
        </w:numPr>
        <w:pStyle w:val="Compact"/>
      </w:pPr>
      <w:r>
        <w:t xml:space="preserve">☐ Legal-structure wording block approved by Nicholas/Keith Rovers.</w:t>
      </w:r>
    </w:p>
    <w:p>
      <w:r>
        <w:br w:type="page"/>
      </w:r>
    </w:p>
    <w:p>
      <w:pPr>
        <w:pStyle w:val="Heading1"/>
      </w:pPr>
      <w:bookmarkStart w:id="43" w:name="diagnostic-closure-map"/>
      <w:r>
        <w:t xml:space="preserve">Diagnostic Closure Map</w:t>
      </w:r>
      <w:bookmarkEnd w:id="43"/>
    </w:p>
    <w:p>
      <w:pPr>
        <w:pStyle w:val="Heading1"/>
      </w:pPr>
      <w:bookmarkStart w:id="44" w:name="diagnostic-closure-map-1"/>
      <w:r>
        <w:t xml:space="preserve">Diagnostic closure map</w:t>
      </w:r>
      <w:bookmarkEnd w:id="44"/>
    </w:p>
    <w:p>
      <w:pPr>
        <w:pStyle w:val="BlockText"/>
      </w:pPr>
      <w:r>
        <w:rPr>
          <w:b/>
        </w:rPr>
        <w:t xml:space="preserve">What this is.</w:t>
      </w:r>
      <w:r>
        <w:t xml:space="preserve"> </w:t>
      </w:r>
      <w:r>
        <w:t xml:space="preserve">The SIH diagnostic (workshop 1 May 2026) scored Goods across 10 areas and made 6 prioritised recommendations plus 2 named projects. This map pairs each one with the artifact in this pack that closes it, scores how close we are, and names the gap that remains. It is the</w:t>
      </w:r>
      <w:r>
        <w:t xml:space="preserve"> </w:t>
      </w:r>
      <w:r>
        <w:t xml:space="preserve">“</w:t>
      </w:r>
      <w:r>
        <w:t xml:space="preserve">have we done the things</w:t>
      </w:r>
      <w:r>
        <w:t xml:space="preserve">”</w:t>
      </w:r>
      <w:r>
        <w:t xml:space="preserve"> </w:t>
      </w:r>
      <w:r>
        <w:t xml:space="preserve">check.</w:t>
      </w:r>
    </w:p>
    <w:p>
      <w:pPr>
        <w:pStyle w:val="BlockText"/>
      </w:pPr>
      <w:r>
        <w:rPr>
          <w:b/>
        </w:rPr>
        <w:t xml:space="preserve">The honest headline.</w:t>
      </w:r>
      <w:r>
        <w:t xml:space="preserve"> </w:t>
      </w:r>
      <w:r>
        <w:t xml:space="preserve">The</w:t>
      </w:r>
      <w:r>
        <w:t xml:space="preserve"> </w:t>
      </w:r>
      <w:r>
        <w:rPr>
          <w:i/>
        </w:rPr>
        <w:t xml:space="preserve">documentation</w:t>
      </w:r>
      <w:r>
        <w:t xml:space="preserve"> </w:t>
      </w:r>
      <w:r>
        <w:t xml:space="preserve">the diagnostic asked for is now largely built — two of the six recommendations are delivered in draft (MEL framework, risk register), the financial model already exists and is strong, and the investor materials are done. What remains is not more writing. It is five real-world proofs only humans can produce (a signed dollar, accountant-endorsed financials, the legal-entity decision, a measured in-source cost, consent-cleared stories) plus two SIH/QBE-run projects.</w:t>
      </w:r>
    </w:p>
    <w:p>
      <w:r>
        <w:pict>
          <v:rect style="width:0;height:1.5pt" o:hralign="center" o:hrstd="t" o:hr="t"/>
        </w:pict>
      </w:r>
    </w:p>
    <w:p>
      <w:pPr>
        <w:pStyle w:val="Heading2"/>
      </w:pPr>
      <w:bookmarkStart w:id="45" w:name="Xeba2718eb2970aa0b4a2c788ecbb239a8ca2767"/>
      <w:r>
        <w:t xml:space="preserve">Two corrections the source documents force</w:t>
      </w:r>
      <w:bookmarkEnd w:id="45"/>
    </w:p>
    <w:p>
      <w:pPr>
        <w:pStyle w:val="FirstParagraph"/>
      </w:pPr>
      <w:r>
        <w:rPr>
          <w:b/>
        </w:rPr>
        <w:t xml:space="preserve">1. The QBE match is AU$400,000, not $200,000.</w:t>
      </w:r>
      <w:r>
        <w:t xml:space="preserve"> </w:t>
      </w:r>
      <w:r>
        <w:t xml:space="preserve">All three program documents agree: up to</w:t>
      </w:r>
      <w:r>
        <w:t xml:space="preserve"> </w:t>
      </w:r>
      <w:r>
        <w:rPr>
          <w:b/>
        </w:rPr>
        <w:t xml:space="preserve">$400K per enterprise from a $1M pool</w:t>
      </w:r>
      <w:r>
        <w:t xml:space="preserve">,</w:t>
      </w:r>
      <w:r>
        <w:t xml:space="preserve"> </w:t>
      </w:r>
      <w:r>
        <w:rPr>
          <w:b/>
        </w:rPr>
        <w:t xml:space="preserve">at least 1:1 matched to secured external investment</w:t>
      </w:r>
      <w:r>
        <w:t xml:space="preserve">,</w:t>
      </w:r>
      <w:r>
        <w:t xml:space="preserve"> </w:t>
      </w:r>
      <w:r>
        <w:rPr>
          <w:b/>
        </w:rPr>
        <w:t xml:space="preserve">repayable finance prioritised over grants</w:t>
      </w:r>
      <w:r>
        <w:t xml:space="preserve">, match evidence must be</w:t>
      </w:r>
      <w:r>
        <w:t xml:space="preserve"> </w:t>
      </w:r>
      <w:r>
        <w:rPr>
          <w:b/>
        </w:rPr>
        <w:t xml:space="preserve">legally binding</w:t>
      </w:r>
      <w:r>
        <w:t xml:space="preserve"> </w:t>
      </w:r>
      <w:r>
        <w:t xml:space="preserve">and is</w:t>
      </w:r>
      <w:r>
        <w:t xml:space="preserve"> </w:t>
      </w:r>
      <w:r>
        <w:rPr>
          <w:b/>
        </w:rPr>
        <w:t xml:space="preserve">verified by SIH</w:t>
      </w:r>
      <w:r>
        <w:t xml:space="preserve"> </w:t>
      </w:r>
      <w:r>
        <w:t xml:space="preserve">at the September 2026 application (conditional grants possible if the match isn’t fully locked). We had been modelling $200K as a conservative hedge. That hedge is no longer needed — model $400K with the 1:1 rule.</w:t>
      </w:r>
      <w:r>
        <w:t xml:space="preserve"> </w:t>
      </w:r>
      <w:r>
        <w:rPr>
          <w:i/>
        </w:rPr>
        <w:t xml:space="preserve">To propagate: memo §4, one-pager, deck slide 11, next-stage focus.</w:t>
      </w:r>
    </w:p>
    <w:p>
      <w:pPr>
        <w:pStyle w:val="BodyText"/>
      </w:pPr>
      <w:r>
        <w:rPr>
          <w:b/>
        </w:rPr>
        <w:t xml:space="preserve">2. The EOI is on record at a $210K target with old figures.</w:t>
      </w:r>
      <w:r>
        <w:t xml:space="preserve"> </w:t>
      </w:r>
      <w:r>
        <w:t xml:space="preserve">The Expression of Interest (submitted 2 Feb 2026) stated a $210K capital target and the superseded numbers (369 beds, 8 communities, 25 kg/bed, 9,225 kg, 40% profit share). Our reconciled canon (496 beds, 9 communities, 20 kg/bed, 2,660 kg) supersedes it, and the Stage 2 ask (AU$900K–1M blended) is deliberately larger. That is fine — the EOI is the entry ticket, not a binding cap — but Stage 2 diligence may read the EOI alongside the new materials, so the story needs to explain the growth, not contradict it.</w:t>
      </w:r>
    </w:p>
    <w:p>
      <w:r>
        <w:pict>
          <v:rect style="width:0;height:1.5pt" o:hralign="center" o:hrstd="t" o:hr="t"/>
        </w:pict>
      </w:r>
    </w:p>
    <w:p>
      <w:pPr>
        <w:pStyle w:val="Heading2"/>
      </w:pPr>
      <w:bookmarkStart w:id="46" w:name="Xef802d3ff11042adeb92551b41c0d3e6201abfc"/>
      <w:r>
        <w:t xml:space="preserve">The 10 areas — official score vs where we are now</w:t>
      </w:r>
      <w:bookmarkEnd w:id="46"/>
    </w:p>
    <w:p>
      <w:pPr>
        <w:pStyle w:val="FirstParagraph"/>
      </w:pPr>
      <w:r>
        <w:t xml:space="preserve">Diagnostic key: 0–2 initial · 3–4 developing · 5–7 defined/managed · 8–10 established/optimised.</w:t>
      </w:r>
      <w:r>
        <w:t xml:space="preserve"> </w:t>
      </w:r>
      <w:r>
        <w:t xml:space="preserve">“</w:t>
      </w:r>
      <w:r>
        <w:t xml:space="preserve">Priority</w:t>
      </w:r>
      <w:r>
        <w:t xml:space="preserve">”</w:t>
      </w:r>
      <w:r>
        <w:t xml:space="preserve"> </w:t>
      </w:r>
      <w:r>
        <w:t xml:space="preserve">= SIH-flagged focus area.</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Score (now→future, gap)</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What the diagnostic wanted</w:t>
            </w:r>
          </w:p>
        </w:tc>
        <w:tc>
          <w:tcPr>
            <w:tcBorders>
              <w:bottom w:val="single"/>
            </w:tcBorders>
            <w:vAlign w:val="bottom"/>
          </w:tcPr>
          <w:p>
            <w:pPr>
              <w:pStyle w:val="Compact"/>
              <w:jc w:val="left"/>
            </w:pPr>
            <w:r>
              <w:t xml:space="preserve">Our artifact</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Vision &amp; Ambition</w:t>
            </w:r>
          </w:p>
        </w:tc>
        <w:tc>
          <w:p>
            <w:pPr>
              <w:pStyle w:val="Compact"/>
              <w:jc w:val="left"/>
            </w:pPr>
            <w:r>
              <w:t xml:space="preserve">8→9 (1)</w:t>
            </w:r>
          </w:p>
        </w:tc>
        <w:tc>
          <w:p>
            <w:pPr>
              <w:pStyle w:val="Compact"/>
              <w:jc w:val="left"/>
            </w:pPr>
            <w:r>
              <w:t xml:space="preserve">—</w:t>
            </w:r>
          </w:p>
        </w:tc>
        <w:tc>
          <w:p>
            <w:pPr>
              <w:pStyle w:val="Compact"/>
              <w:jc w:val="left"/>
            </w:pPr>
            <w:r>
              <w:t xml:space="preserve">Map GOC ↔ ACT ↔ community-entity structure; convey founder depth in writing</w:t>
            </w:r>
          </w:p>
        </w:tc>
        <w:tc>
          <w:p>
            <w:pPr>
              <w:pStyle w:val="Compact"/>
              <w:jc w:val="left"/>
            </w:pPr>
            <w:r>
              <w:t xml:space="preserve">Memo §1–2, deck slides 1–6, entity-wording block</w:t>
            </w:r>
          </w:p>
        </w:tc>
        <w:tc>
          <w:p>
            <w:pPr>
              <w:pStyle w:val="Compact"/>
              <w:jc w:val="left"/>
            </w:pPr>
            <w:r>
              <w:t xml:space="preserve">✅ Built — strong</w:t>
            </w:r>
          </w:p>
        </w:tc>
      </w:tr>
      <w:tr>
        <w:tc>
          <w:p>
            <w:pPr>
              <w:pStyle w:val="Compact"/>
              <w:jc w:val="left"/>
            </w:pPr>
            <w:r>
              <w:t xml:space="preserve">2</w:t>
            </w:r>
          </w:p>
        </w:tc>
        <w:tc>
          <w:p>
            <w:pPr>
              <w:pStyle w:val="Compact"/>
              <w:jc w:val="left"/>
            </w:pPr>
            <w:r>
              <w:t xml:space="preserve">Social Objective &amp; Impact</w:t>
            </w:r>
          </w:p>
        </w:tc>
        <w:tc>
          <w:p>
            <w:pPr>
              <w:pStyle w:val="Compact"/>
              <w:jc w:val="left"/>
            </w:pPr>
            <w:r>
              <w:t xml:space="preserve">5→8 (3)</w:t>
            </w:r>
          </w:p>
        </w:tc>
        <w:tc>
          <w:p>
            <w:pPr>
              <w:pStyle w:val="Compact"/>
              <w:jc w:val="left"/>
            </w:pPr>
            <w:r>
              <w:rPr>
                <w:b/>
              </w:rPr>
              <w:t xml:space="preserve">Yes</w:t>
            </w:r>
          </w:p>
        </w:tc>
        <w:tc>
          <w:p>
            <w:pPr>
              <w:pStyle w:val="Compact"/>
              <w:jc w:val="left"/>
            </w:pPr>
            <w:r>
              <w:t xml:space="preserve">Theory of Change + MEL framework; separate verified/modelled/future; consent-cleared stories</w:t>
            </w:r>
          </w:p>
        </w:tc>
        <w:tc>
          <w:p>
            <w:pPr>
              <w:pStyle w:val="Compact"/>
              <w:jc w:val="left"/>
            </w:pPr>
            <w:r>
              <w:rPr>
                <w:b/>
              </w:rPr>
              <w:t xml:space="preserve">05-impact-measurement-method.md</w:t>
            </w:r>
          </w:p>
        </w:tc>
        <w:tc>
          <w:p>
            <w:pPr>
              <w:pStyle w:val="Compact"/>
              <w:jc w:val="left"/>
            </w:pPr>
            <w:r>
              <w:t xml:space="preserve">✅ Built (draft) — needs partner-validated outcomes + consent-cleared story list</w:t>
            </w:r>
          </w:p>
        </w:tc>
      </w:tr>
      <w:tr>
        <w:tc>
          <w:p>
            <w:pPr>
              <w:pStyle w:val="Compact"/>
              <w:jc w:val="left"/>
            </w:pPr>
            <w:r>
              <w:t xml:space="preserve">3</w:t>
            </w:r>
          </w:p>
        </w:tc>
        <w:tc>
          <w:p>
            <w:pPr>
              <w:pStyle w:val="Compact"/>
              <w:jc w:val="left"/>
            </w:pPr>
            <w:r>
              <w:t xml:space="preserve">Business Model</w:t>
            </w:r>
          </w:p>
        </w:tc>
        <w:tc>
          <w:p>
            <w:pPr>
              <w:pStyle w:val="Compact"/>
              <w:jc w:val="left"/>
            </w:pPr>
            <w:r>
              <w:t xml:space="preserve">4→7 (3)</w:t>
            </w:r>
          </w:p>
        </w:tc>
        <w:tc>
          <w:p>
            <w:pPr>
              <w:pStyle w:val="Compact"/>
              <w:jc w:val="left"/>
            </w:pPr>
            <w:r>
              <w:rPr>
                <w:b/>
              </w:rPr>
              <w:t xml:space="preserve">Yes</w:t>
            </w:r>
          </w:p>
        </w:tc>
        <w:tc>
          <w:p>
            <w:pPr>
              <w:pStyle w:val="Compact"/>
              <w:jc w:val="left"/>
            </w:pPr>
            <w:r>
              <w:t xml:space="preserve">Production cost at scale w/ sensitivity; market sizing; customer-segment unit economics; path off grant reliance</w:t>
            </w:r>
          </w:p>
        </w:tc>
        <w:tc>
          <w:p>
            <w:pPr>
              <w:pStyle w:val="Compact"/>
              <w:jc w:val="left"/>
            </w:pPr>
            <w:r>
              <w:t xml:space="preserve">Memo §3, Playable Model, market §6;</w:t>
            </w:r>
            <w:r>
              <w:t xml:space="preserve"> </w:t>
            </w:r>
            <w:r>
              <w:rPr>
                <w:b/>
              </w:rPr>
              <w:t xml:space="preserve">2 named projects</w:t>
            </w:r>
          </w:p>
        </w:tc>
        <w:tc>
          <w:p>
            <w:pPr>
              <w:pStyle w:val="Compact"/>
              <w:jc w:val="left"/>
            </w:pPr>
            <w:r>
              <w:t xml:space="preserve">🟡 Partial — model scaffolding strong; awaits SIH cost project + QBE market project + the 50-bed run</w:t>
            </w:r>
          </w:p>
        </w:tc>
      </w:tr>
      <w:tr>
        <w:tc>
          <w:p>
            <w:pPr>
              <w:pStyle w:val="Compact"/>
              <w:jc w:val="left"/>
            </w:pPr>
            <w:r>
              <w:t xml:space="preserve">4</w:t>
            </w:r>
          </w:p>
        </w:tc>
        <w:tc>
          <w:p>
            <w:pPr>
              <w:pStyle w:val="Compact"/>
              <w:jc w:val="left"/>
            </w:pPr>
            <w:r>
              <w:t xml:space="preserve">Financial Management</w:t>
            </w:r>
          </w:p>
        </w:tc>
        <w:tc>
          <w:p>
            <w:pPr>
              <w:pStyle w:val="Compact"/>
              <w:jc w:val="left"/>
            </w:pPr>
            <w:r>
              <w:t xml:space="preserve">4→7 (3)</w:t>
            </w:r>
          </w:p>
        </w:tc>
        <w:tc>
          <w:p>
            <w:pPr>
              <w:pStyle w:val="Compact"/>
              <w:jc w:val="left"/>
            </w:pPr>
            <w:r>
              <w:rPr>
                <w:b/>
              </w:rPr>
              <w:t xml:space="preserve">Yes</w:t>
            </w:r>
          </w:p>
        </w:tc>
        <w:tc>
          <w:p>
            <w:pPr>
              <w:pStyle w:val="Compact"/>
              <w:jc w:val="left"/>
            </w:pPr>
            <w:r>
              <w:t xml:space="preserve">GOC-only financial model: unit economics, scenarios, 3-yr forecast, founder time at fair-market</w:t>
            </w:r>
          </w:p>
        </w:tc>
        <w:tc>
          <w:p>
            <w:pPr>
              <w:pStyle w:val="Compact"/>
              <w:jc w:val="left"/>
            </w:pPr>
            <w:r>
              <w:rPr>
                <w:b/>
              </w:rPr>
              <w:t xml:space="preserve">Goods Playable Model</w:t>
            </w:r>
            <w:r>
              <w:t xml:space="preserve"> </w:t>
            </w:r>
            <w:r>
              <w:t xml:space="preserve">(exists) + memo §3</w:t>
            </w:r>
          </w:p>
        </w:tc>
        <w:tc>
          <w:p>
            <w:pPr>
              <w:pStyle w:val="Compact"/>
              <w:jc w:val="left"/>
            </w:pPr>
            <w:r>
              <w:t xml:space="preserve">🟡 Model built &amp; good — needs accountant carve-out/endorsement, locked opening cash, firm capex quote</w:t>
            </w:r>
          </w:p>
        </w:tc>
      </w:tr>
      <w:tr>
        <w:tc>
          <w:p>
            <w:pPr>
              <w:pStyle w:val="Compact"/>
              <w:jc w:val="left"/>
            </w:pPr>
            <w:r>
              <w:t xml:space="preserve">5</w:t>
            </w:r>
          </w:p>
        </w:tc>
        <w:tc>
          <w:p>
            <w:pPr>
              <w:pStyle w:val="Compact"/>
              <w:jc w:val="left"/>
            </w:pPr>
            <w:r>
              <w:t xml:space="preserve">Strategic Planning &amp; Risk</w:t>
            </w:r>
          </w:p>
        </w:tc>
        <w:tc>
          <w:p>
            <w:pPr>
              <w:pStyle w:val="Compact"/>
              <w:jc w:val="left"/>
            </w:pPr>
            <w:r>
              <w:t xml:space="preserve">5→7 (2)</w:t>
            </w:r>
          </w:p>
        </w:tc>
        <w:tc>
          <w:p>
            <w:pPr>
              <w:pStyle w:val="Compact"/>
              <w:jc w:val="left"/>
            </w:pPr>
            <w:r>
              <w:rPr>
                <w:b/>
              </w:rPr>
              <w:t xml:space="preserve">Yes</w:t>
            </w:r>
          </w:p>
        </w:tc>
        <w:tc>
          <w:p>
            <w:pPr>
              <w:pStyle w:val="Compact"/>
              <w:jc w:val="left"/>
            </w:pPr>
            <w:r>
              <w:t xml:space="preserve">Scored risk register incl. environmental; strategic narrative; scenario planning</w:t>
            </w:r>
          </w:p>
        </w:tc>
        <w:tc>
          <w:p>
            <w:pPr>
              <w:pStyle w:val="Compact"/>
              <w:jc w:val="left"/>
            </w:pPr>
            <w:r>
              <w:rPr>
                <w:b/>
              </w:rPr>
              <w:t xml:space="preserve">06-risk-register.md</w:t>
            </w:r>
            <w:r>
              <w:t xml:space="preserve"> </w:t>
            </w:r>
            <w:r>
              <w:t xml:space="preserve">+ memo</w:t>
            </w:r>
          </w:p>
        </w:tc>
        <w:tc>
          <w:p>
            <w:pPr>
              <w:pStyle w:val="Compact"/>
              <w:jc w:val="left"/>
            </w:pPr>
            <w:r>
              <w:t xml:space="preserve">✅ Built (draft) — needs founder adoption</w:t>
            </w:r>
          </w:p>
        </w:tc>
      </w:tr>
      <w:tr>
        <w:tc>
          <w:p>
            <w:pPr>
              <w:pStyle w:val="Compact"/>
              <w:jc w:val="left"/>
            </w:pPr>
            <w:r>
              <w:t xml:space="preserve">6</w:t>
            </w:r>
          </w:p>
        </w:tc>
        <w:tc>
          <w:p>
            <w:pPr>
              <w:pStyle w:val="Compact"/>
              <w:jc w:val="left"/>
            </w:pPr>
            <w:r>
              <w:t xml:space="preserve">Process &amp; Technology</w:t>
            </w:r>
          </w:p>
        </w:tc>
        <w:tc>
          <w:p>
            <w:pPr>
              <w:pStyle w:val="Compact"/>
              <w:jc w:val="left"/>
            </w:pPr>
            <w:r>
              <w:t xml:space="preserve">7→8 (1)</w:t>
            </w:r>
          </w:p>
        </w:tc>
        <w:tc>
          <w:p>
            <w:pPr>
              <w:pStyle w:val="Compact"/>
              <w:jc w:val="left"/>
            </w:pPr>
            <w:r>
              <w:t xml:space="preserve">—</w:t>
            </w:r>
          </w:p>
        </w:tc>
        <w:tc>
          <w:p>
            <w:pPr>
              <w:pStyle w:val="Compact"/>
              <w:jc w:val="left"/>
            </w:pPr>
            <w:r>
              <w:t xml:space="preserve">Document SOPs; human-in-loop on all AI-generated material</w:t>
            </w:r>
          </w:p>
        </w:tc>
        <w:tc>
          <w:p>
            <w:pPr>
              <w:pStyle w:val="Compact"/>
              <w:jc w:val="left"/>
            </w:pPr>
            <w:r>
              <w:t xml:space="preserve">QR/asset register (live), Playable Model</w:t>
            </w:r>
          </w:p>
        </w:tc>
        <w:tc>
          <w:p>
            <w:pPr>
              <w:pStyle w:val="Compact"/>
              <w:jc w:val="left"/>
            </w:pPr>
            <w:r>
              <w:t xml:space="preserve">🟡 Strong systems; SOP documentation + the human-review rule are ongoing</w:t>
            </w:r>
          </w:p>
        </w:tc>
      </w:tr>
      <w:tr>
        <w:tc>
          <w:p>
            <w:pPr>
              <w:pStyle w:val="Compact"/>
              <w:jc w:val="left"/>
            </w:pPr>
            <w:r>
              <w:t xml:space="preserve">7</w:t>
            </w:r>
          </w:p>
        </w:tc>
        <w:tc>
          <w:p>
            <w:pPr>
              <w:pStyle w:val="Compact"/>
              <w:jc w:val="left"/>
            </w:pPr>
            <w:r>
              <w:t xml:space="preserve">Governance, Data &amp; Reporting</w:t>
            </w:r>
          </w:p>
        </w:tc>
        <w:tc>
          <w:p>
            <w:pPr>
              <w:pStyle w:val="Compact"/>
              <w:jc w:val="left"/>
            </w:pPr>
            <w:r>
              <w:t xml:space="preserve">5→8 (3)</w:t>
            </w:r>
          </w:p>
        </w:tc>
        <w:tc>
          <w:p>
            <w:pPr>
              <w:pStyle w:val="Compact"/>
              <w:jc w:val="left"/>
            </w:pPr>
            <w:r>
              <w:rPr>
                <w:b/>
              </w:rPr>
              <w:t xml:space="preserve">Yes</w:t>
            </w:r>
          </w:p>
        </w:tc>
        <w:tc>
          <w:p>
            <w:pPr>
              <w:pStyle w:val="Compact"/>
              <w:jc w:val="left"/>
            </w:pPr>
            <w:r>
              <w:t xml:space="preserve">1–2 commercial/scale-up advisors→directors; governance structure for the Pty Ltd; consolidated reporting</w:t>
            </w:r>
          </w:p>
        </w:tc>
        <w:tc>
          <w:p>
            <w:pPr>
              <w:pStyle w:val="Compact"/>
              <w:jc w:val="left"/>
            </w:pPr>
            <w:r>
              <w:t xml:space="preserve">Role map §, risk register, entity block</w:t>
            </w:r>
          </w:p>
        </w:tc>
        <w:tc>
          <w:p>
            <w:pPr>
              <w:pStyle w:val="Compact"/>
              <w:jc w:val="left"/>
            </w:pPr>
            <w:r>
              <w:t xml:space="preserve">🔴 Documented;</w:t>
            </w:r>
            <w:r>
              <w:t xml:space="preserve"> </w:t>
            </w:r>
            <w:r>
              <w:rPr>
                <w:b/>
              </w:rPr>
              <w:t xml:space="preserve">recruiting the board is a human action</w:t>
            </w:r>
          </w:p>
        </w:tc>
      </w:tr>
      <w:tr>
        <w:tc>
          <w:p>
            <w:pPr>
              <w:pStyle w:val="Compact"/>
              <w:jc w:val="left"/>
            </w:pPr>
            <w:r>
              <w:t xml:space="preserve">8</w:t>
            </w:r>
          </w:p>
        </w:tc>
        <w:tc>
          <w:p>
            <w:pPr>
              <w:pStyle w:val="Compact"/>
              <w:jc w:val="left"/>
            </w:pPr>
            <w:r>
              <w:t xml:space="preserve">People &amp; Organisation</w:t>
            </w:r>
          </w:p>
        </w:tc>
        <w:tc>
          <w:p>
            <w:pPr>
              <w:pStyle w:val="Compact"/>
              <w:jc w:val="left"/>
            </w:pPr>
            <w:r>
              <w:t xml:space="preserve">6→7 (1)</w:t>
            </w:r>
          </w:p>
        </w:tc>
        <w:tc>
          <w:p>
            <w:pPr>
              <w:pStyle w:val="Compact"/>
              <w:jc w:val="left"/>
            </w:pPr>
            <w:r>
              <w:t xml:space="preserve">—</w:t>
            </w:r>
          </w:p>
        </w:tc>
        <w:tc>
          <w:p>
            <w:pPr>
              <w:pStyle w:val="Compact"/>
              <w:jc w:val="left"/>
            </w:pPr>
            <w:r>
              <w:t xml:space="preserve">GM + BD hires; cost founder time; founder-dependency plan</w:t>
            </w:r>
          </w:p>
        </w:tc>
        <w:tc>
          <w:p>
            <w:pPr>
              <w:pStyle w:val="Compact"/>
              <w:jc w:val="left"/>
            </w:pPr>
            <w:r>
              <w:rPr>
                <w:b/>
              </w:rPr>
              <w:t xml:space="preserve">07-role-map.md</w:t>
            </w:r>
          </w:p>
        </w:tc>
        <w:tc>
          <w:p>
            <w:pPr>
              <w:pStyle w:val="Compact"/>
              <w:jc w:val="left"/>
            </w:pPr>
            <w:r>
              <w:t xml:space="preserve">✅ Built (draft) — hiring is gated on the raise</w:t>
            </w:r>
          </w:p>
        </w:tc>
      </w:tr>
      <w:tr>
        <w:tc>
          <w:p>
            <w:pPr>
              <w:pStyle w:val="Compact"/>
              <w:jc w:val="left"/>
            </w:pPr>
            <w:r>
              <w:t xml:space="preserve">9</w:t>
            </w:r>
          </w:p>
        </w:tc>
        <w:tc>
          <w:p>
            <w:pPr>
              <w:pStyle w:val="Compact"/>
              <w:jc w:val="left"/>
            </w:pPr>
            <w:r>
              <w:t xml:space="preserve">Legal Structure</w:t>
            </w:r>
          </w:p>
        </w:tc>
        <w:tc>
          <w:p>
            <w:pPr>
              <w:pStyle w:val="Compact"/>
              <w:jc w:val="left"/>
            </w:pPr>
            <w:r>
              <w:t xml:space="preserve">5→7 (2)</w:t>
            </w:r>
          </w:p>
        </w:tc>
        <w:tc>
          <w:p>
            <w:pPr>
              <w:pStyle w:val="Compact"/>
              <w:jc w:val="left"/>
            </w:pPr>
            <w:r>
              <w:t xml:space="preserve">—</w:t>
            </w:r>
          </w:p>
        </w:tc>
        <w:tc>
          <w:p>
            <w:pPr>
              <w:pStyle w:val="Compact"/>
              <w:jc w:val="left"/>
            </w:pPr>
            <w:r>
              <w:t xml:space="preserve">One approved entity-wording block; map community-ownership options + triggers; mission lock</w:t>
            </w:r>
          </w:p>
        </w:tc>
        <w:tc>
          <w:p>
            <w:pPr>
              <w:pStyle w:val="Compact"/>
              <w:jc w:val="left"/>
            </w:pPr>
            <w:r>
              <w:rPr>
                <w:b/>
              </w:rPr>
              <w:t xml:space="preserve">04-entity-wording-block.md</w:t>
            </w:r>
          </w:p>
        </w:tc>
        <w:tc>
          <w:p>
            <w:pPr>
              <w:pStyle w:val="Compact"/>
              <w:jc w:val="left"/>
            </w:pPr>
            <w:r>
              <w:t xml:space="preserve">✅ Built (draft) — needs Keith Rovers / founder sign-off</w:t>
            </w:r>
          </w:p>
        </w:tc>
      </w:tr>
      <w:tr>
        <w:tc>
          <w:p>
            <w:pPr>
              <w:pStyle w:val="Compact"/>
              <w:jc w:val="left"/>
            </w:pPr>
            <w:r>
              <w:t xml:space="preserve">10</w:t>
            </w:r>
          </w:p>
        </w:tc>
        <w:tc>
          <w:p>
            <w:pPr>
              <w:pStyle w:val="Compact"/>
              <w:jc w:val="left"/>
            </w:pPr>
            <w:r>
              <w:t xml:space="preserve">Investors &amp; Capital Raising</w:t>
            </w:r>
          </w:p>
        </w:tc>
        <w:tc>
          <w:p>
            <w:pPr>
              <w:pStyle w:val="Compact"/>
              <w:jc w:val="left"/>
            </w:pPr>
            <w:r>
              <w:t xml:space="preserve">6→8 (2)</w:t>
            </w:r>
          </w:p>
        </w:tc>
        <w:tc>
          <w:p>
            <w:pPr>
              <w:pStyle w:val="Compact"/>
              <w:jc w:val="left"/>
            </w:pPr>
            <w:r>
              <w:t xml:space="preserve">—</w:t>
            </w:r>
          </w:p>
        </w:tc>
        <w:tc>
          <w:p>
            <w:pPr>
              <w:pStyle w:val="Compact"/>
              <w:jc w:val="left"/>
            </w:pPr>
            <w:r>
              <w:t xml:space="preserve">Founder-authored, accurate materials backed by a model; convert pipeline to signed</w:t>
            </w:r>
          </w:p>
        </w:tc>
        <w:tc>
          <w:p>
            <w:pPr>
              <w:pStyle w:val="Compact"/>
              <w:jc w:val="left"/>
            </w:pPr>
            <w:r>
              <w:t xml:space="preserve">Memo, one-pager, deck, 3 funder notes, CASE tool</w:t>
            </w:r>
          </w:p>
        </w:tc>
        <w:tc>
          <w:p>
            <w:pPr>
              <w:pStyle w:val="Compact"/>
              <w:jc w:val="left"/>
            </w:pPr>
            <w:r>
              <w:t xml:space="preserve">🟡 Materials built;</w:t>
            </w:r>
            <w:r>
              <w:t xml:space="preserve"> </w:t>
            </w:r>
            <w:r>
              <w:rPr>
                <w:b/>
              </w:rPr>
              <w:t xml:space="preserve">0 signed commitments is the gap</w:t>
            </w:r>
          </w:p>
        </w:tc>
      </w:tr>
    </w:tbl>
    <w:p>
      <w:r>
        <w:pict>
          <v:rect style="width:0;height:1.5pt" o:hralign="center" o:hrstd="t" o:hr="t"/>
        </w:pict>
      </w:r>
    </w:p>
    <w:p>
      <w:pPr>
        <w:pStyle w:val="Heading2"/>
      </w:pPr>
      <w:bookmarkStart w:id="47" w:name="the-6-recommendations-2-named-projects"/>
      <w:r>
        <w:t xml:space="preserve">The 6 recommendations + 2 named projects</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Recommendation (Area, priority, timing)</w:t>
            </w:r>
          </w:p>
        </w:tc>
        <w:tc>
          <w:tcPr>
            <w:tcBorders>
              <w:bottom w:val="single"/>
            </w:tcBorders>
            <w:vAlign w:val="bottom"/>
          </w:tcPr>
          <w:p>
            <w:pPr>
              <w:pStyle w:val="Compact"/>
              <w:jc w:val="left"/>
            </w:pPr>
            <w:r>
              <w:t xml:space="preserve">Our artifact</w:t>
            </w:r>
          </w:p>
        </w:tc>
        <w:tc>
          <w:tcPr>
            <w:tcBorders>
              <w:bottom w:val="single"/>
            </w:tcBorders>
            <w:vAlign w:val="bottom"/>
          </w:tcPr>
          <w:p>
            <w:pPr>
              <w:pStyle w:val="Compact"/>
              <w:jc w:val="left"/>
            </w:pPr>
            <w:r>
              <w:t xml:space="preserve">Status &amp; the gap to</w:t>
            </w:r>
            <w:r>
              <w:t xml:space="preserve"> </w:t>
            </w:r>
            <w:r>
              <w:t xml:space="preserve">“</w:t>
            </w:r>
            <w:r>
              <w:t xml:space="preserve">final</w:t>
            </w:r>
            <w:r>
              <w:t xml:space="preserve">”</w:t>
            </w:r>
          </w:p>
        </w:tc>
      </w:tr>
      <w:tr>
        <w:tc>
          <w:p>
            <w:pPr>
              <w:pStyle w:val="Compact"/>
              <w:jc w:val="left"/>
            </w:pPr>
            <w:r>
              <w:rPr>
                <w:b/>
              </w:rPr>
              <w:t xml:space="preserve">Financial model &amp; forecasts</w:t>
            </w:r>
            <w:r>
              <w:t xml:space="preserve"> </w:t>
            </w:r>
            <w:r>
              <w:t xml:space="preserve">(4, High, 0–2 mo)</w:t>
            </w:r>
          </w:p>
        </w:tc>
        <w:tc>
          <w:p>
            <w:pPr>
              <w:pStyle w:val="Compact"/>
              <w:jc w:val="left"/>
            </w:pPr>
            <w:r>
              <w:t xml:space="preserve">Goods Playable Model (Control Panel confirmed: $750 price, $684.79 cost, $109,500 fixed, 1,679 breakeven, −$487,722 36-mo trough — all matching our pack)</w:t>
            </w:r>
          </w:p>
        </w:tc>
        <w:tc>
          <w:p>
            <w:pPr>
              <w:pStyle w:val="Compact"/>
              <w:jc w:val="left"/>
            </w:pPr>
            <w:r>
              <w:t xml:space="preserve">🟡 The model exists and is genuinely good — GOC-only carve-out, unit economics, scenario engine, 36-mo forecast, founder time costed ($560/day × 150 days).</w:t>
            </w:r>
            <w:r>
              <w:t xml:space="preserve"> </w:t>
            </w:r>
            <w:r>
              <w:rPr>
                <w:b/>
              </w:rPr>
              <w:t xml:space="preserve">Gaps:</w:t>
            </w:r>
            <w:r>
              <w:t xml:space="preserve"> </w:t>
            </w:r>
            <w:r>
              <w:t xml:space="preserve">only the Control Panel tab was shared (supply the full .xlsx), opening cash is a $50K</w:t>
            </w:r>
            <w:r>
              <w:t xml:space="preserve"> </w:t>
            </w:r>
            <w:r>
              <w:t xml:space="preserve">“</w:t>
            </w:r>
            <w:r>
              <w:t xml:space="preserve">TO CONFIRM</w:t>
            </w:r>
            <w:r>
              <w:t xml:space="preserve">”</w:t>
            </w:r>
            <w:r>
              <w:t xml:space="preserve"> </w:t>
            </w:r>
            <w:r>
              <w:t xml:space="preserve">placeholder, capex quote pending ($112–222K). Needs</w:t>
            </w:r>
            <w:r>
              <w:t xml:space="preserve"> </w:t>
            </w:r>
            <w:r>
              <w:rPr>
                <w:b/>
              </w:rPr>
              <w:t xml:space="preserve">accountant endorsement</w:t>
            </w:r>
            <w:r>
              <w:t xml:space="preserve"> </w:t>
            </w:r>
            <w:r>
              <w:t xml:space="preserve">(now a hard Stage-2 gate).</w:t>
            </w:r>
          </w:p>
        </w:tc>
      </w:tr>
      <w:tr>
        <w:tc>
          <w:p>
            <w:pPr>
              <w:pStyle w:val="Compact"/>
              <w:jc w:val="left"/>
            </w:pPr>
            <w:r>
              <w:rPr>
                <w:b/>
              </w:rPr>
              <w:t xml:space="preserve">Production cost estimates + sensitivity at scale</w:t>
            </w:r>
            <w:r>
              <w:t xml:space="preserve"> </w:t>
            </w:r>
            <w:r>
              <w:t xml:space="preserve">(3, High, 0–3 mo) —</w:t>
            </w:r>
            <w:r>
              <w:t xml:space="preserve"> </w:t>
            </w:r>
            <w:r>
              <w:rPr>
                <w:i/>
              </w:rPr>
              <w:t xml:space="preserve">SIH Priority Advisory Project</w:t>
            </w:r>
          </w:p>
        </w:tc>
        <w:tc>
          <w:p>
            <w:pPr>
              <w:pStyle w:val="Compact"/>
              <w:jc w:val="left"/>
            </w:pPr>
            <w:r>
              <w:t xml:space="preserve">Playable Model’s 4 build-method toggle (Buy-Kit / Panels / Factory / Community) + scenario presets</w:t>
            </w:r>
          </w:p>
        </w:tc>
        <w:tc>
          <w:p>
            <w:pPr>
              <w:pStyle w:val="Compact"/>
              <w:jc w:val="left"/>
            </w:pPr>
            <w:r>
              <w:t xml:space="preserve">🟡 Scaffolding present. SIH’s advisory project delivers the production-cost Excel tool; the</w:t>
            </w:r>
            <w:r>
              <w:t xml:space="preserve"> </w:t>
            </w:r>
            <w:r>
              <w:rPr>
                <w:b/>
              </w:rPr>
              <w:t xml:space="preserve">50-bed in-source run</w:t>
            </w:r>
            <w:r>
              <w:t xml:space="preserve"> </w:t>
            </w:r>
            <w:r>
              <w:t xml:space="preserve">is what turns the $425.74 in-source cost from modelled to measured. External work.</w:t>
            </w:r>
          </w:p>
        </w:tc>
      </w:tr>
      <w:tr>
        <w:tc>
          <w:p>
            <w:pPr>
              <w:pStyle w:val="Compact"/>
              <w:jc w:val="left"/>
            </w:pPr>
            <w:r>
              <w:rPr>
                <w:b/>
              </w:rPr>
              <w:t xml:space="preserve">Market research to quantify market size</w:t>
            </w:r>
            <w:r>
              <w:t xml:space="preserve"> </w:t>
            </w:r>
            <w:r>
              <w:t xml:space="preserve">(3, High, 0–3 mo) —</w:t>
            </w:r>
            <w:r>
              <w:t xml:space="preserve"> </w:t>
            </w:r>
            <w:r>
              <w:rPr>
                <w:i/>
              </w:rPr>
              <w:t xml:space="preserve">QBE Skilled-Volunteering Project</w:t>
            </w:r>
          </w:p>
        </w:tc>
        <w:tc>
          <w:p>
            <w:pPr>
              <w:pStyle w:val="Compact"/>
              <w:jc w:val="left"/>
            </w:pPr>
            <w:r>
              <w:t xml:space="preserve">GO_TO_MARKET / MARKET_INTELLIGENCE drafts + alignment map §6</w:t>
            </w:r>
          </w:p>
        </w:tc>
        <w:tc>
          <w:p>
            <w:pPr>
              <w:pStyle w:val="Compact"/>
              <w:jc w:val="left"/>
            </w:pPr>
            <w:r>
              <w:t xml:space="preserve">🟡 Direction drafted (DRAFT v1, un-ground-truthed). The QBE project produces the validated top-down market scan. External work.</w:t>
            </w:r>
          </w:p>
        </w:tc>
      </w:tr>
      <w:tr>
        <w:tc>
          <w:p>
            <w:pPr>
              <w:pStyle w:val="Compact"/>
              <w:jc w:val="left"/>
            </w:pPr>
            <w:r>
              <w:rPr>
                <w:b/>
              </w:rPr>
              <w:t xml:space="preserve">Governance &amp; accountability structures</w:t>
            </w:r>
            <w:r>
              <w:t xml:space="preserve"> </w:t>
            </w:r>
            <w:r>
              <w:t xml:space="preserve">(7, High, 0–6 mo)</w:t>
            </w:r>
          </w:p>
        </w:tc>
        <w:tc>
          <w:p>
            <w:pPr>
              <w:pStyle w:val="Compact"/>
              <w:jc w:val="left"/>
            </w:pPr>
            <w:r>
              <w:t xml:space="preserve">Entity-wording block, role map, risk register</w:t>
            </w:r>
          </w:p>
        </w:tc>
        <w:tc>
          <w:p>
            <w:pPr>
              <w:pStyle w:val="Compact"/>
              <w:jc w:val="left"/>
            </w:pPr>
            <w:r>
              <w:t xml:space="preserve">🔴 Documented. The actual act — recruit 1–2 independent directors with commercial/scale-up experience and stand up the Pty Ltd governance — is a human action. Gates SEFA debt.</w:t>
            </w:r>
          </w:p>
        </w:tc>
      </w:tr>
      <w:tr>
        <w:tc>
          <w:p>
            <w:pPr>
              <w:pStyle w:val="Compact"/>
              <w:jc w:val="left"/>
            </w:pPr>
            <w:r>
              <w:rPr>
                <w:b/>
              </w:rPr>
              <w:t xml:space="preserve">Theory of Change / MEL framework</w:t>
            </w:r>
            <w:r>
              <w:t xml:space="preserve"> </w:t>
            </w:r>
            <w:r>
              <w:t xml:space="preserve">(2, Medium, 6–12 mo)</w:t>
            </w:r>
          </w:p>
        </w:tc>
        <w:tc>
          <w:p>
            <w:pPr>
              <w:pStyle w:val="Compact"/>
              <w:jc w:val="left"/>
            </w:pPr>
            <w:r>
              <w:rPr>
                <w:b/>
              </w:rPr>
              <w:t xml:space="preserve">05-impact-measurement-method.md</w:t>
            </w:r>
          </w:p>
        </w:tc>
        <w:tc>
          <w:p>
            <w:pPr>
              <w:pStyle w:val="Compact"/>
              <w:jc w:val="left"/>
            </w:pPr>
            <w:r>
              <w:t xml:space="preserve">✅ Delivered in draft: results chain, verified/modelled/future split, consent-as-method, claim ceiling. Gap: partner-validated outcomes method + consent-cleared story list.</w:t>
            </w:r>
          </w:p>
        </w:tc>
      </w:tr>
      <w:tr>
        <w:tc>
          <w:p>
            <w:pPr>
              <w:pStyle w:val="Compact"/>
              <w:jc w:val="left"/>
            </w:pPr>
            <w:r>
              <w:rPr>
                <w:b/>
              </w:rPr>
              <w:t xml:space="preserve">Updated risk register</w:t>
            </w:r>
            <w:r>
              <w:t xml:space="preserve"> </w:t>
            </w:r>
            <w:r>
              <w:t xml:space="preserve">(5, Medium, 6–12 mo)</w:t>
            </w:r>
          </w:p>
        </w:tc>
        <w:tc>
          <w:p>
            <w:pPr>
              <w:pStyle w:val="Compact"/>
              <w:jc w:val="left"/>
            </w:pPr>
            <w:r>
              <w:rPr>
                <w:b/>
              </w:rPr>
              <w:t xml:space="preserve">06-risk-register.md</w:t>
            </w:r>
          </w:p>
        </w:tc>
        <w:tc>
          <w:p>
            <w:pPr>
              <w:pStyle w:val="Compact"/>
              <w:jc w:val="left"/>
            </w:pPr>
            <w:r>
              <w:t xml:space="preserve">✅ Delivered in draft: 14 risks scored, owners, environmental risk profiled, shareability column. Gap: founder adoption + review cadence.</w:t>
            </w:r>
          </w:p>
        </w:tc>
      </w:tr>
    </w:tbl>
    <w:p>
      <w:pPr>
        <w:pStyle w:val="BodyText"/>
      </w:pPr>
      <w:r>
        <w:rPr>
          <w:b/>
        </w:rPr>
        <w:t xml:space="preserve">Score on the recommendations:</w:t>
      </w:r>
      <w:r>
        <w:t xml:space="preserve"> </w:t>
      </w:r>
      <w:r>
        <w:t xml:space="preserve">2 delivered (MEL, risk register), 1 strong existing artifact needing sign-off (financial model), 1 documented but board-building is human (governance), 2 are SIH/QBE-run projects in flight (production cost, market research). For a diagnostic done six weeks ago, that is most of the paper work done.</w:t>
      </w:r>
    </w:p>
    <w:p>
      <w:r>
        <w:pict>
          <v:rect style="width:0;height:1.5pt" o:hralign="center" o:hrstd="t" o:hr="t"/>
        </w:pict>
      </w:r>
    </w:p>
    <w:p>
      <w:pPr>
        <w:pStyle w:val="Heading2"/>
      </w:pPr>
      <w:bookmarkStart w:id="48" w:name="artifact-register-what-closes-what"/>
      <w:r>
        <w:t xml:space="preserve">Artifact register — what closes what</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Pack file</w:t>
            </w:r>
          </w:p>
        </w:tc>
        <w:tc>
          <w:tcPr>
            <w:tcBorders>
              <w:bottom w:val="single"/>
            </w:tcBorders>
            <w:vAlign w:val="bottom"/>
          </w:tcPr>
          <w:p>
            <w:pPr>
              <w:pStyle w:val="Compact"/>
              <w:jc w:val="left"/>
            </w:pPr>
            <w:r>
              <w:t xml:space="preserve">Closes / supports</w:t>
            </w:r>
          </w:p>
        </w:tc>
      </w:tr>
      <w:tr>
        <w:tc>
          <w:p>
            <w:pPr>
              <w:pStyle w:val="Compact"/>
              <w:jc w:val="left"/>
            </w:pPr>
            <w:r>
              <w:t xml:space="preserve">00-master-alignment-map</w:t>
            </w:r>
          </w:p>
        </w:tc>
        <w:tc>
          <w:p>
            <w:pPr>
              <w:pStyle w:val="Compact"/>
              <w:jc w:val="left"/>
            </w:pPr>
            <w:r>
              <w:t xml:space="preserve">Cross-cutting: public-copy accuracy (Areas 2, 6, 10), the canonical numbers, contradictions ledger</w:t>
            </w:r>
          </w:p>
        </w:tc>
      </w:tr>
      <w:tr>
        <w:tc>
          <w:p>
            <w:pPr>
              <w:pStyle w:val="Compact"/>
              <w:jc w:val="left"/>
            </w:pPr>
            <w:r>
              <w:t xml:space="preserve">01-strategy-memo</w:t>
            </w:r>
          </w:p>
        </w:tc>
        <w:tc>
          <w:p>
            <w:pPr>
              <w:pStyle w:val="Compact"/>
              <w:jc w:val="left"/>
            </w:pPr>
            <w:r>
              <w:t xml:space="preserve">Areas 1, 3, 4, 10 — the founder-authored narrative the diagnostic said was missing in writing</w:t>
            </w:r>
          </w:p>
        </w:tc>
      </w:tr>
      <w:tr>
        <w:tc>
          <w:p>
            <w:pPr>
              <w:pStyle w:val="Compact"/>
              <w:jc w:val="left"/>
            </w:pPr>
            <w:r>
              <w:t xml:space="preserve">02-one-pager</w:t>
            </w:r>
          </w:p>
        </w:tc>
        <w:tc>
          <w:p>
            <w:pPr>
              <w:pStyle w:val="Compact"/>
              <w:jc w:val="left"/>
            </w:pPr>
            <w:r>
              <w:t xml:space="preserve">Area 10 — investor leave-behind</w:t>
            </w:r>
          </w:p>
        </w:tc>
      </w:tr>
      <w:tr>
        <w:tc>
          <w:p>
            <w:pPr>
              <w:pStyle w:val="Compact"/>
              <w:jc w:val="left"/>
            </w:pPr>
            <w:r>
              <w:t xml:space="preserve">03-next-stage-focus</w:t>
            </w:r>
          </w:p>
        </w:tc>
        <w:tc>
          <w:p>
            <w:pPr>
              <w:pStyle w:val="Compact"/>
              <w:jc w:val="left"/>
            </w:pPr>
            <w:r>
              <w:t xml:space="preserve">Cross-cutting — the</w:t>
            </w:r>
            <w:r>
              <w:t xml:space="preserve"> </w:t>
            </w:r>
            <w:r>
              <w:t xml:space="preserve">“</w:t>
            </w:r>
            <w:r>
              <w:t xml:space="preserve">1 goal, 5 proofs</w:t>
            </w:r>
            <w:r>
              <w:t xml:space="preserve">”</w:t>
            </w:r>
            <w:r>
              <w:t xml:space="preserve"> </w:t>
            </w:r>
            <w:r>
              <w:t xml:space="preserve">sequencing</w:t>
            </w:r>
          </w:p>
        </w:tc>
      </w:tr>
      <w:tr>
        <w:tc>
          <w:p>
            <w:pPr>
              <w:pStyle w:val="Compact"/>
              <w:jc w:val="left"/>
            </w:pPr>
            <w:r>
              <w:t xml:space="preserve">04-entity-wording-block</w:t>
            </w:r>
          </w:p>
        </w:tc>
        <w:tc>
          <w:p>
            <w:pPr>
              <w:pStyle w:val="Compact"/>
              <w:jc w:val="left"/>
            </w:pPr>
            <w:r>
              <w:t xml:space="preserve">Area 9 — legal structure</w:t>
            </w:r>
          </w:p>
        </w:tc>
      </w:tr>
      <w:tr>
        <w:tc>
          <w:p>
            <w:pPr>
              <w:pStyle w:val="Compact"/>
              <w:jc w:val="left"/>
            </w:pPr>
            <w:r>
              <w:t xml:space="preserve">05-impact-measurement-method</w:t>
            </w:r>
          </w:p>
        </w:tc>
        <w:tc>
          <w:p>
            <w:pPr>
              <w:pStyle w:val="Compact"/>
              <w:jc w:val="left"/>
            </w:pPr>
            <w:r>
              <w:t xml:space="preserve">Area 2 — the MEL recommendation</w:t>
            </w:r>
          </w:p>
        </w:tc>
      </w:tr>
      <w:tr>
        <w:tc>
          <w:p>
            <w:pPr>
              <w:pStyle w:val="Compact"/>
              <w:jc w:val="left"/>
            </w:pPr>
            <w:r>
              <w:t xml:space="preserve">06-risk-register</w:t>
            </w:r>
          </w:p>
        </w:tc>
        <w:tc>
          <w:p>
            <w:pPr>
              <w:pStyle w:val="Compact"/>
              <w:jc w:val="left"/>
            </w:pPr>
            <w:r>
              <w:t xml:space="preserve">Area 5 — the risk-register recommendation</w:t>
            </w:r>
          </w:p>
        </w:tc>
      </w:tr>
      <w:tr>
        <w:tc>
          <w:p>
            <w:pPr>
              <w:pStyle w:val="Compact"/>
              <w:jc w:val="left"/>
            </w:pPr>
            <w:r>
              <w:t xml:space="preserve">07-role-map</w:t>
            </w:r>
          </w:p>
        </w:tc>
        <w:tc>
          <w:p>
            <w:pPr>
              <w:pStyle w:val="Compact"/>
              <w:jc w:val="left"/>
            </w:pPr>
            <w:r>
              <w:t xml:space="preserve">Area 8 + the Area 7 hiring piece</w:t>
            </w:r>
          </w:p>
        </w:tc>
      </w:tr>
      <w:tr>
        <w:tc>
          <w:p>
            <w:pPr>
              <w:pStyle w:val="Compact"/>
              <w:jc w:val="left"/>
            </w:pPr>
            <w:r>
              <w:t xml:space="preserve">08/09/10 funder notes (Snow, Centrecorp, SEFA)</w:t>
            </w:r>
          </w:p>
        </w:tc>
        <w:tc>
          <w:p>
            <w:pPr>
              <w:pStyle w:val="Compact"/>
              <w:jc w:val="left"/>
            </w:pPr>
            <w:r>
              <w:t xml:space="preserve">Area 10 — converting pipeline to signed (the match critical path)</w:t>
            </w:r>
          </w:p>
        </w:tc>
      </w:tr>
      <w:tr>
        <w:tc>
          <w:p>
            <w:pPr>
              <w:pStyle w:val="Compact"/>
              <w:jc w:val="left"/>
            </w:pPr>
            <w:r>
              <w:t xml:space="preserve">Investor deck (.pptx)</w:t>
            </w:r>
          </w:p>
        </w:tc>
        <w:tc>
          <w:p>
            <w:pPr>
              <w:pStyle w:val="Compact"/>
              <w:jc w:val="left"/>
            </w:pPr>
            <w:r>
              <w:t xml:space="preserve">Area 10 — investor materials</w:t>
            </w:r>
          </w:p>
        </w:tc>
      </w:tr>
      <w:tr>
        <w:tc>
          <w:p>
            <w:pPr>
              <w:pStyle w:val="Compact"/>
              <w:jc w:val="left"/>
            </w:pPr>
            <w:r>
              <w:t xml:space="preserve">Goods Playable Model (external)</w:t>
            </w:r>
          </w:p>
        </w:tc>
        <w:tc>
          <w:p>
            <w:pPr>
              <w:pStyle w:val="Compact"/>
              <w:jc w:val="left"/>
            </w:pPr>
            <w:r>
              <w:t xml:space="preserve">Area 4 financial model + Area 3 production cost</w:t>
            </w:r>
          </w:p>
        </w:tc>
      </w:tr>
      <w:tr>
        <w:tc>
          <w:p>
            <w:pPr>
              <w:pStyle w:val="Compact"/>
              <w:jc w:val="left"/>
            </w:pPr>
            <w:r>
              <w:t xml:space="preserve">CASE Investor Alignment Tool (external)</w:t>
            </w:r>
          </w:p>
        </w:tc>
        <w:tc>
          <w:p>
            <w:pPr>
              <w:pStyle w:val="Compact"/>
              <w:jc w:val="left"/>
            </w:pPr>
            <w:r>
              <w:t xml:space="preserve">Area 10 / investor triage —</w:t>
            </w:r>
            <w:r>
              <w:t xml:space="preserve"> </w:t>
            </w:r>
            <w:r>
              <w:rPr>
                <w:b/>
              </w:rPr>
              <w:t xml:space="preserve">currently a blank template; not yet usable</w:t>
            </w:r>
          </w:p>
        </w:tc>
      </w:tr>
    </w:tbl>
    <w:p>
      <w:r>
        <w:pict>
          <v:rect style="width:0;height:1.5pt" o:hralign="center" o:hrstd="t" o:hr="t"/>
        </w:pict>
      </w:r>
    </w:p>
    <w:p>
      <w:pPr>
        <w:pStyle w:val="Heading2"/>
      </w:pPr>
      <w:bookmarkStart w:id="49" w:name="X013adb0804d9255d8039d00a6b025365b882777"/>
      <w:r>
        <w:t xml:space="preserve">Two external artifacts that need work to be</w:t>
      </w:r>
      <w:r>
        <w:t xml:space="preserve"> </w:t>
      </w:r>
      <w:r>
        <w:t xml:space="preserve">“</w:t>
      </w:r>
      <w:r>
        <w:t xml:space="preserve">final</w:t>
      </w:r>
      <w:r>
        <w:t xml:space="preserve">”</w:t>
      </w:r>
      <w:bookmarkEnd w:id="49"/>
    </w:p>
    <w:p>
      <w:pPr>
        <w:pStyle w:val="FirstParagraph"/>
      </w:pPr>
      <w:r>
        <w:rPr>
          <w:b/>
        </w:rPr>
        <w:t xml:space="preserve">Goods Playable Model — working draft, advanced.</w:t>
      </w:r>
      <w:r>
        <w:t xml:space="preserve"> </w:t>
      </w:r>
      <w:r>
        <w:t xml:space="preserve">It is the GOC-only model Area 4 asked for, and its headline numbers match our pack exactly. To make it final: supply the full workbook (not just the Control Panel tab), lock the opening-cash input (the $50K placeholder is the highest-leverage number in the model), attach the firm capex quote, and get it accountant-endorsed. The accountant endorsement is now a hard Stage-2 requirement, not optional polish.</w:t>
      </w:r>
    </w:p>
    <w:p>
      <w:pPr>
        <w:pStyle w:val="BodyText"/>
      </w:pPr>
      <w:r>
        <w:rPr>
          <w:b/>
        </w:rPr>
        <w:t xml:space="preserve">CASE Investor Alignment Tool — blank template.</w:t>
      </w:r>
      <w:r>
        <w:t xml:space="preserve"> </w:t>
      </w:r>
      <w:r>
        <w:t xml:space="preserve">The right instrument for Area 10 investor triage, but it contains only the vendor’s fictional example. To make it usable it needs three things filled in: our own knockout + fit criteria (Tab 1), our real investor pipeline (Tab 2), and alignment scores for each (Tab 3). We already hold all of this — the investor profiles and pipeline are in the wiki — so this is a populate-from-what-we-have job, not a research job.</w:t>
      </w:r>
      <w:r>
        <w:t xml:space="preserve"> </w:t>
      </w:r>
      <w:r>
        <w:rPr>
          <w:i/>
        </w:rPr>
        <w:t xml:space="preserve">I can populate it if you want.</w:t>
      </w:r>
    </w:p>
    <w:p>
      <w:r>
        <w:pict>
          <v:rect style="width:0;height:1.5pt" o:hralign="center" o:hrstd="t" o:hr="t"/>
        </w:pict>
      </w:r>
    </w:p>
    <w:p>
      <w:pPr>
        <w:pStyle w:val="Heading2"/>
      </w:pPr>
      <w:bookmarkStart w:id="50" w:name="Xe0a603b84074813681a92411c9c3392934d5fc3"/>
      <w:r>
        <w:t xml:space="preserve">What is genuinely left (the part no document can finish)</w:t>
      </w:r>
      <w:bookmarkEnd w:id="50"/>
    </w:p>
    <w:p>
      <w:pPr>
        <w:pStyle w:val="FirstParagraph"/>
      </w:pPr>
      <w:r>
        <w:t xml:space="preserve">The diagnostic’s deepest point, repeated across areas, is that materials must be founder-owned, accurate, and defensible in live Q&amp;A — and that the real readiness gap is signed money and audited numbers, not collateral. So the remaining work is the five proofs from the focus brief, now sharpened by the Stage-2 requirements:</w:t>
      </w:r>
    </w:p>
    <w:p>
      <w:pPr>
        <w:numPr>
          <w:ilvl w:val="0"/>
          <w:numId w:val="1005"/>
        </w:numPr>
        <w:pStyle w:val="Compact"/>
      </w:pPr>
      <w:r>
        <w:rPr>
          <w:b/>
        </w:rPr>
        <w:t xml:space="preserve">One signed, legally-binding commitment</w:t>
      </w:r>
      <w:r>
        <w:t xml:space="preserve"> </w:t>
      </w:r>
      <w:r>
        <w:t xml:space="preserve">(letter of commitment / loan / investment agreement) — verified by SIH. This is the match. Snow / Centrecorp / SEFA notes are drafted; the signature is human.</w:t>
      </w:r>
    </w:p>
    <w:p>
      <w:pPr>
        <w:numPr>
          <w:ilvl w:val="0"/>
          <w:numId w:val="1005"/>
        </w:numPr>
        <w:pStyle w:val="Compact"/>
      </w:pPr>
      <w:r>
        <w:rPr>
          <w:b/>
        </w:rPr>
        <w:t xml:space="preserve">Accountant-endorsed, GOC-only financials</w:t>
      </w:r>
      <w:r>
        <w:t xml:space="preserve"> </w:t>
      </w:r>
      <w:r>
        <w:t xml:space="preserve">— now a hard Stage-2 gate (audited or accountant-endorsed). The Playable Model is the input; the endorsement is the deliverable.</w:t>
      </w:r>
    </w:p>
    <w:p>
      <w:pPr>
        <w:numPr>
          <w:ilvl w:val="0"/>
          <w:numId w:val="1005"/>
        </w:numPr>
        <w:pStyle w:val="Compact"/>
      </w:pPr>
      <w:r>
        <w:rPr>
          <w:b/>
        </w:rPr>
        <w:t xml:space="preserve">The legal-entity decision</w:t>
      </w:r>
      <w:r>
        <w:t xml:space="preserve"> </w:t>
      </w:r>
      <w:r>
        <w:t xml:space="preserve">— approve the entity-wording block; decide the community-ownership structure and mission lock with Keith Rovers.</w:t>
      </w:r>
    </w:p>
    <w:p>
      <w:pPr>
        <w:numPr>
          <w:ilvl w:val="0"/>
          <w:numId w:val="1005"/>
        </w:numPr>
        <w:pStyle w:val="Compact"/>
      </w:pPr>
      <w:r>
        <w:rPr>
          <w:b/>
        </w:rPr>
        <w:t xml:space="preserve">A measured in-source cost</w:t>
      </w:r>
      <w:r>
        <w:t xml:space="preserve"> </w:t>
      </w:r>
      <w:r>
        <w:t xml:space="preserve">— the 50-bed run that proves $425.74.</w:t>
      </w:r>
    </w:p>
    <w:p>
      <w:pPr>
        <w:numPr>
          <w:ilvl w:val="0"/>
          <w:numId w:val="1005"/>
        </w:numPr>
        <w:pStyle w:val="Compact"/>
      </w:pPr>
      <w:r>
        <w:rPr>
          <w:b/>
        </w:rPr>
        <w:t xml:space="preserve">Consent-cleared story list</w:t>
      </w:r>
      <w:r>
        <w:t xml:space="preserve"> </w:t>
      </w:r>
      <w:r>
        <w:t xml:space="preserve">— beyond Ivy Johnson, Dianne Stokes, Ray Nelson.</w:t>
      </w:r>
    </w:p>
    <w:p>
      <w:pPr>
        <w:pStyle w:val="FirstParagraph"/>
      </w:pPr>
      <w:r>
        <w:rPr>
          <w:b/>
        </w:rPr>
        <w:t xml:space="preserve">Stage-2 application pack (due September 2026)</w:t>
      </w:r>
      <w:r>
        <w:t xml:space="preserve"> </w:t>
      </w:r>
      <w:r>
        <w:t xml:space="preserve">will need, on top of the above: the application form, legally-binding match evidence, the funding-stack deployment plan (our deck/memo cover this), an Impact Measurement Report with beneficiary demographics (our MEL method is the spine), corporate-structure + governance documents (entity block + governance build), and a 15-min pitch + 45-min interview.</w:t>
      </w:r>
    </w:p>
    <w:p>
      <w:r>
        <w:pict>
          <v:rect style="width:0;height:1.5pt" o:hralign="center" o:hrstd="t" o:hr="t"/>
        </w:pict>
      </w:r>
    </w:p>
    <w:p>
      <w:pPr>
        <w:pStyle w:val="Heading2"/>
      </w:pPr>
      <w:bookmarkStart w:id="51" w:name="corrections-status"/>
      <w:r>
        <w:t xml:space="preserve">Corrections — status</w:t>
      </w:r>
      <w:bookmarkEnd w:id="51"/>
    </w:p>
    <w:p>
      <w:pPr>
        <w:numPr>
          <w:ilvl w:val="0"/>
          <w:numId w:val="1006"/>
        </w:numPr>
        <w:pStyle w:val="Compact"/>
      </w:pPr>
      <w:r>
        <w:t xml:space="preserve">✅</w:t>
      </w:r>
      <w:r>
        <w:t xml:space="preserve"> </w:t>
      </w:r>
      <w:r>
        <w:rPr>
          <w:b/>
        </w:rPr>
        <w:t xml:space="preserve">$200K → $400K match</w:t>
      </w:r>
      <w:r>
        <w:t xml:space="preserve"> </w:t>
      </w:r>
      <w:r>
        <w:t xml:space="preserve">applied across memo §4, one-pager, alignment map, deck slide 11, and skill (2026-06-13). Now stated as up to $400K, ≥1:1 vs secured external capital, repayable preferred, legally-binding evidence verified at the Sept 2026 application.</w:t>
      </w:r>
    </w:p>
    <w:p>
      <w:pPr>
        <w:numPr>
          <w:ilvl w:val="0"/>
          <w:numId w:val="1006"/>
        </w:numPr>
        <w:pStyle w:val="Compact"/>
      </w:pPr>
      <w:r>
        <w:t xml:space="preserve">✅</w:t>
      </w:r>
      <w:r>
        <w:t xml:space="preserve"> </w:t>
      </w:r>
      <w:r>
        <w:rPr>
          <w:b/>
        </w:rPr>
        <w:t xml:space="preserve">Investor alignment tool populated</w:t>
      </w:r>
      <w:r>
        <w:t xml:space="preserve"> </w:t>
      </w:r>
      <w:r>
        <w:t xml:space="preserve">from our real pipeline — see</w:t>
      </w:r>
      <w:r>
        <w:t xml:space="preserve"> </w:t>
      </w:r>
      <w:r>
        <w:rPr>
          <w:rStyle w:val="VerbatimChar"/>
        </w:rPr>
        <w:t xml:space="preserve">12-investor-alignment.md</w:t>
      </w:r>
      <w:r>
        <w:t xml:space="preserve"> </w:t>
      </w:r>
      <w:r>
        <w:t xml:space="preserve">(and the populated workbook). Area 10/12 now has a usable artifact, not a blank template.</w:t>
      </w:r>
    </w:p>
    <w:p>
      <w:pPr>
        <w:numPr>
          <w:ilvl w:val="0"/>
          <w:numId w:val="1006"/>
        </w:numPr>
        <w:pStyle w:val="Compact"/>
      </w:pPr>
      <w:r>
        <w:t xml:space="preserve">⏳ Keep the EOI’s old figures out of any restatement; if Stage 2 references the EOI, explain the growth from $210K to the current blended ask. (No document currently restates the old EOI figures.)</w:t>
      </w:r>
    </w:p>
    <w:p>
      <w:r>
        <w:br w:type="page"/>
      </w:r>
    </w:p>
    <w:p>
      <w:pPr>
        <w:pStyle w:val="Heading1"/>
      </w:pPr>
      <w:bookmarkStart w:id="52" w:name="next-stage-focus"/>
      <w:r>
        <w:t xml:space="preserve">Next-Stage Focus</w:t>
      </w:r>
      <w:bookmarkEnd w:id="52"/>
    </w:p>
    <w:p>
      <w:pPr>
        <w:pStyle w:val="Heading1"/>
      </w:pPr>
      <w:bookmarkStart w:id="53" w:name="next-stage-focus-1"/>
      <w:r>
        <w:t xml:space="preserve">Next-stage focus</w:t>
      </w:r>
      <w:bookmarkEnd w:id="53"/>
    </w:p>
    <w:p>
      <w:pPr>
        <w:pStyle w:val="Heading2"/>
      </w:pPr>
      <w:bookmarkStart w:id="54" w:name="the-whole-thing-in-five-sentences"/>
      <w:r>
        <w:t xml:space="preserve">The whole thing in five sentences</w:t>
      </w:r>
      <w:bookmarkEnd w:id="54"/>
    </w:p>
    <w:p>
      <w:pPr>
        <w:pStyle w:val="FirstParagraph"/>
      </w:pPr>
      <w:r>
        <w:t xml:space="preserve">QBE’s diagnostic is a 12-part readiness checklist. You have already written all 12 — every area in the live tracker reads</w:t>
      </w:r>
      <w:r>
        <w:t xml:space="preserve"> </w:t>
      </w:r>
      <w:r>
        <w:rPr>
          <w:b/>
        </w:rPr>
        <w:t xml:space="preserve">“</w:t>
      </w:r>
      <w:r>
        <w:rPr>
          <w:b/>
        </w:rPr>
        <w:t xml:space="preserve">Built — needs review,</w:t>
      </w:r>
      <w:r>
        <w:rPr>
          <w:b/>
        </w:rPr>
        <w:t xml:space="preserve">”</w:t>
      </w:r>
      <w:r>
        <w:t xml:space="preserve"> </w:t>
      </w:r>
      <w:r>
        <w:t xml:space="preserve">so the documentation phase is essentially done. The diagnostic was never the goal; it is scaffolding to make you investment-ready. The goal of this stage is one thing:</w:t>
      </w:r>
      <w:r>
        <w:t xml:space="preserve"> </w:t>
      </w:r>
      <w:r>
        <w:rPr>
          <w:b/>
        </w:rPr>
        <w:t xml:space="preserve">turn proof into the first signed dollar.</w:t>
      </w:r>
      <w:r>
        <w:t xml:space="preserve"> </w:t>
      </w:r>
      <w:r>
        <w:t xml:space="preserve">Everything still open is either a decision only you and Nic can make, or a sign-off only an accountant, a lawyer, or a community partner can give — not more writing.</w:t>
      </w:r>
    </w:p>
    <w:p>
      <w:pPr>
        <w:pStyle w:val="Heading2"/>
      </w:pPr>
      <w:bookmarkStart w:id="55" w:name="why-it-feels-complicated-and-why-it-isnt"/>
      <w:r>
        <w:t xml:space="preserve">Why it feels complicated, and why it isn’t</w:t>
      </w:r>
      <w:bookmarkEnd w:id="55"/>
    </w:p>
    <w:p>
      <w:pPr>
        <w:pStyle w:val="FirstParagraph"/>
      </w:pPr>
      <w:r>
        <w:t xml:space="preserve">Twelve areas, four priority levels, a dozen due dates — it looks like a wall. But the twelve areas collapse into</w:t>
      </w:r>
      <w:r>
        <w:t xml:space="preserve"> </w:t>
      </w:r>
      <w:r>
        <w:rPr>
          <w:b/>
        </w:rPr>
        <w:t xml:space="preserve">one goal and five proofs</w:t>
      </w:r>
      <w:r>
        <w:t xml:space="preserve">, and none of the five proofs is a writing task. The writing is finished. What is left is real-world evidence.</w:t>
      </w:r>
    </w:p>
    <w:p>
      <w:pPr>
        <w:pStyle w:val="BlockText"/>
      </w:pPr>
      <w:r>
        <w:rPr>
          <w:b/>
        </w:rPr>
        <w:t xml:space="preserve">The one goal:</w:t>
      </w:r>
      <w:r>
        <w:t xml:space="preserve"> </w:t>
      </w:r>
      <w:r>
        <w:t xml:space="preserve">close the first</w:t>
      </w:r>
      <w:r>
        <w:t xml:space="preserve"> </w:t>
      </w:r>
      <w:r>
        <w:rPr>
          <w:b/>
        </w:rPr>
        <w:t xml:space="preserve">~AU$400K of signed, match-eligible capital by 31 August 2026.</w:t>
      </w:r>
      <w:r>
        <w:t xml:space="preserve"> </w:t>
      </w:r>
      <w:r>
        <w:t xml:space="preserve">QBE adds up to $400K — but only as a</w:t>
      </w:r>
      <w:r>
        <w:t xml:space="preserve"> </w:t>
      </w:r>
      <w:r>
        <w:rPr>
          <w:i/>
        </w:rPr>
        <w:t xml:space="preserve">match</w:t>
      </w:r>
      <w:r>
        <w:t xml:space="preserve">, so signed external money has to come first. Today that number is</w:t>
      </w:r>
      <w:r>
        <w:t xml:space="preserve"> </w:t>
      </w:r>
      <w:r>
        <w:rPr>
          <w:b/>
        </w:rPr>
        <w:t xml:space="preserve">$0 signed</w:t>
      </w:r>
      <w:r>
        <w:t xml:space="preserve">. The entire stage is the work of getting it off zero.</w:t>
      </w:r>
    </w:p>
    <w:p>
      <w:pPr>
        <w:pStyle w:val="FirstParagraph"/>
      </w:pPr>
      <w:r>
        <w:t xml:space="preserve">The QBE match is a lever with nothing under it yet. Once one funder signs, the others have permission to follow. So the next ~12 weeks are not about polishing the pack — they are about converting your warmest conversation (Snow R4/R5) into one signed commitment, and clearing the five things a serious funder will check before they sign.</w:t>
      </w:r>
    </w:p>
    <w:p>
      <w:pPr>
        <w:pStyle w:val="Heading2"/>
      </w:pPr>
      <w:bookmarkStart w:id="56" w:name="Xa1ba3d004367ed7390413b44165a4b1d9f47871"/>
      <w:r>
        <w:t xml:space="preserve">The five proofs (this is the real to-do list)</w:t>
      </w:r>
      <w:bookmarkEnd w:id="56"/>
    </w:p>
    <w:p>
      <w:pPr>
        <w:pStyle w:val="FirstParagraph"/>
      </w:pPr>
      <w:r>
        <w:t xml:space="preserve">Each proof maps to areas in the live tracker. The owner and date columns are taken straight from the Notion tracker — note that the</w:t>
      </w:r>
      <w:r>
        <w:t xml:space="preserve"> </w:t>
      </w:r>
      <w:r>
        <w:rPr>
          <w:b/>
        </w:rPr>
        <w:t xml:space="preserve">7 June batch is already overdue</w:t>
      </w:r>
      <w:r>
        <w:t xml:space="preserve"> </w:t>
      </w:r>
      <w:r>
        <w:t xml:space="preserve">and the</w:t>
      </w:r>
      <w:r>
        <w:t xml:space="preserve"> </w:t>
      </w:r>
      <w:r>
        <w:rPr>
          <w:b/>
        </w:rPr>
        <w:t xml:space="preserve">14 June batch is due tomorrow.</w:t>
      </w:r>
    </w:p>
    <w:p>
      <w:pPr>
        <w:pStyle w:val="Heading3"/>
      </w:pPr>
      <w:bookmarkStart w:id="57" w:name="proof-1-money-is-real"/>
      <w:r>
        <w:t xml:space="preserve">Proof 1 — Money is real</w:t>
      </w:r>
      <w:bookmarkEnd w:id="57"/>
    </w:p>
    <w:p>
      <w:pPr>
        <w:pStyle w:val="FirstParagraph"/>
      </w:pPr>
      <w:r>
        <w:rPr>
          <w:i/>
        </w:rPr>
        <w:t xml:space="preserve">Areas 03, 04, 10, 12 · Owner: Ben / Nic / accountant · Due: now–14 Jun (overdue/imminent)</w:t>
      </w:r>
      <w:r>
        <w:t xml:space="preserve"> </w:t>
      </w:r>
      <w:r>
        <w:t xml:space="preserve">-</w:t>
      </w:r>
      <w:r>
        <w:t xml:space="preserve"> </w:t>
      </w:r>
      <w:r>
        <w:rPr>
          <w:b/>
        </w:rPr>
        <w:t xml:space="preserve">One signed commitment.</w:t>
      </w:r>
      <w:r>
        <w:t xml:space="preserve"> </w:t>
      </w:r>
      <w:r>
        <w:t xml:space="preserve">A signed LOI or offtake from the warmest source (Snow R4/R5; Centrecorp’s end-June board; SEFA). This single artefact unlocks the QBE match</w:t>
      </w:r>
      <w:r>
        <w:t xml:space="preserve"> </w:t>
      </w:r>
      <w:r>
        <w:rPr>
          <w:i/>
        </w:rPr>
        <w:t xml:space="preserve">and</w:t>
      </w:r>
      <w:r>
        <w:t xml:space="preserve"> </w:t>
      </w:r>
      <w:r>
        <w:t xml:space="preserve">fixes the</w:t>
      </w:r>
      <w:r>
        <w:t xml:space="preserve"> </w:t>
      </w:r>
      <w:r>
        <w:t xml:space="preserve">“</w:t>
      </w:r>
      <w:r>
        <w:t xml:space="preserve">weak commercial paperwork</w:t>
      </w:r>
      <w:r>
        <w:t xml:space="preserve">”</w:t>
      </w:r>
      <w:r>
        <w:t xml:space="preserve"> </w:t>
      </w:r>
      <w:r>
        <w:t xml:space="preserve">gap at once.</w:t>
      </w:r>
      <w:r>
        <w:t xml:space="preserve"> </w:t>
      </w:r>
      <w:r>
        <w:t xml:space="preserve">-</w:t>
      </w:r>
      <w:r>
        <w:t xml:space="preserve"> </w:t>
      </w:r>
      <w:r>
        <w:rPr>
          <w:b/>
        </w:rPr>
        <w:t xml:space="preserve">Accountant-reviewed, Goods-only finance.</w:t>
      </w:r>
      <w:r>
        <w:t xml:space="preserve"> </w:t>
      </w:r>
      <w:r>
        <w:t xml:space="preserve">Reconcile the revenue cuts into one number an accountant will stand behind, and decide the</w:t>
      </w:r>
      <w:r>
        <w:t xml:space="preserve"> </w:t>
      </w:r>
      <w:r>
        <w:rPr>
          <w:b/>
        </w:rPr>
        <w:t xml:space="preserve">gross-vs-net capital ask</w:t>
      </w:r>
      <w:r>
        <w:t xml:space="preserve">. (Live Xero check 1 Jun: $733,410.79 raised / $650,910.79 paid / $82,500 due — re-pull on the day you send.)</w:t>
      </w:r>
      <w:r>
        <w:t xml:space="preserve"> </w:t>
      </w:r>
      <w:r>
        <w:t xml:space="preserve">-</w:t>
      </w:r>
      <w:r>
        <w:t xml:space="preserve"> </w:t>
      </w:r>
      <w:r>
        <w:rPr>
          <w:b/>
        </w:rPr>
        <w:t xml:space="preserve">The commitment register is now live</w:t>
      </w:r>
      <w:r>
        <w:t xml:space="preserve"> </w:t>
      </w:r>
      <w:r>
        <w:t xml:space="preserve">in CivicGraph (Match Campaign tab) — use it; that is where</w:t>
      </w:r>
      <w:r>
        <w:t xml:space="preserve"> </w:t>
      </w:r>
      <w:r>
        <w:t xml:space="preserve">“</w:t>
      </w:r>
      <w:r>
        <w:t xml:space="preserve">the round assembling in real time</w:t>
      </w:r>
      <w:r>
        <w:t xml:space="preserve">”</w:t>
      </w:r>
      <w:r>
        <w:t xml:space="preserve"> </w:t>
      </w:r>
      <w:r>
        <w:t xml:space="preserve">actually lives.</w:t>
      </w:r>
    </w:p>
    <w:p>
      <w:pPr>
        <w:pStyle w:val="Heading3"/>
      </w:pPr>
      <w:bookmarkStart w:id="58" w:name="proof-2-the-legal-vehicle-is-decided"/>
      <w:r>
        <w:t xml:space="preserve">Proof 2 — The legal vehicle is decided</w:t>
      </w:r>
      <w:bookmarkEnd w:id="58"/>
    </w:p>
    <w:p>
      <w:pPr>
        <w:pStyle w:val="FirstParagraph"/>
      </w:pPr>
      <w:r>
        <w:rPr>
          <w:i/>
        </w:rPr>
        <w:t xml:space="preserve">Area 09 (the keystone) · Owner: Ben / Nic / Keith Rovers (legal) · Due: 21 Jun</w:t>
      </w:r>
      <w:r>
        <w:t xml:space="preserve"> </w:t>
      </w:r>
      <w:r>
        <w:t xml:space="preserve">-</w:t>
      </w:r>
      <w:r>
        <w:t xml:space="preserve"> </w:t>
      </w:r>
      <w:r>
        <w:rPr>
          <w:b/>
        </w:rPr>
        <w:t xml:space="preserve">One approved entity-wording block</w:t>
      </w:r>
      <w:r>
        <w:t xml:space="preserve"> </w:t>
      </w:r>
      <w:r>
        <w:t xml:space="preserve">for public pages, grant forms, contracts, and investor material — covering who trades (A Curious Tractor Pty Ltd, migrating), the DGR home (Butterfly Movement Ltd, FY2026-27), and the community-ownership pathway language.</w:t>
      </w:r>
      <w:r>
        <w:t xml:space="preserve"> </w:t>
      </w:r>
      <w:r>
        <w:t xml:space="preserve">- This is the</w:t>
      </w:r>
      <w:r>
        <w:t xml:space="preserve"> </w:t>
      </w:r>
      <w:r>
        <w:rPr>
          <w:b/>
        </w:rPr>
        <w:t xml:space="preserve">keystone</w:t>
      </w:r>
      <w:r>
        <w:t xml:space="preserve">: it gates Supply Nation 51% certification, IBA eligibility, and four of the eight procurement channels. Nothing about ownership should read as</w:t>
      </w:r>
      <w:r>
        <w:t xml:space="preserve"> </w:t>
      </w:r>
      <w:r>
        <w:t xml:space="preserve">“</w:t>
      </w:r>
      <w:r>
        <w:t xml:space="preserve">already transferred</w:t>
      </w:r>
      <w:r>
        <w:t xml:space="preserve">”</w:t>
      </w:r>
      <w:r>
        <w:t xml:space="preserve"> </w:t>
      </w:r>
      <w:r>
        <w:t xml:space="preserve">until this is signed off.</w:t>
      </w:r>
    </w:p>
    <w:p>
      <w:pPr>
        <w:pStyle w:val="Heading3"/>
      </w:pPr>
      <w:bookmarkStart w:id="59" w:name="X9a8bb9e0256180c0328ae34da2911ced90ea853"/>
      <w:r>
        <w:t xml:space="preserve">Proof 3 — The cost-down is measured, not modelled</w:t>
      </w:r>
      <w:bookmarkEnd w:id="59"/>
    </w:p>
    <w:p>
      <w:pPr>
        <w:pStyle w:val="FirstParagraph"/>
      </w:pPr>
      <w:r>
        <w:rPr>
          <w:i/>
        </w:rPr>
        <w:t xml:space="preserve">Areas 11, 03 · Owner: Nic / accountant / SIH cost advisor · Due: now–2 months</w:t>
      </w:r>
      <w:r>
        <w:t xml:space="preserve"> </w:t>
      </w:r>
      <w:r>
        <w:t xml:space="preserve">-</w:t>
      </w:r>
      <w:r>
        <w:t xml:space="preserve"> </w:t>
      </w:r>
      <w:r>
        <w:rPr>
          <w:b/>
        </w:rPr>
        <w:t xml:space="preserve">Vendor quotes</w:t>
      </w:r>
      <w:r>
        <w:t xml:space="preserve"> </w:t>
      </w:r>
      <w:r>
        <w:t xml:space="preserve">for the container + On-Country plant (bed-level BOM is mostly verified; facility/site capex is still modelled at $112–222K / $100–150K per site).</w:t>
      </w:r>
      <w:r>
        <w:t xml:space="preserve"> </w:t>
      </w:r>
      <w:r>
        <w:t xml:space="preserve">-</w:t>
      </w:r>
      <w:r>
        <w:t xml:space="preserve"> </w:t>
      </w:r>
      <w:r>
        <w:rPr>
          <w:b/>
        </w:rPr>
        <w:t xml:space="preserve">The 50-bed in-source run</w:t>
      </w:r>
      <w:r>
        <w:t xml:space="preserve"> </w:t>
      </w:r>
      <w:r>
        <w:t xml:space="preserve">(~$60–80K) that turns the AU$426 in-house cost from</w:t>
      </w:r>
      <w:r>
        <w:t xml:space="preserve"> </w:t>
      </w:r>
      <w:r>
        <w:rPr>
          <w:i/>
        </w:rPr>
        <w:t xml:space="preserve">modelled</w:t>
      </w:r>
      <w:r>
        <w:t xml:space="preserve"> </w:t>
      </w:r>
      <w:r>
        <w:t xml:space="preserve">to</w:t>
      </w:r>
      <w:r>
        <w:t xml:space="preserve"> </w:t>
      </w:r>
      <w:r>
        <w:rPr>
          <w:i/>
        </w:rPr>
        <w:t xml:space="preserve">measured</w:t>
      </w:r>
      <w:r>
        <w:t xml:space="preserve">. This is the single experiment the catalytic ask is built around — pass and you scale; miss and you re-base honestly.</w:t>
      </w:r>
    </w:p>
    <w:p>
      <w:pPr>
        <w:pStyle w:val="Heading3"/>
      </w:pPr>
      <w:bookmarkStart w:id="60" w:name="proof-4-impact-and-consent-hold-up"/>
      <w:r>
        <w:t xml:space="preserve">Proof 4 — Impact and consent hold up</w:t>
      </w:r>
      <w:bookmarkEnd w:id="60"/>
    </w:p>
    <w:p>
      <w:pPr>
        <w:pStyle w:val="FirstParagraph"/>
      </w:pPr>
      <w:r>
        <w:rPr>
          <w:i/>
        </w:rPr>
        <w:t xml:space="preserve">Areas 02, 07 · Owner: Ben · Due: 14 Jun (imminent)</w:t>
      </w:r>
      <w:r>
        <w:t xml:space="preserve"> </w:t>
      </w:r>
      <w:r>
        <w:t xml:space="preserve">-</w:t>
      </w:r>
      <w:r>
        <w:t xml:space="preserve"> </w:t>
      </w:r>
      <w:r>
        <w:rPr>
          <w:b/>
        </w:rPr>
        <w:t xml:space="preserve">A measurement-method one-pager</w:t>
      </w:r>
      <w:r>
        <w:t xml:space="preserve"> </w:t>
      </w:r>
      <w:r>
        <w:t xml:space="preserve">that separates verified assets from modelled outcomes from future health indicators — no clinical-outcome claims without partner evidence.</w:t>
      </w:r>
      <w:r>
        <w:t xml:space="preserve"> </w:t>
      </w:r>
      <w:r>
        <w:t xml:space="preserve">-</w:t>
      </w:r>
      <w:r>
        <w:t xml:space="preserve"> </w:t>
      </w:r>
      <w:r>
        <w:rPr>
          <w:b/>
        </w:rPr>
        <w:t xml:space="preserve">A consent-cleared story list.</w:t>
      </w:r>
      <w:r>
        <w:t xml:space="preserve"> </w:t>
      </w:r>
      <w:r>
        <w:t xml:space="preserve">Right now only Ivy Johnson, Dianne Stokes, and Ray Nelson are cleared for external use. Nothing else ships until consent is confirmed.</w:t>
      </w:r>
    </w:p>
    <w:p>
      <w:pPr>
        <w:pStyle w:val="Heading3"/>
      </w:pPr>
      <w:bookmarkStart w:id="61" w:name="X25e175e6321cbc1e662f535982c1233fd6e5d1c"/>
      <w:r>
        <w:t xml:space="preserve">Proof 5 — Governance and people look fundable</w:t>
      </w:r>
      <w:bookmarkEnd w:id="61"/>
    </w:p>
    <w:p>
      <w:pPr>
        <w:pStyle w:val="FirstParagraph"/>
      </w:pPr>
      <w:r>
        <w:rPr>
          <w:i/>
        </w:rPr>
        <w:t xml:space="preserve">Areas 05, 07, 08 · Owner: Ben / Nic · Due: 21–28 Jun</w:t>
      </w:r>
      <w:r>
        <w:t xml:space="preserve"> </w:t>
      </w:r>
      <w:r>
        <w:t xml:space="preserve">-</w:t>
      </w:r>
      <w:r>
        <w:t xml:space="preserve"> </w:t>
      </w:r>
      <w:r>
        <w:rPr>
          <w:b/>
        </w:rPr>
        <w:t xml:space="preserve">A scored risk register</w:t>
      </w:r>
      <w:r>
        <w:t xml:space="preserve"> </w:t>
      </w:r>
      <w:r>
        <w:t xml:space="preserve">with named owners and mitigations (replacing the prose risk list).</w:t>
      </w:r>
      <w:r>
        <w:t xml:space="preserve"> </w:t>
      </w:r>
      <w:r>
        <w:t xml:space="preserve">-</w:t>
      </w:r>
      <w:r>
        <w:t xml:space="preserve"> </w:t>
      </w:r>
      <w:r>
        <w:rPr>
          <w:b/>
        </w:rPr>
        <w:t xml:space="preserve">The step from advisory to a board</w:t>
      </w:r>
      <w:r>
        <w:t xml:space="preserve"> </w:t>
      </w:r>
      <w:r>
        <w:t xml:space="preserve">— one or two directors with commercial/scale-up experience. SEFA’s debt line is gated on an independent-majority board.</w:t>
      </w:r>
      <w:r>
        <w:t xml:space="preserve"> </w:t>
      </w:r>
      <w:r>
        <w:t xml:space="preserve">-</w:t>
      </w:r>
      <w:r>
        <w:t xml:space="preserve"> </w:t>
      </w:r>
      <w:r>
        <w:rPr>
          <w:b/>
        </w:rPr>
        <w:t xml:space="preserve">A 12-month role map</w:t>
      </w:r>
      <w:r>
        <w:t xml:space="preserve"> </w:t>
      </w:r>
      <w:r>
        <w:t xml:space="preserve">+ founder-dependency plan (the two-FTE bottleneck is the standing #1 risk). Name the GM and BD roles before the team slide ships.</w:t>
      </w:r>
    </w:p>
    <w:p>
      <w:pPr>
        <w:pStyle w:val="Heading2"/>
      </w:pPr>
      <w:bookmarkStart w:id="62" w:name="Xf760e07a2f8a4d4d8434c13e08aa29b7ce3bbd9"/>
      <w:r>
        <w:t xml:space="preserve">What changed since the pack was built (review deltas)</w:t>
      </w:r>
      <w:bookmarkEnd w:id="62"/>
    </w:p>
    <w:p>
      <w:pPr>
        <w:pStyle w:val="FirstParagraph"/>
      </w:pPr>
      <w:r>
        <w:t xml:space="preserve">The pack we built holds up well against the live tracker, with two corrections and two pieces of good news:</w:t>
      </w:r>
    </w:p>
    <w:p>
      <w:pPr>
        <w:numPr>
          <w:ilvl w:val="0"/>
          <w:numId w:val="1007"/>
        </w:numPr>
        <w:pStyle w:val="Compact"/>
      </w:pPr>
      <w:r>
        <w:rPr>
          <w:b/>
        </w:rPr>
        <w:t xml:space="preserve">Communities — use 9, not 10 (please confirm).</w:t>
      </w:r>
      <w:r>
        <w:t xml:space="preserve"> </w:t>
      </w:r>
      <w:r>
        <w:t xml:space="preserve">The pack says</w:t>
      </w:r>
      <w:r>
        <w:t xml:space="preserve"> </w:t>
      </w:r>
      <w:r>
        <w:t xml:space="preserve">“</w:t>
      </w:r>
      <w:r>
        <w:t xml:space="preserve">10 communities.</w:t>
      </w:r>
      <w:r>
        <w:t xml:space="preserve">”</w:t>
      </w:r>
      <w:r>
        <w:t xml:space="preserve"> </w:t>
      </w:r>
      <w:r>
        <w:t xml:space="preserve">The live reviewer-approved Notion copy (1 Jun) says</w:t>
      </w:r>
      <w:r>
        <w:t xml:space="preserve"> </w:t>
      </w:r>
      <w:r>
        <w:rPr>
          <w:b/>
        </w:rPr>
        <w:t xml:space="preserve">“</w:t>
      </w:r>
      <w:r>
        <w:rPr>
          <w:b/>
        </w:rPr>
        <w:t xml:space="preserve">9 served communities.</w:t>
      </w:r>
      <w:r>
        <w:rPr>
          <w:b/>
        </w:rPr>
        <w:t xml:space="preserve">”</w:t>
      </w:r>
      <w:r>
        <w:t xml:space="preserve"> </w:t>
      </w:r>
      <w:r>
        <w:t xml:space="preserve">Recommend the conservative reviewer-approved 9 for anything external until you confirm the definition (served vs represented-in-records). One word, but it is on the deck, memo, and one-pager — say the word and I’ll propagate it everywhere in one pass.</w:t>
      </w:r>
    </w:p>
    <w:p>
      <w:pPr>
        <w:numPr>
          <w:ilvl w:val="0"/>
          <w:numId w:val="1007"/>
        </w:numPr>
        <w:pStyle w:val="Compact"/>
      </w:pPr>
      <w:r>
        <w:rPr>
          <w:b/>
        </w:rPr>
        <w:t xml:space="preserve">Revenue moved ~$1,200.</w:t>
      </w:r>
      <w:r>
        <w:t xml:space="preserve"> </w:t>
      </w:r>
      <w:r>
        <w:t xml:space="preserve">Pack uses 29-May figures; live 1-June Xero is slightly higher. Not an error — it drifts as invoices clear. Always re-pull on send day.</w:t>
      </w:r>
    </w:p>
    <w:p>
      <w:pPr>
        <w:numPr>
          <w:ilvl w:val="0"/>
          <w:numId w:val="1007"/>
        </w:numPr>
        <w:pStyle w:val="Compact"/>
      </w:pPr>
      <w:r>
        <w:rPr>
          <w:b/>
        </w:rPr>
        <w:t xml:space="preserve">Good news: HighLevel is verified again</w:t>
      </w:r>
      <w:r>
        <w:t xml:space="preserve"> </w:t>
      </w:r>
      <w:r>
        <w:t xml:space="preserve">(10 Jun) — the</w:t>
      </w:r>
      <w:r>
        <w:t xml:space="preserve"> </w:t>
      </w:r>
      <w:r>
        <w:t xml:space="preserve">“</w:t>
      </w:r>
      <w:r>
        <w:t xml:space="preserve">pipeline unverified</w:t>
      </w:r>
      <w:r>
        <w:t xml:space="preserve">”</w:t>
      </w:r>
      <w:r>
        <w:t xml:space="preserve"> </w:t>
      </w:r>
      <w:r>
        <w:t xml:space="preserve">caveat can come off.</w:t>
      </w:r>
    </w:p>
    <w:p>
      <w:pPr>
        <w:numPr>
          <w:ilvl w:val="0"/>
          <w:numId w:val="1007"/>
        </w:numPr>
        <w:pStyle w:val="Compact"/>
      </w:pPr>
      <w:r>
        <w:rPr>
          <w:b/>
        </w:rPr>
        <w:t xml:space="preserve">Good news: the commitment register is live</w:t>
      </w:r>
      <w:r>
        <w:t xml:space="preserve"> </w:t>
      </w:r>
      <w:r>
        <w:t xml:space="preserve">in CivicGraph — the deck’s</w:t>
      </w:r>
      <w:r>
        <w:t xml:space="preserve"> </w:t>
      </w:r>
      <w:r>
        <w:t xml:space="preserve">“</w:t>
      </w:r>
      <w:r>
        <w:t xml:space="preserve">round assembling</w:t>
      </w:r>
      <w:r>
        <w:t xml:space="preserve">”</w:t>
      </w:r>
      <w:r>
        <w:t xml:space="preserve"> </w:t>
      </w:r>
      <w:r>
        <w:t xml:space="preserve">slide now has a real backing source.</w:t>
      </w:r>
    </w:p>
    <w:p>
      <w:pPr>
        <w:pStyle w:val="Heading2"/>
      </w:pPr>
      <w:bookmarkStart w:id="63" w:name="the-one-line-version-to-tell-anyone"/>
      <w:r>
        <w:t xml:space="preserve">The one-line version to tell anyone</w:t>
      </w:r>
      <w:bookmarkEnd w:id="63"/>
    </w:p>
    <w:p>
      <w:pPr>
        <w:pStyle w:val="BlockText"/>
      </w:pPr>
      <w:r>
        <w:t xml:space="preserve">“</w:t>
      </w:r>
      <w:r>
        <w:t xml:space="preserve">We’ve finished the homework. The next stage isn’t more documents — it’s five proofs: one signed dollar, accountant-signed numbers, a decided legal entity, a measured (not modelled) bed cost, and consent-cleared impact. Get those and the QBE match doubles the money. That’s the whole game between now and 31 August.</w:t>
      </w:r>
      <w:r>
        <w:t xml:space="preserve">”</w:t>
      </w:r>
    </w:p>
    <w:p>
      <w:pPr>
        <w:pStyle w:val="Heading2"/>
      </w:pPr>
      <w:bookmarkStart w:id="64" w:name="sequenced-for-the-next-two-weeks"/>
      <w:r>
        <w:t xml:space="preserve">Sequenced for the next two weeks</w:t>
      </w:r>
      <w:bookmarkEnd w:id="64"/>
    </w:p>
    <w:p>
      <w:pPr>
        <w:numPr>
          <w:ilvl w:val="0"/>
          <w:numId w:val="1008"/>
        </w:numPr>
        <w:pStyle w:val="Compact"/>
      </w:pPr>
      <w:r>
        <w:rPr>
          <w:b/>
        </w:rPr>
        <w:t xml:space="preserve">This week (overdue/now):</w:t>
      </w:r>
      <w:r>
        <w:t xml:space="preserve"> </w:t>
      </w:r>
      <w:r>
        <w:t xml:space="preserve">lock the gross-vs-net ask with the accountant (Area 04); get vendor quotes moving (Area 11); approve the ambition + entity wording for Area 01.</w:t>
      </w:r>
    </w:p>
    <w:p>
      <w:pPr>
        <w:numPr>
          <w:ilvl w:val="0"/>
          <w:numId w:val="1008"/>
        </w:numPr>
        <w:pStyle w:val="Compact"/>
      </w:pPr>
      <w:r>
        <w:rPr>
          <w:b/>
        </w:rPr>
        <w:t xml:space="preserve">By 14 Jun (tomorrow):</w:t>
      </w:r>
      <w:r>
        <w:t xml:space="preserve"> </w:t>
      </w:r>
      <w:r>
        <w:t xml:space="preserve">impact measurement one-pager + consent-cleared story list (Area 02); buyer-pipeline reconciliation vs Xero (Area 03); founder-approved ask + commitment register (Area 10/12).</w:t>
      </w:r>
    </w:p>
    <w:p>
      <w:pPr>
        <w:numPr>
          <w:ilvl w:val="0"/>
          <w:numId w:val="1008"/>
        </w:numPr>
        <w:pStyle w:val="Compact"/>
      </w:pPr>
      <w:r>
        <w:rPr>
          <w:b/>
        </w:rPr>
        <w:t xml:space="preserve">By 21 Jun:</w:t>
      </w:r>
      <w:r>
        <w:t xml:space="preserve"> </w:t>
      </w:r>
      <w:r>
        <w:t xml:space="preserve">approved entity-wording block (Area 09); scored risk register (Area 05); evidence/consent approval path (Area 07).</w:t>
      </w:r>
    </w:p>
    <w:p>
      <w:pPr>
        <w:numPr>
          <w:ilvl w:val="0"/>
          <w:numId w:val="1008"/>
        </w:numPr>
        <w:pStyle w:val="Compact"/>
      </w:pPr>
      <w:r>
        <w:rPr>
          <w:b/>
        </w:rPr>
        <w:t xml:space="preserve">By 28 Jun:</w:t>
      </w:r>
      <w:r>
        <w:t xml:space="preserve"> </w:t>
      </w:r>
      <w:r>
        <w:t xml:space="preserve">12-month role map + founder-dependency plan (Area 08).</w:t>
      </w:r>
    </w:p>
    <w:p>
      <w:pPr>
        <w:numPr>
          <w:ilvl w:val="0"/>
          <w:numId w:val="1008"/>
        </w:numPr>
        <w:pStyle w:val="Compact"/>
      </w:pPr>
      <w:r>
        <w:rPr>
          <w:b/>
        </w:rPr>
        <w:t xml:space="preserve">Running through August:</w:t>
      </w:r>
      <w:r>
        <w:t xml:space="preserve"> </w:t>
      </w:r>
      <w:r>
        <w:t xml:space="preserve">convert Snow → first signed dollar → trigger the QBE match.</w:t>
      </w:r>
    </w:p>
    <w:p>
      <w:r>
        <w:br w:type="page"/>
      </w:r>
    </w:p>
    <w:p>
      <w:pPr>
        <w:pStyle w:val="Heading1"/>
      </w:pPr>
      <w:bookmarkStart w:id="65" w:name="area-1-vision-ambition"/>
      <w:r>
        <w:t xml:space="preserve">Area 1 · Vision &amp; Ambition</w:t>
      </w:r>
      <w:bookmarkEnd w:id="65"/>
    </w:p>
    <w:p>
      <w:pPr>
        <w:pStyle w:val="Heading1"/>
      </w:pPr>
      <w:bookmarkStart w:id="66" w:name="goods-on-country"/>
      <w:r>
        <w:t xml:space="preserve">Goods on Country</w:t>
      </w:r>
      <w:bookmarkEnd w:id="66"/>
    </w:p>
    <w:p>
      <w:pPr>
        <w:pStyle w:val="Heading2"/>
      </w:pPr>
      <w:bookmarkStart w:id="67" w:name="vision-and-ambition"/>
      <w:r>
        <w:t xml:space="preserve">Vision and ambition</w:t>
      </w:r>
      <w:bookmarkEnd w:id="67"/>
    </w:p>
    <w:p>
      <w:pPr>
        <w:pStyle w:val="FirstParagraph"/>
      </w:pPr>
      <w:r>
        <w:rPr>
          <w:i/>
        </w:rPr>
        <w:t xml:space="preserve">Written by the founders. The diagnostic told us our vision is strong when we talk about it and thinner when we write it down. This is us writing it down properly. It is also where we set out, plainly, how Goods on Country relates to A Curious Tractor above it and to the community-owned production we are building toward — because that map has lived in our heads and conversations more than on the page, and a reader deserves to see it.</w:t>
      </w:r>
    </w:p>
    <w:p>
      <w:r>
        <w:pict>
          <v:rect style="width:0;height:1.5pt" o:hralign="center" o:hrstd="t" o:hr="t"/>
        </w:pict>
      </w:r>
    </w:p>
    <w:p>
      <w:pPr>
        <w:pStyle w:val="Heading2"/>
      </w:pPr>
      <w:bookmarkStart w:id="68" w:name="the-vision"/>
      <w:r>
        <w:t xml:space="preserve">The vision</w:t>
      </w:r>
      <w:bookmarkEnd w:id="68"/>
    </w:p>
    <w:p>
      <w:pPr>
        <w:pStyle w:val="FirstParagraph"/>
      </w:pPr>
      <w:r>
        <w:t xml:space="preserve">Goods on Country started from one uncomfortable observation. In remote Australia, the household goods that people depend on for their health and their dignity are often the worst-designed things in the house. The bed is hard to freight, impossible to wash, quick to break, and has no recycling pathway when it fails. The washing machine is sold at a metro price, asked to run far more cycles than a city machine ever would, and built for conditions it was never built for. When these things break, and they break fast, they go to the community dump, because there is nowhere else for them to go.</w:t>
      </w:r>
    </w:p>
    <w:p>
      <w:pPr>
        <w:pStyle w:val="BodyText"/>
      </w:pPr>
      <w:r>
        <w:t xml:space="preserve">That is not only a waste problem. It is a health problem, and the chain is short and well understood. Bedding that cannot be washed feeds scabies and skin infections. Skin infections feed Strep A. Strep A feeds rheumatic fever, and rheumatic fever becomes rheumatic heart disease — a condition almost unheard of in wealthy Australia and endemic in remote communities. We say it the way it is true: a good bed can prevent heart disease. We are not making charity furniture or convenience appliances. We are making environmental-health hardware.</w:t>
      </w:r>
    </w:p>
    <w:p>
      <w:pPr>
        <w:pStyle w:val="BodyText"/>
      </w:pPr>
      <w:r>
        <w:t xml:space="preserve">The solution is to design that hardware</w:t>
      </w:r>
      <w:r>
        <w:t xml:space="preserve"> </w:t>
      </w:r>
      <w:r>
        <w:rPr>
          <w:i/>
        </w:rPr>
        <w:t xml:space="preserve">with</w:t>
      </w:r>
      <w:r>
        <w:t xml:space="preserve"> </w:t>
      </w:r>
      <w:r>
        <w:t xml:space="preserve">communities, build it from recycled plastic for the conditions it will actually live in, track every unit so it can be repaired and supported rather than dumped, and make it on country. The flagship is the Stretch Bed: a flat-pack, washable bed of recycled HDPE plastic legs, two galvanised steel poles, and heavy-duty Australian canvas. It weighs 26 kg, carries 200 kg, assembles in about five minutes with no tools, and is built for a ten-year-plus life. Each bed diverts 20 kg of plastic from landfill. It is not a clip-together kit — the poles thread through the canvas sleeves and the crossed-plank legs, and tensioning the whole assembly makes the canvas itself structural. It stands because of how it is built. We have deployed 496 beds across 9 communities, every one of them tracked by QR code in a register a stranger can scan, and the demand that matters most arrived after people used the product, not before.</w:t>
      </w:r>
    </w:p>
    <w:p>
      <w:pPr>
        <w:pStyle w:val="BodyText"/>
      </w:pPr>
      <w:r>
        <w:t xml:space="preserve">The north star sits behind all of this, and we want it stated first rather than buried at the end.</w:t>
      </w:r>
      <w:r>
        <w:t xml:space="preserve"> </w:t>
      </w:r>
      <w:r>
        <w:rPr>
          <w:b/>
        </w:rPr>
        <w:t xml:space="preserve">Our job is to become unnecessary.</w:t>
      </w:r>
      <w:r>
        <w:t xml:space="preserve"> </w:t>
      </w:r>
      <w:r>
        <w:t xml:space="preserve">Success is not Goods on Country growing into a large central supplier of beds. Success is the communities we work with owning the means to collect, make, repair, and sell these goods themselves — so that the central organisation can step back. We are building toward our own redundancy on purpose. Everything below is in service of that.</w:t>
      </w:r>
    </w:p>
    <w:p>
      <w:pPr>
        <w:pStyle w:val="Heading2"/>
      </w:pPr>
      <w:bookmarkStart w:id="69" w:name="the-three-shifts"/>
      <w:r>
        <w:t xml:space="preserve">The three shifts</w:t>
      </w:r>
      <w:bookmarkEnd w:id="69"/>
    </w:p>
    <w:p>
      <w:pPr>
        <w:pStyle w:val="FirstParagraph"/>
      </w:pPr>
      <w:r>
        <w:t xml:space="preserve">The work changes three things at once, and we hold all three or none.</w:t>
      </w:r>
    </w:p>
    <w:p>
      <w:pPr>
        <w:pStyle w:val="BodyText"/>
      </w:pPr>
      <w:r>
        <w:rPr>
          <w:b/>
        </w:rPr>
        <w:t xml:space="preserve">Material.</w:t>
      </w:r>
      <w:r>
        <w:t xml:space="preserve"> </w:t>
      </w:r>
      <w:r>
        <w:t xml:space="preserve">Unsuitable goods are replaced by goods that are durable, washable, and repairable. This is the visible shift — the bed you can hose down, the machine built to be fixed rather than thrown away. It is the easiest to see and the easiest to underrate.</w:t>
      </w:r>
    </w:p>
    <w:p>
      <w:pPr>
        <w:pStyle w:val="BodyText"/>
      </w:pPr>
      <w:r>
        <w:rPr>
          <w:b/>
        </w:rPr>
        <w:t xml:space="preserve">Economic.</w:t>
      </w:r>
      <w:r>
        <w:t xml:space="preserve"> </w:t>
      </w:r>
      <w:r>
        <w:t xml:space="preserve">More value stays local. Today most of the money that flows into remote essential goods flows straight back out — to metro suppliers, to freight, to replacement after replacement. The production model is designed to keep collection, manufacture, repair, and eventually ownership on country, so the dollars and the capability stay where the need is.</w:t>
      </w:r>
    </w:p>
    <w:p>
      <w:pPr>
        <w:pStyle w:val="BodyText"/>
      </w:pPr>
      <w:r>
        <w:rPr>
          <w:b/>
        </w:rPr>
        <w:t xml:space="preserve">Story.</w:t>
      </w:r>
      <w:r>
        <w:t xml:space="preserve"> </w:t>
      </w:r>
      <w:r>
        <w:t xml:space="preserve">Communities control how their own experience is recorded, shared, and interpreted. We track every product and we hold every story under consent, and the authority over both moves toward community rather than away from it. This shift is the one that keeps the other two honest.</w:t>
      </w:r>
    </w:p>
    <w:p>
      <w:pPr>
        <w:pStyle w:val="Heading2"/>
      </w:pPr>
      <w:bookmarkStart w:id="70" w:name="the-structure-mapped"/>
      <w:r>
        <w:t xml:space="preserve">The structure, mapped</w:t>
      </w:r>
      <w:bookmarkEnd w:id="70"/>
    </w:p>
    <w:p>
      <w:pPr>
        <w:pStyle w:val="FirstParagraph"/>
      </w:pPr>
      <w:r>
        <w:t xml:space="preserve">The diagnostic flagged that the relationship between Goods on Country, our parent A Curious Tractor, and the future community-owned production entities was not explicitly mapped or communicated. It was clear in our heads and our conversations, less clear on the page. Here it is on the page. The honest framing throughout is that the structure is mid-migration this financial year, so we separate what is settled, what is moving, and what is being designed — the same discipline the entity-wording block holds.</w:t>
      </w:r>
    </w:p>
    <w:p>
      <w:pPr>
        <w:pStyle w:val="SourceCode"/>
      </w:pPr>
      <w:r>
        <w:rPr>
          <w:rStyle w:val="VerbatimChar"/>
        </w:rPr>
        <w:t xml:space="preserve">                 A CURIOUS TRACTOR (the parent)</w:t>
      </w:r>
      <w:r>
        <w:br/>
      </w:r>
      <w:r>
        <w:rPr>
          <w:rStyle w:val="VerbatimChar"/>
        </w:rPr>
        <w:t xml:space="preserve">                 ------------------------------</w:t>
      </w:r>
      <w:r>
        <w:br/>
      </w:r>
      <w:r>
        <w:rPr>
          <w:rStyle w:val="VerbatimChar"/>
        </w:rPr>
        <w:t xml:space="preserve">   A Curious Tractor Pty Ltd (ACN 697 347 676) — the trading company</w:t>
      </w:r>
      <w:r>
        <w:br/>
      </w:r>
      <w:r>
        <w:rPr>
          <w:rStyle w:val="VerbatimChar"/>
        </w:rPr>
        <w:t xml:space="preserve">   Holds: IP and product designs · the Goods on Country brand ·</w:t>
      </w:r>
      <w:r>
        <w:br/>
      </w:r>
      <w:r>
        <w:rPr>
          <w:rStyle w:val="VerbatimChar"/>
        </w:rPr>
        <w:t xml:space="preserve">          shared services (finance, ops, story-consent, R&amp;D) ·</w:t>
      </w:r>
      <w:r>
        <w:br/>
      </w:r>
      <w:r>
        <w:rPr>
          <w:rStyle w:val="VerbatimChar"/>
        </w:rPr>
        <w:t xml:space="preserve">          access to capital and the catalytic raise</w:t>
      </w:r>
      <w:r>
        <w:br/>
      </w:r>
      <w:r>
        <w:rPr>
          <w:rStyle w:val="VerbatimChar"/>
        </w:rPr>
        <w:t xml:space="preserve">                              |</w:t>
      </w:r>
      <w:r>
        <w:br/>
      </w:r>
      <w:r>
        <w:rPr>
          <w:rStyle w:val="VerbatimChar"/>
        </w:rPr>
        <w:t xml:space="preserve">                              | trades as</w:t>
      </w:r>
      <w:r>
        <w:br/>
      </w:r>
      <w:r>
        <w:rPr>
          <w:rStyle w:val="VerbatimChar"/>
        </w:rPr>
        <w:t xml:space="preserve">                              v</w:t>
      </w:r>
      <w:r>
        <w:br/>
      </w:r>
      <w:r>
        <w:rPr>
          <w:rStyle w:val="VerbatimChar"/>
        </w:rPr>
        <w:t xml:space="preserve">                 GOODS ON COUNTRY (the venture — what we are)</w:t>
      </w:r>
      <w:r>
        <w:br/>
      </w:r>
      <w:r>
        <w:rPr>
          <w:rStyle w:val="VerbatimChar"/>
        </w:rPr>
        <w:t xml:space="preserve">                 --------------------------------------------</w:t>
      </w:r>
      <w:r>
        <w:br/>
      </w:r>
      <w:r>
        <w:rPr>
          <w:rStyle w:val="VerbatimChar"/>
        </w:rPr>
        <w:t xml:space="preserve">   The social enterprise: co-design, production system, asset</w:t>
      </w:r>
      <w:r>
        <w:br/>
      </w:r>
      <w:r>
        <w:rPr>
          <w:rStyle w:val="VerbatimChar"/>
        </w:rPr>
        <w:t xml:space="preserve">   register, community relationships, deployments.</w:t>
      </w:r>
      <w:r>
        <w:br/>
      </w:r>
      <w:r>
        <w:rPr>
          <w:rStyle w:val="VerbatimChar"/>
        </w:rPr>
        <w:t xml:space="preserve">   Today: trades through Nicholas Marchesi (sole trader),</w:t>
      </w:r>
      <w:r>
        <w:br/>
      </w:r>
      <w:r>
        <w:rPr>
          <w:rStyle w:val="VerbatimChar"/>
        </w:rPr>
        <w:t xml:space="preserve">          migrating all trading into A Curious Tractor Pty Ltd this FY.</w:t>
      </w:r>
      <w:r>
        <w:br/>
      </w:r>
      <w:r>
        <w:rPr>
          <w:rStyle w:val="VerbatimChar"/>
        </w:rPr>
        <w:t xml:space="preserve">   DGR giving: handled separately via The Butterfly Movement Ltd,</w:t>
      </w:r>
      <w:r>
        <w:br/>
      </w:r>
      <w:r>
        <w:rPr>
          <w:rStyle w:val="VerbatimChar"/>
        </w:rPr>
        <w:t xml:space="preserve">          the charitable home from FY2026-27 (not live today).</w:t>
      </w:r>
      <w:r>
        <w:br/>
      </w:r>
      <w:r>
        <w:rPr>
          <w:rStyle w:val="VerbatimChar"/>
        </w:rPr>
        <w:t xml:space="preserve">                              |</w:t>
      </w:r>
      <w:r>
        <w:br/>
      </w:r>
      <w:r>
        <w:rPr>
          <w:rStyle w:val="VerbatimChar"/>
        </w:rPr>
        <w:t xml:space="preserve">                              | hub supports / hands capability to</w:t>
      </w:r>
      <w:r>
        <w:br/>
      </w:r>
      <w:r>
        <w:rPr>
          <w:rStyle w:val="VerbatimChar"/>
        </w:rPr>
        <w:t xml:space="preserve">                              v</w:t>
      </w:r>
      <w:r>
        <w:br/>
      </w:r>
      <w:r>
        <w:rPr>
          <w:rStyle w:val="VerbatimChar"/>
        </w:rPr>
        <w:t xml:space="preserve">       FUTURE: COMMUNITY-CONTROLLED PRODUCTION ENTITIES (the spokes)</w:t>
      </w:r>
      <w:r>
        <w:br/>
      </w:r>
      <w:r>
        <w:rPr>
          <w:rStyle w:val="VerbatimChar"/>
        </w:rPr>
        <w:t xml:space="preserve">       ------------------------------------------------------------</w:t>
      </w:r>
      <w:r>
        <w:br/>
      </w:r>
      <w:r>
        <w:rPr>
          <w:rStyle w:val="VerbatimChar"/>
        </w:rPr>
        <w:t xml:space="preserve">   Aboriginal-controlled or locally owned entities that collect,</w:t>
      </w:r>
      <w:r>
        <w:br/>
      </w:r>
      <w:r>
        <w:rPr>
          <w:rStyle w:val="VerbatimChar"/>
        </w:rPr>
        <w:t xml:space="preserve">   make, repair, and sell on country. Hub-and-spoke.</w:t>
      </w:r>
      <w:r>
        <w:br/>
      </w:r>
      <w:r>
        <w:rPr>
          <w:rStyle w:val="VerbatimChar"/>
        </w:rPr>
        <w:t xml:space="preserve">   Status: NOT YET ESTABLISHED. Legal form being designed with</w:t>
      </w:r>
      <w:r>
        <w:br/>
      </w:r>
      <w:r>
        <w:rPr>
          <w:rStyle w:val="VerbatimChar"/>
        </w:rPr>
        <w:t xml:space="preserve">           MinterEllison. This is the pathway, not the current state.</w:t>
      </w:r>
    </w:p>
    <w:p>
      <w:pPr>
        <w:pStyle w:val="FirstParagraph"/>
      </w:pPr>
      <w:r>
        <w:t xml:space="preserve">Reading the map from the top:</w:t>
      </w:r>
    </w:p>
    <w:p>
      <w:pPr>
        <w:pStyle w:val="BodyText"/>
      </w:pPr>
      <w:r>
        <w:rPr>
          <w:b/>
        </w:rPr>
        <w:t xml:space="preserve">A Curious Tractor is the parent, and it carries the things a single community venture cannot carry alone.</w:t>
      </w:r>
      <w:r>
        <w:t xml:space="preserve"> </w:t>
      </w:r>
      <w:r>
        <w:t xml:space="preserve">It holds the intellectual property and the product designs, the Goods on Country brand, the shared services that no small operating entity should have to build from scratch — finance, operations, story and consent infrastructure, research and development — and the relationships that give access to capital, including the catalytic raise now underway. A Curious Tractor Pty Ltd (ACN 697 347 676) is the trading company, and it is the confirmed go-forward operating company for Goods.</w:t>
      </w:r>
    </w:p>
    <w:p>
      <w:pPr>
        <w:pStyle w:val="BodyText"/>
      </w:pPr>
      <w:r>
        <w:rPr>
          <w:b/>
        </w:rPr>
        <w:t xml:space="preserve">Goods on Country is the venture that sits beneath it and trades as it.</w:t>
      </w:r>
      <w:r>
        <w:t xml:space="preserve"> </w:t>
      </w:r>
      <w:r>
        <w:t xml:space="preserve">This is the work itself: the co-design with communities, the production system, the asset register, the deployments. Today Goods trades through Nicholas Marchesi as a sole trader, and all of that trading activity is migrating into A Curious Tractor Pty Ltd this financial year. Tax-deductible giving is handled separately, through The Butterfly Movement Ltd, which becomes the charitable home for this work from FY2026-27. That charitable pathway is not live today — donors cannot tax-receipt this work yet, and we are careful never to imply otherwise.</w:t>
      </w:r>
    </w:p>
    <w:p>
      <w:pPr>
        <w:pStyle w:val="BodyText"/>
      </w:pPr>
      <w:r>
        <w:rPr>
          <w:b/>
        </w:rPr>
        <w:t xml:space="preserve">The community-controlled production entities are the spokes, and they do not exist yet.</w:t>
      </w:r>
      <w:r>
        <w:t xml:space="preserve"> </w:t>
      </w:r>
      <w:r>
        <w:t xml:space="preserve">This is the part we most want a reader to understand correctly. The long-term shape is hub-and-spoke: A Curious Tractor as the hub holding design, quality systems, R&amp;D, and shared back office, and Aboriginal-controlled or locally owned entities as the spokes that collect plastic, press sheets, cut and assemble beds, repair what is in the field, and hold the revenue and the employment on country. The legal form for those entities is still being designed with our lawyers at MinterEllison. We will not describe any transfer of ownership as complete, because it is not. Community ownership is the pathway we are building, not a state we have reached. Saying so plainly is part of doing no harm — we will not centralise value in A Curious Tractor while talking about community ownership, and we will not let the language run ahead of the legal reality.</w:t>
      </w:r>
    </w:p>
    <w:p>
      <w:pPr>
        <w:pStyle w:val="BodyText"/>
      </w:pPr>
      <w:r>
        <w:t xml:space="preserve">So: the hub is current, the venture is mid-migration, and the spokes are future. That is the whole structure, and that is the order it matures in.</w:t>
      </w:r>
    </w:p>
    <w:p>
      <w:pPr>
        <w:pStyle w:val="Heading2"/>
      </w:pPr>
      <w:bookmarkStart w:id="71" w:name="ambition-over-time"/>
      <w:r>
        <w:t xml:space="preserve">Ambition over time</w:t>
      </w:r>
      <w:bookmarkEnd w:id="71"/>
    </w:p>
    <w:p>
      <w:pPr>
        <w:pStyle w:val="FirstParagraph"/>
      </w:pPr>
      <w:r>
        <w:t xml:space="preserve">We hold the ambition in three time horizons, and we are deliberate about what belongs in each. The further out the horizon, the more we describe direction rather than commitment.</w:t>
      </w:r>
    </w:p>
    <w:p>
      <w:pPr>
        <w:pStyle w:val="BodyText"/>
      </w:pPr>
      <w:r>
        <w:rPr>
          <w:b/>
        </w:rPr>
        <w:t xml:space="preserve">Short — the next 12 months: prove the economics and put the first community operator on the payroll.</w:t>
      </w:r>
      <w:r>
        <w:t xml:space="preserve"> </w:t>
      </w:r>
      <w:r>
        <w:t xml:space="preserve">The immediate task is to turn our central economic claim from modelled to measured. Today the Stretch Bed sells for AU$750 against a marginal cost near AU$684.79, and breakeven on those numbers is out of reach. Our containerised production model projects that in-sourcing the plastic drops the unit cost substantially, but we have assembled zero beds in-house so far, so that number is a hypothesis. The first thing this period must deliver is a roughly 50-bed in-source production run that confirms or re-bases that cost. Alongside it, the first concrete step toward the spokes: a community-employed operator in a production role, so that the shift from</w:t>
      </w:r>
      <w:r>
        <w:t xml:space="preserve"> </w:t>
      </w:r>
      <w:r>
        <w:t xml:space="preserve">“</w:t>
      </w:r>
      <w:r>
        <w:t xml:space="preserve">built by us</w:t>
      </w:r>
      <w:r>
        <w:t xml:space="preserve">”</w:t>
      </w:r>
      <w:r>
        <w:t xml:space="preserve"> </w:t>
      </w:r>
      <w:r>
        <w:t xml:space="preserve">to</w:t>
      </w:r>
      <w:r>
        <w:t xml:space="preserve"> </w:t>
      </w:r>
      <w:r>
        <w:t xml:space="preserve">“</w:t>
      </w:r>
      <w:r>
        <w:t xml:space="preserve">built on country</w:t>
      </w:r>
      <w:r>
        <w:t xml:space="preserve">”</w:t>
      </w:r>
      <w:r>
        <w:t xml:space="preserve"> </w:t>
      </w:r>
      <w:r>
        <w:t xml:space="preserve">begins as a real job, not a slide.</w:t>
      </w:r>
    </w:p>
    <w:p>
      <w:pPr>
        <w:pStyle w:val="BodyText"/>
      </w:pPr>
      <w:r>
        <w:rPr>
          <w:b/>
        </w:rPr>
        <w:t xml:space="preserve">Medium — by end of FY2026-27: scope the first Aboriginal-controlled operating entity.</w:t>
      </w:r>
      <w:r>
        <w:t xml:space="preserve"> </w:t>
      </w:r>
      <w:r>
        <w:t xml:space="preserve">Within the next financial year we intend to have the first community-controlled production entity scoped — its legal form chosen with MinterEllison, its ownership structure capable of being 51%-plus First Nations-owned, and the related-party boundaries with A Curious Tractor and The Butterfly Movement Ltd clean. Scoped is the honest word. We are not promising a fully operating Aboriginal-owned plant by then; we are committing to having designed the vehicle that makes one real, and to having the governance and the legal form settled enough to stand it up.</w:t>
      </w:r>
    </w:p>
    <w:p>
      <w:pPr>
        <w:pStyle w:val="BodyText"/>
      </w:pPr>
      <w:r>
        <w:rPr>
          <w:b/>
        </w:rPr>
        <w:t xml:space="preserve">Long — distributed, community-owned production on country.</w:t>
      </w:r>
      <w:r>
        <w:t xml:space="preserve"> </w:t>
      </w:r>
      <w:r>
        <w:t xml:space="preserve">The endpoint is a distributed network of community-owned production, recycling, and maintenance on country: local entities collecting waste, making the goods, repairing them through the asset register, and holding the revenue and the work, with A Curious Tractor providing design, quality, R&amp;D, funding support, and shared back office only where that genuinely helps. The exact number of spokes and the precise legal model are not settled, and we will not pretend a timeline we cannot yet evidence. The direction is settled. The plant we are building was designed from the start to be able to move to community ownership, and that design choice is the long horizon expressed in steel and plastic rather than in words.</w:t>
      </w:r>
    </w:p>
    <w:p>
      <w:pPr>
        <w:pStyle w:val="Heading2"/>
      </w:pPr>
      <w:bookmarkStart w:id="72" w:name="a-closing-line"/>
      <w:r>
        <w:t xml:space="preserve">A closing line</w:t>
      </w:r>
      <w:bookmarkEnd w:id="72"/>
    </w:p>
    <w:p>
      <w:pPr>
        <w:pStyle w:val="FirstParagraph"/>
      </w:pPr>
      <w:r>
        <w:t xml:space="preserve">We would rather grow the role of our community partners than grow the size of the central organisation. If in five years A Curious Tractor is smaller in this work and the communities are larger in it — owning the plants, holding the revenue, employing their own people, and needing us less each year — then the vision will have done its job. The measure of success here is not how big we become. It is how unnecessary we manage to make ourselves.</w:t>
      </w:r>
    </w:p>
    <w:p>
      <w:r>
        <w:pict>
          <v:rect style="width:0;height:1.5pt" o:hralign="center" o:hrstd="t" o:hr="t"/>
        </w:pict>
      </w:r>
    </w:p>
    <w:p>
      <w:pPr>
        <w:pStyle w:val="FirstParagraph"/>
      </w:pPr>
      <w:r>
        <w:rPr>
          <w:i/>
        </w:rPr>
        <w:t xml:space="preserve">Founders: Ben Knight · Nicholas Marchesi. Structure wording is consistent with 04-entity-wording-block.md and is subject to the same legal review (Keith Rovers, MinterEllison); no registration number or date here is final until founder and legal confirm it. Figures per 00-master-alignment-map.md, 2026-06-13.</w:t>
      </w:r>
    </w:p>
    <w:p>
      <w:r>
        <w:br w:type="page"/>
      </w:r>
    </w:p>
    <w:p>
      <w:pPr>
        <w:pStyle w:val="Heading1"/>
      </w:pPr>
      <w:bookmarkStart w:id="73" w:name="area-2-impact-measurement-method"/>
      <w:r>
        <w:t xml:space="preserve">Area 2 · Impact Measurement Method</w:t>
      </w:r>
      <w:bookmarkEnd w:id="73"/>
    </w:p>
    <w:p>
      <w:pPr>
        <w:pStyle w:val="Heading1"/>
      </w:pPr>
      <w:bookmarkStart w:id="74" w:name="impact-measurement-method"/>
      <w:r>
        <w:t xml:space="preserve">Impact measurement method</w:t>
      </w:r>
      <w:bookmarkEnd w:id="74"/>
    </w:p>
    <w:p>
      <w:pPr>
        <w:pStyle w:val="BlockText"/>
      </w:pPr>
      <w:r>
        <w:rPr>
          <w:b/>
        </w:rPr>
        <w:t xml:space="preserve">Why this page exists.</w:t>
      </w:r>
      <w:r>
        <w:t xml:space="preserve"> </w:t>
      </w:r>
      <w:r>
        <w:t xml:space="preserve">Goods works at the join between household hardware and health. That makes it tempting to claim a health outcome. We will not. This page shows exactly where we draw the line: what is</w:t>
      </w:r>
      <w:r>
        <w:t xml:space="preserve"> </w:t>
      </w:r>
      <w:r>
        <w:rPr>
          <w:b/>
        </w:rPr>
        <w:t xml:space="preserve">independently checkable today</w:t>
      </w:r>
      <w:r>
        <w:t xml:space="preserve">, what is</w:t>
      </w:r>
      <w:r>
        <w:t xml:space="preserve"> </w:t>
      </w:r>
      <w:r>
        <w:rPr>
          <w:b/>
        </w:rPr>
        <w:t xml:space="preserve">modelled from stated assumptions</w:t>
      </w:r>
      <w:r>
        <w:t xml:space="preserve">, and what is a</w:t>
      </w:r>
      <w:r>
        <w:t xml:space="preserve"> </w:t>
      </w:r>
      <w:r>
        <w:rPr>
          <w:b/>
        </w:rPr>
        <w:t xml:space="preserve">future indicator we have not yet collected</w:t>
      </w:r>
      <w:r>
        <w:t xml:space="preserve">. A reviewer should be able to take any number we publish and trace it to the asset register, to</w:t>
      </w:r>
      <w:r>
        <w:t xml:space="preserve"> </w:t>
      </w:r>
      <w:r>
        <w:rPr>
          <w:rStyle w:val="VerbatimChar"/>
        </w:rPr>
        <w:t xml:space="preserve">products.ts</w:t>
      </w:r>
      <w:r>
        <w:t xml:space="preserve">, or to a labelled assumption — and should be able to see, just as clearly, the things we do not yet measure. The honesty</w:t>
      </w:r>
      <w:r>
        <w:t xml:space="preserve"> </w:t>
      </w:r>
      <w:r>
        <w:rPr>
          <w:i/>
        </w:rPr>
        <w:t xml:space="preserve">is</w:t>
      </w:r>
      <w:r>
        <w:t xml:space="preserve"> </w:t>
      </w:r>
      <w:r>
        <w:t xml:space="preserve">the method.</w:t>
      </w:r>
    </w:p>
    <w:p>
      <w:r>
        <w:pict>
          <v:rect style="width:0;height:1.5pt" o:hralign="center" o:hrstd="t" o:hr="t"/>
        </w:pict>
      </w:r>
    </w:p>
    <w:p>
      <w:pPr>
        <w:pStyle w:val="Heading2"/>
      </w:pPr>
      <w:bookmarkStart w:id="75" w:name="what-we-measure-and-what-we-dont"/>
      <w:r>
        <w:t xml:space="preserve">What we measure and what we don’t</w:t>
      </w:r>
      <w:bookmarkEnd w:id="75"/>
    </w:p>
    <w:p>
      <w:pPr>
        <w:pStyle w:val="FirstParagraph"/>
      </w:pPr>
      <w:r>
        <w:t xml:space="preserve">Three columns, one rule: a metric only moves left as the evidence catches up. Nothing in the FUTURE column is presented as if it were live.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 or status</w:t>
            </w:r>
          </w:p>
        </w:tc>
        <w:tc>
          <w:tcPr>
            <w:tcBorders>
              <w:bottom w:val="single"/>
            </w:tcBorders>
            <w:vAlign w:val="bottom"/>
          </w:tcPr>
          <w:p>
            <w:pPr>
              <w:pStyle w:val="Compact"/>
              <w:jc w:val="left"/>
            </w:pPr>
            <w:r>
              <w:t xml:space="preserve">Label</w:t>
            </w:r>
          </w:p>
        </w:tc>
      </w:tr>
      <w:tr>
        <w:tc>
          <w:p>
            <w:pPr>
              <w:pStyle w:val="Compact"/>
              <w:jc w:val="left"/>
            </w:pPr>
            <w:r>
              <w:t xml:space="preserve">Beds deployed (tracked in asset register)</w:t>
            </w:r>
          </w:p>
        </w:tc>
        <w:tc>
          <w:p>
            <w:pPr>
              <w:pStyle w:val="Compact"/>
              <w:jc w:val="left"/>
            </w:pPr>
            <w:r>
              <w:rPr>
                <w:b/>
              </w:rPr>
              <w:t xml:space="preserve">496</w:t>
            </w:r>
            <w:r>
              <w:t xml:space="preserve"> </w:t>
            </w:r>
            <w:r>
              <w:t xml:space="preserve">(133 Stretch + 363 Basket, legacy)</w:t>
            </w:r>
          </w:p>
        </w:tc>
        <w:tc>
          <w:p>
            <w:pPr>
              <w:pStyle w:val="Compact"/>
              <w:jc w:val="left"/>
            </w:pPr>
            <w:r>
              <w:rPr>
                <w:b/>
              </w:rPr>
              <w:t xml:space="preserve">[VERIFIED]</w:t>
            </w:r>
            <w:r>
              <w:t xml:space="preserve"> </w:t>
            </w:r>
            <w:r>
              <w:t xml:space="preserve">— asset register, 29 May 2026</w:t>
            </w:r>
          </w:p>
        </w:tc>
      </w:tr>
      <w:tr>
        <w:tc>
          <w:p>
            <w:pPr>
              <w:pStyle w:val="Compact"/>
              <w:jc w:val="left"/>
            </w:pPr>
            <w:r>
              <w:t xml:space="preserve">Communities served</w:t>
            </w:r>
          </w:p>
        </w:tc>
        <w:tc>
          <w:p>
            <w:pPr>
              <w:pStyle w:val="Compact"/>
              <w:jc w:val="left"/>
            </w:pPr>
            <w:r>
              <w:rPr>
                <w:b/>
              </w:rPr>
              <w:t xml:space="preserve">9</w:t>
            </w:r>
          </w:p>
        </w:tc>
        <w:tc>
          <w:p>
            <w:pPr>
              <w:pStyle w:val="Compact"/>
              <w:jc w:val="left"/>
            </w:pPr>
            <w:r>
              <w:rPr>
                <w:b/>
              </w:rPr>
              <w:t xml:space="preserve">[VERIFIED]</w:t>
            </w:r>
            <w:r>
              <w:t xml:space="preserve"> </w:t>
            </w:r>
            <w:r>
              <w:t xml:space="preserve">— founder-confirmed, reviewer-approved public figure</w:t>
            </w:r>
          </w:p>
        </w:tc>
      </w:tr>
      <w:tr>
        <w:tc>
          <w:p>
            <w:pPr>
              <w:pStyle w:val="Compact"/>
              <w:jc w:val="left"/>
            </w:pPr>
            <w:r>
              <w:t xml:space="preserve">HDPE plastic diverted (Stretch only)</w:t>
            </w:r>
          </w:p>
        </w:tc>
        <w:tc>
          <w:p>
            <w:pPr>
              <w:pStyle w:val="Compact"/>
              <w:jc w:val="left"/>
            </w:pPr>
            <w:r>
              <w:rPr>
                <w:b/>
              </w:rPr>
              <w:t xml:space="preserve">2,660 kg</w:t>
            </w:r>
            <w:r>
              <w:t xml:space="preserve"> </w:t>
            </w:r>
            <w:r>
              <w:t xml:space="preserve">(133 × 20 kg)</w:t>
            </w:r>
          </w:p>
        </w:tc>
        <w:tc>
          <w:p>
            <w:pPr>
              <w:pStyle w:val="Compact"/>
              <w:jc w:val="left"/>
            </w:pPr>
            <w:r>
              <w:rPr>
                <w:b/>
              </w:rPr>
              <w:t xml:space="preserve">[MODELLED]</w:t>
            </w:r>
            <w:r>
              <w:t xml:space="preserve"> </w:t>
            </w:r>
            <w:r>
              <w:t xml:space="preserve">— count × per-bed assumption from</w:t>
            </w:r>
            <w:r>
              <w:t xml:space="preserve"> </w:t>
            </w:r>
            <w:r>
              <w:rPr>
                <w:rStyle w:val="VerbatimChar"/>
              </w:rPr>
              <w:t xml:space="preserve">products.ts</w:t>
            </w:r>
          </w:p>
        </w:tc>
      </w:tr>
      <w:tr>
        <w:tc>
          <w:p>
            <w:pPr>
              <w:pStyle w:val="Compact"/>
              <w:jc w:val="left"/>
            </w:pPr>
            <w:r>
              <w:t xml:space="preserve">Plastic diverted per bed</w:t>
            </w:r>
          </w:p>
        </w:tc>
        <w:tc>
          <w:p>
            <w:pPr>
              <w:pStyle w:val="Compact"/>
              <w:jc w:val="left"/>
            </w:pPr>
            <w:r>
              <w:rPr>
                <w:b/>
              </w:rPr>
              <w:t xml:space="preserve">20 kg</w:t>
            </w:r>
          </w:p>
        </w:tc>
        <w:tc>
          <w:p>
            <w:pPr>
              <w:pStyle w:val="Compact"/>
              <w:jc w:val="left"/>
            </w:pPr>
            <w:r>
              <w:rPr>
                <w:b/>
              </w:rPr>
              <w:t xml:space="preserve">[VERIFIED]</w:t>
            </w:r>
            <w:r>
              <w:t xml:space="preserve"> </w:t>
            </w:r>
            <w:r>
              <w:t xml:space="preserve">—</w:t>
            </w:r>
            <w:r>
              <w:t xml:space="preserve"> </w:t>
            </w:r>
            <w:r>
              <w:rPr>
                <w:rStyle w:val="VerbatimChar"/>
              </w:rPr>
              <w:t xml:space="preserve">products.ts</w:t>
            </w:r>
            <w:r>
              <w:t xml:space="preserve">, single source of truth</w:t>
            </w:r>
          </w:p>
        </w:tc>
      </w:tr>
      <w:tr>
        <w:tc>
          <w:p>
            <w:pPr>
              <w:pStyle w:val="Compact"/>
              <w:jc w:val="left"/>
            </w:pPr>
            <w:r>
              <w:t xml:space="preserve">Consent-cleared community voices</w:t>
            </w:r>
          </w:p>
        </w:tc>
        <w:tc>
          <w:p>
            <w:pPr>
              <w:pStyle w:val="Compact"/>
              <w:jc w:val="left"/>
            </w:pPr>
            <w:r>
              <w:rPr>
                <w:b/>
              </w:rPr>
              <w:t xml:space="preserve">3</w:t>
            </w:r>
            <w:r>
              <w:t xml:space="preserve"> </w:t>
            </w:r>
            <w:r>
              <w:t xml:space="preserve">(Ivy Johnson, Dianne Stokes, Ray Nelson)</w:t>
            </w:r>
          </w:p>
        </w:tc>
        <w:tc>
          <w:p>
            <w:pPr>
              <w:pStyle w:val="Compact"/>
              <w:jc w:val="left"/>
            </w:pPr>
            <w:r>
              <w:rPr>
                <w:b/>
              </w:rPr>
              <w:t xml:space="preserve">[VERIFIED]</w:t>
            </w:r>
            <w:r>
              <w:t xml:space="preserve"> </w:t>
            </w:r>
            <w:r>
              <w:t xml:space="preserve">— consent confirmed; everyone else consent-pending</w:t>
            </w:r>
          </w:p>
        </w:tc>
      </w:tr>
      <w:tr>
        <w:tc>
          <w:p>
            <w:pPr>
              <w:pStyle w:val="Compact"/>
              <w:jc w:val="left"/>
            </w:pPr>
            <w:r>
              <w:t xml:space="preserve">Product feedback that changed design</w:t>
            </w:r>
          </w:p>
        </w:tc>
        <w:tc>
          <w:p>
            <w:pPr>
              <w:pStyle w:val="Compact"/>
              <w:jc w:val="left"/>
            </w:pPr>
            <w:r>
              <w:t xml:space="preserve">Captured on delivery + return visits; reshaped the bed</w:t>
            </w:r>
          </w:p>
        </w:tc>
        <w:tc>
          <w:p>
            <w:pPr>
              <w:pStyle w:val="Compact"/>
              <w:jc w:val="left"/>
            </w:pPr>
            <w:r>
              <w:rPr>
                <w:b/>
              </w:rPr>
              <w:t xml:space="preserve">[VERIFIED]</w:t>
            </w:r>
            <w:r>
              <w:t xml:space="preserve"> </w:t>
            </w:r>
            <w:r>
              <w:t xml:space="preserve">— qualitative, recorded</w:t>
            </w:r>
          </w:p>
        </w:tc>
      </w:tr>
      <w:tr>
        <w:tc>
          <w:p>
            <w:pPr>
              <w:pStyle w:val="Compact"/>
              <w:jc w:val="left"/>
            </w:pPr>
            <w:r>
              <w:t xml:space="preserve">Projected unit cost after in-sourcing</w:t>
            </w:r>
          </w:p>
        </w:tc>
        <w:tc>
          <w:p>
            <w:pPr>
              <w:pStyle w:val="Compact"/>
              <w:jc w:val="left"/>
            </w:pPr>
            <w:r>
              <w:t xml:space="preserve">$425.74 (factory) / $270.74 (community)</w:t>
            </w:r>
          </w:p>
        </w:tc>
        <w:tc>
          <w:p>
            <w:pPr>
              <w:pStyle w:val="Compact"/>
              <w:jc w:val="left"/>
            </w:pPr>
            <w:r>
              <w:rPr>
                <w:b/>
              </w:rPr>
              <w:t xml:space="preserve">[MODELLED]</w:t>
            </w:r>
            <w:r>
              <w:t xml:space="preserve"> </w:t>
            </w:r>
            <w:r>
              <w:t xml:space="preserve">— 0 beds assembled in-house yet</w:t>
            </w:r>
          </w:p>
        </w:tc>
      </w:tr>
      <w:tr>
        <w:tc>
          <w:p>
            <w:pPr>
              <w:pStyle w:val="Compact"/>
              <w:jc w:val="left"/>
            </w:pPr>
            <w:r>
              <w:t xml:space="preserve">Mattress wash frequency</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Bed survival at 12 / 24 / 36 months</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Scabies / bed-bug indicators</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Healthy Homes checklist items</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Plastic collected and reused</w:t>
            </w:r>
            <w:r>
              <w:t xml:space="preserve"> </w:t>
            </w:r>
            <w:r>
              <w:rPr>
                <w:i/>
              </w:rPr>
              <w:t xml:space="preserve">locally</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Jobs, paid hours, training per plant</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Landfill cost avoided</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Repeat orders / referrals</w:t>
            </w:r>
          </w:p>
        </w:tc>
        <w:tc>
          <w:p>
            <w:pPr>
              <w:pStyle w:val="Compact"/>
              <w:jc w:val="left"/>
            </w:pPr>
            <w:r>
              <w:t xml:space="preserve">Not yet collected</w:t>
            </w:r>
          </w:p>
        </w:tc>
        <w:tc>
          <w:p>
            <w:pPr>
              <w:pStyle w:val="Compact"/>
              <w:jc w:val="left"/>
            </w:pPr>
            <w:r>
              <w:rPr>
                <w:b/>
              </w:rPr>
              <w:t xml:space="preserve">[FUTURE]</w:t>
            </w:r>
          </w:p>
        </w:tc>
      </w:tr>
      <w:tr>
        <w:tc>
          <w:p>
            <w:pPr>
              <w:pStyle w:val="Compact"/>
              <w:jc w:val="left"/>
            </w:pPr>
            <w:r>
              <w:t xml:space="preserve">Reduction in rheumatic heart disease</w:t>
            </w:r>
          </w:p>
        </w:tc>
        <w:tc>
          <w:p>
            <w:pPr>
              <w:pStyle w:val="Compact"/>
              <w:jc w:val="left"/>
            </w:pPr>
            <w:r>
              <w:rPr>
                <w:b/>
              </w:rPr>
              <w:t xml:space="preserve">Not claimed</w:t>
            </w:r>
            <w:r>
              <w:t xml:space="preserve"> </w:t>
            </w:r>
            <w:r>
              <w:t xml:space="preserve">— requires partner clinical evidence</w:t>
            </w:r>
          </w:p>
        </w:tc>
        <w:tc>
          <w:p>
            <w:pPr>
              <w:pStyle w:val="Compact"/>
              <w:jc w:val="left"/>
            </w:pPr>
            <w:r>
              <w:rPr>
                <w:b/>
              </w:rPr>
              <w:t xml:space="preserve">[FUTURE]</w:t>
            </w:r>
          </w:p>
        </w:tc>
      </w:tr>
    </w:tbl>
    <w:p>
      <w:pPr>
        <w:pStyle w:val="BlockText"/>
      </w:pPr>
      <w:r>
        <w:t xml:space="preserve">One line to keep clear at all times:</w:t>
      </w:r>
      <w:r>
        <w:t xml:space="preserve"> </w:t>
      </w:r>
      <w:r>
        <w:rPr>
          <w:i/>
        </w:rPr>
        <w:t xml:space="preserve">“</w:t>
      </w:r>
      <w:r>
        <w:rPr>
          <w:i/>
        </w:rPr>
        <w:t xml:space="preserve">what we track today</w:t>
      </w:r>
      <w:r>
        <w:rPr>
          <w:i/>
        </w:rPr>
        <w:t xml:space="preserve">”</w:t>
      </w:r>
      <w:r>
        <w:t xml:space="preserve"> </w:t>
      </w:r>
      <w:r>
        <w:t xml:space="preserve">and</w:t>
      </w:r>
      <w:r>
        <w:t xml:space="preserve"> </w:t>
      </w:r>
      <w:r>
        <w:rPr>
          <w:i/>
        </w:rPr>
        <w:t xml:space="preserve">“</w:t>
      </w:r>
      <w:r>
        <w:rPr>
          <w:i/>
        </w:rPr>
        <w:t xml:space="preserve">what we want to track next</w:t>
      </w:r>
      <w:r>
        <w:rPr>
          <w:i/>
        </w:rPr>
        <w:t xml:space="preserve">”</w:t>
      </w:r>
      <w:r>
        <w:t xml:space="preserve"> </w:t>
      </w:r>
      <w:r>
        <w:t xml:space="preserve">are different things. A FUTURE metric is never dressed up as an active one. The plastic figure is honestly</w:t>
      </w:r>
      <w:r>
        <w:t xml:space="preserve"> </w:t>
      </w:r>
      <w:r>
        <w:rPr>
          <w:b/>
        </w:rPr>
        <w:t xml:space="preserve">[MODELLED]</w:t>
      </w:r>
      <w:r>
        <w:t xml:space="preserve"> </w:t>
      </w:r>
      <w:r>
        <w:t xml:space="preserve">— it is a count multiplied by a per-bed assumption, not a weighbridge reading — and we retire the old 9,225 kg / 9,920 kg figures, which over-claimed by ~3.7×.</w:t>
      </w:r>
    </w:p>
    <w:p>
      <w:r>
        <w:pict>
          <v:rect style="width:0;height:1.5pt" o:hralign="center" o:hrstd="t" o:hr="t"/>
        </w:pict>
      </w:r>
    </w:p>
    <w:p>
      <w:pPr>
        <w:pStyle w:val="Heading2"/>
      </w:pPr>
      <w:bookmarkStart w:id="76" w:name="the-theory-of-change-in-five-steps"/>
      <w:r>
        <w:t xml:space="preserve">The theory of change in five steps</w:t>
      </w:r>
      <w:bookmarkEnd w:id="76"/>
    </w:p>
    <w:p>
      <w:pPr>
        <w:pStyle w:val="FirstParagraph"/>
      </w:pPr>
      <w:r>
        <w:t xml:space="preserve">If Goods makes products people actually want, makes them survive remote conditions, makes them washable and repairable, and moves more of the production loop on-country, then families get better household goods, communities keep more value, and less product ends up buried in dumps. The evidence has to come</w:t>
      </w:r>
      <w:r>
        <w:t xml:space="preserve"> </w:t>
      </w:r>
      <w:r>
        <w:rPr>
          <w:b/>
        </w:rPr>
        <w:t xml:space="preserve">from use, feedback, repair, repeat demand and consented story</w:t>
      </w:r>
      <w:r>
        <w:t xml:space="preserve"> </w:t>
      </w:r>
      <w:r>
        <w:t xml:space="preserve">— not from our own claims.</w:t>
      </w:r>
    </w:p>
    <w:p>
      <w:pPr>
        <w:numPr>
          <w:ilvl w:val="0"/>
          <w:numId w:val="1009"/>
        </w:numPr>
        <w:pStyle w:val="Compact"/>
      </w:pPr>
      <w:r>
        <w:rPr>
          <w:b/>
        </w:rPr>
        <w:t xml:space="preserve">Listen</w:t>
      </w:r>
      <w:r>
        <w:t xml:space="preserve"> </w:t>
      </w:r>
      <w:r>
        <w:t xml:space="preserve">— to community about what is needed and what fails.</w:t>
      </w:r>
    </w:p>
    <w:p>
      <w:pPr>
        <w:numPr>
          <w:ilvl w:val="0"/>
          <w:numId w:val="1009"/>
        </w:numPr>
        <w:pStyle w:val="Compact"/>
      </w:pPr>
      <w:r>
        <w:rPr>
          <w:b/>
        </w:rPr>
        <w:t xml:space="preserve">Design</w:t>
      </w:r>
      <w:r>
        <w:t xml:space="preserve"> </w:t>
      </w:r>
      <w:r>
        <w:t xml:space="preserve">— adapt the product for actual remote conditions.</w:t>
      </w:r>
    </w:p>
    <w:p>
      <w:pPr>
        <w:numPr>
          <w:ilvl w:val="0"/>
          <w:numId w:val="1009"/>
        </w:numPr>
        <w:pStyle w:val="Compact"/>
      </w:pPr>
      <w:r>
        <w:rPr>
          <w:b/>
        </w:rPr>
        <w:t xml:space="preserve">Build washable / repairable</w:t>
      </w:r>
      <w:r>
        <w:t xml:space="preserve"> </w:t>
      </w:r>
      <w:r>
        <w:t xml:space="preserve">— materials that can be cleaned, mended and reused, not landfilled.</w:t>
      </w:r>
    </w:p>
    <w:p>
      <w:pPr>
        <w:numPr>
          <w:ilvl w:val="0"/>
          <w:numId w:val="1009"/>
        </w:numPr>
        <w:pStyle w:val="Compact"/>
      </w:pPr>
      <w:r>
        <w:rPr>
          <w:b/>
        </w:rPr>
        <w:t xml:space="preserve">Move production closer to community</w:t>
      </w:r>
      <w:r>
        <w:t xml:space="preserve"> </w:t>
      </w:r>
      <w:r>
        <w:t xml:space="preserve">— local making, repair and, over time, local ownership.</w:t>
      </w:r>
    </w:p>
    <w:p>
      <w:pPr>
        <w:numPr>
          <w:ilvl w:val="0"/>
          <w:numId w:val="1009"/>
        </w:numPr>
        <w:pStyle w:val="Compact"/>
      </w:pPr>
      <w:r>
        <w:rPr>
          <w:b/>
        </w:rPr>
        <w:t xml:space="preserve">Track via consented feedback</w:t>
      </w:r>
      <w:r>
        <w:t xml:space="preserve"> </w:t>
      </w:r>
      <w:r>
        <w:t xml:space="preserve">— product records, return visits, and stories the community controls.</w:t>
      </w:r>
    </w:p>
    <w:p>
      <w:pPr>
        <w:pStyle w:val="FirstParagraph"/>
      </w:pPr>
      <w:r>
        <w:rPr>
          <w:b/>
        </w:rPr>
        <w:t xml:space="preserve">The three shifts this is meant to produce:</w:t>
      </w:r>
    </w:p>
    <w:p>
      <w:pPr>
        <w:numPr>
          <w:ilvl w:val="0"/>
          <w:numId w:val="1010"/>
        </w:numPr>
        <w:pStyle w:val="Compact"/>
      </w:pPr>
      <w:r>
        <w:rPr>
          <w:b/>
        </w:rPr>
        <w:t xml:space="preserve">Material</w:t>
      </w:r>
      <w:r>
        <w:t xml:space="preserve"> </w:t>
      </w:r>
      <w:r>
        <w:t xml:space="preserve">— durable, washable, repairable goods replace failing ones.</w:t>
      </w:r>
    </w:p>
    <w:p>
      <w:pPr>
        <w:numPr>
          <w:ilvl w:val="0"/>
          <w:numId w:val="1010"/>
        </w:numPr>
        <w:pStyle w:val="Compact"/>
      </w:pPr>
      <w:r>
        <w:rPr>
          <w:b/>
        </w:rPr>
        <w:t xml:space="preserve">Economic</w:t>
      </w:r>
      <w:r>
        <w:t xml:space="preserve"> </w:t>
      </w:r>
      <w:r>
        <w:t xml:space="preserve">— more money and capability stays local through collection, production, repair and ownership.</w:t>
      </w:r>
    </w:p>
    <w:p>
      <w:pPr>
        <w:numPr>
          <w:ilvl w:val="0"/>
          <w:numId w:val="1010"/>
        </w:numPr>
        <w:pStyle w:val="Compact"/>
      </w:pPr>
      <w:r>
        <w:rPr>
          <w:b/>
        </w:rPr>
        <w:t xml:space="preserve">Story</w:t>
      </w:r>
      <w:r>
        <w:t xml:space="preserve"> </w:t>
      </w:r>
      <w:r>
        <w:t xml:space="preserve">— community members control how their experience is recorded, shared and interpreted.</w:t>
      </w:r>
    </w:p>
    <w:p>
      <w:r>
        <w:pict>
          <v:rect style="width:0;height:1.5pt" o:hralign="center" o:hrstd="t" o:hr="t"/>
        </w:pict>
      </w:r>
    </w:p>
    <w:p>
      <w:pPr>
        <w:pStyle w:val="Heading2"/>
      </w:pPr>
      <w:bookmarkStart w:id="77" w:name="the-health-rationale-stated-responsibly"/>
      <w:r>
        <w:t xml:space="preserve">The health rationale, stated responsibly</w:t>
      </w:r>
      <w:bookmarkEnd w:id="77"/>
    </w:p>
    <w:p>
      <w:pPr>
        <w:pStyle w:val="FirstParagraph"/>
      </w:pPr>
      <w:r>
        <w:t xml:space="preserve">The reason this work matters runs along a known infection pathway:</w:t>
      </w:r>
    </w:p>
    <w:p>
      <w:pPr>
        <w:pStyle w:val="BlockText"/>
      </w:pPr>
      <w:r>
        <w:rPr>
          <w:b/>
        </w:rPr>
        <w:t xml:space="preserve">unwashable bedding → scabies / skin infection → Strep A → rheumatic fever → rheumatic heart disease.</w:t>
      </w:r>
    </w:p>
    <w:p>
      <w:pPr>
        <w:pStyle w:val="FirstParagraph"/>
      </w:pPr>
      <w:r>
        <w:t xml:space="preserve">This chain is the</w:t>
      </w:r>
      <w:r>
        <w:t xml:space="preserve"> </w:t>
      </w:r>
      <w:r>
        <w:rPr>
          <w:b/>
        </w:rPr>
        <w:t xml:space="preserve">WHY</w:t>
      </w:r>
      <w:r>
        <w:t xml:space="preserve"> </w:t>
      </w:r>
      <w:r>
        <w:t xml:space="preserve">— the rationale for treating a bed and a washing machine as</w:t>
      </w:r>
      <w:r>
        <w:t xml:space="preserve"> </w:t>
      </w:r>
      <w:r>
        <w:rPr>
          <w:b/>
        </w:rPr>
        <w:t xml:space="preserve">environmental-health hardware</w:t>
      </w:r>
      <w:r>
        <w:t xml:space="preserve">, not just furniture. It is</w:t>
      </w:r>
      <w:r>
        <w:t xml:space="preserve"> </w:t>
      </w:r>
      <w:r>
        <w:rPr>
          <w:i/>
        </w:rPr>
        <w:t xml:space="preserve">not</w:t>
      </w:r>
      <w:r>
        <w:t xml:space="preserve"> </w:t>
      </w:r>
      <w:r>
        <w:t xml:space="preserve">a measured Goods outcome.</w:t>
      </w:r>
    </w:p>
    <w:p>
      <w:pPr>
        <w:pStyle w:val="BodyText"/>
      </w:pPr>
      <w:r>
        <w:rPr>
          <w:b/>
        </w:rPr>
        <w:t xml:space="preserve">The claim ceiling — the most we will say:</w:t>
      </w:r>
      <w:r>
        <w:t xml:space="preserve"> </w:t>
      </w:r>
      <w:r>
        <w:rPr>
          <w:i/>
        </w:rPr>
        <w:t xml:space="preserve">washable beds and reliable washing machines support the environmental-health conditions needed to interrupt known infection pathways.</w:t>
      </w:r>
      <w:r>
        <w:t xml:space="preserve"> </w:t>
      </w:r>
      <w:r>
        <w:t xml:space="preserve">We do</w:t>
      </w:r>
      <w:r>
        <w:t xml:space="preserve"> </w:t>
      </w:r>
      <w:r>
        <w:rPr>
          <w:b/>
        </w:rPr>
        <w:t xml:space="preserve">not</w:t>
      </w:r>
      <w:r>
        <w:t xml:space="preserve"> </w:t>
      </w:r>
      <w:r>
        <w:t xml:space="preserve">claim a verified reduction in rheumatic heart disease, and we do</w:t>
      </w:r>
      <w:r>
        <w:t xml:space="preserve"> </w:t>
      </w:r>
      <w:r>
        <w:rPr>
          <w:b/>
        </w:rPr>
        <w:t xml:space="preserve">not</w:t>
      </w:r>
      <w:r>
        <w:t xml:space="preserve"> </w:t>
      </w:r>
      <w:r>
        <w:t xml:space="preserve">claim a completed longitudinal study. Both would require evidence we do not hold.</w:t>
      </w:r>
    </w:p>
    <w:p>
      <w:pPr>
        <w:pStyle w:val="BodyText"/>
      </w:pPr>
      <w:r>
        <w:rPr>
          <w:b/>
        </w:rPr>
        <w:t xml:space="preserve">The route to validated outcomes is a partnership, framed as future.</w:t>
      </w:r>
      <w:r>
        <w:t xml:space="preserve"> </w:t>
      </w:r>
      <w:r>
        <w:t xml:space="preserve">Clinical and primary-health partners — Miwatj Health and equivalent ACCHOs — are the only legitimate source of a validated health-outcome measure. A partner-validated outcomes method, co-designed with those partners, is a named future build (see below), not a present claim. Until it exists and is run with partner evidence, the health pathway stays in the</w:t>
      </w:r>
      <w:r>
        <w:t xml:space="preserve"> </w:t>
      </w:r>
      <w:r>
        <w:rPr>
          <w:b/>
        </w:rPr>
        <w:t xml:space="preserve">[FUTURE]</w:t>
      </w:r>
      <w:r>
        <w:t xml:space="preserve"> </w:t>
      </w:r>
      <w:r>
        <w:t xml:space="preserve">column and in the rationale, never in the results.</w:t>
      </w:r>
    </w:p>
    <w:p>
      <w:r>
        <w:pict>
          <v:rect style="width:0;height:1.5pt" o:hralign="center" o:hrstd="t" o:hr="t"/>
        </w:pict>
      </w:r>
    </w:p>
    <w:p>
      <w:pPr>
        <w:pStyle w:val="Heading2"/>
      </w:pPr>
      <w:bookmarkStart w:id="78" w:name="consent-as-method"/>
      <w:r>
        <w:t xml:space="preserve">Consent as method</w:t>
      </w:r>
      <w:bookmarkEnd w:id="78"/>
    </w:p>
    <w:p>
      <w:pPr>
        <w:pStyle w:val="FirstParagraph"/>
      </w:pPr>
      <w:r>
        <w:t xml:space="preserve">Consent is not a compliance step bolted on at the end — it is part of how we measure, in the OCAP tradition (Ownership, Control, Access, Possession).</w:t>
      </w:r>
    </w:p>
    <w:p>
      <w:pPr>
        <w:numPr>
          <w:ilvl w:val="0"/>
          <w:numId w:val="1011"/>
        </w:numPr>
        <w:pStyle w:val="Compact"/>
      </w:pPr>
      <w:r>
        <w:rPr>
          <w:b/>
        </w:rPr>
        <w:t xml:space="preserve">Only consent-cleared voices are used externally.</w:t>
      </w:r>
      <w:r>
        <w:t xml:space="preserve"> </w:t>
      </w:r>
      <w:r>
        <w:t xml:space="preserve">Today that is exactly three:</w:t>
      </w:r>
      <w:r>
        <w:t xml:space="preserve"> </w:t>
      </w:r>
      <w:r>
        <w:rPr>
          <w:b/>
        </w:rPr>
        <w:t xml:space="preserve">Ivy Johnson, Dianne Stokes, and Ray Nelson.</w:t>
      </w:r>
      <w:r>
        <w:t xml:space="preserve"> </w:t>
      </w:r>
      <w:r>
        <w:t xml:space="preserve">Everyone else is consent-pending and is not named, quoted, or pictured in any external material.</w:t>
      </w:r>
    </w:p>
    <w:p>
      <w:pPr>
        <w:numPr>
          <w:ilvl w:val="0"/>
          <w:numId w:val="1011"/>
        </w:numPr>
        <w:pStyle w:val="Compact"/>
      </w:pPr>
      <w:r>
        <w:rPr>
          <w:b/>
        </w:rPr>
        <w:t xml:space="preserve">Consent travels with the data.</w:t>
      </w:r>
      <w:r>
        <w:t xml:space="preserve"> </w:t>
      </w:r>
      <w:r>
        <w:t xml:space="preserve">A story’s permission status is attached to the story — when it moves to the wiki, a newsletter, an Empathy Ledger syndication, a deck, or the website, its consent status moves with it and is re-checked at the point of use.</w:t>
      </w:r>
    </w:p>
    <w:p>
      <w:pPr>
        <w:numPr>
          <w:ilvl w:val="0"/>
          <w:numId w:val="1011"/>
        </w:numPr>
        <w:pStyle w:val="Compact"/>
      </w:pPr>
      <w:r>
        <w:rPr>
          <w:b/>
        </w:rPr>
        <w:t xml:space="preserve">The human anchor we can use:</w:t>
      </w:r>
      <w:r>
        <w:t xml:space="preserve"> </w:t>
      </w:r>
      <w:r>
        <w:t xml:space="preserve">Ray Nelson’s bed (consent-cleared) —</w:t>
      </w:r>
      <w:r>
        <w:t xml:space="preserve"> </w:t>
      </w:r>
      <w:r>
        <w:rPr>
          <w:i/>
        </w:rPr>
        <w:t xml:space="preserve">“</w:t>
      </w:r>
      <w:r>
        <w:rPr>
          <w:i/>
        </w:rPr>
        <w:t xml:space="preserve">Since receiving their new beds, they are no longer experiencing back pains.</w:t>
      </w:r>
      <w:r>
        <w:rPr>
          <w:i/>
        </w:rPr>
        <w:t xml:space="preserve">”</w:t>
      </w:r>
      <w:r>
        <w:t xml:space="preserve"> </w:t>
      </w:r>
      <w:r>
        <w:t xml:space="preserve">This is a lived-experience account, presented as such, not as a clinical result.</w:t>
      </w:r>
    </w:p>
    <w:p>
      <w:pPr>
        <w:numPr>
          <w:ilvl w:val="0"/>
          <w:numId w:val="1011"/>
        </w:numPr>
        <w:pStyle w:val="Compact"/>
      </w:pPr>
      <w:r>
        <w:rPr>
          <w:b/>
        </w:rPr>
        <w:t xml:space="preserve">The short consent-cleared list is itself a current gap.</w:t>
      </w:r>
      <w:r>
        <w:t xml:space="preserve"> </w:t>
      </w:r>
      <w:r>
        <w:t xml:space="preserve">Three cleared voices is too few to evidence impact at the scale the work is reaching. Closing that list — confirming consent with more storytellers, properly — is a measurement-method task, not a marketing one.</w:t>
      </w:r>
    </w:p>
    <w:p>
      <w:r>
        <w:pict>
          <v:rect style="width:0;height:1.5pt" o:hralign="center" o:hrstd="t" o:hr="t"/>
        </w:pict>
      </w:r>
    </w:p>
    <w:p>
      <w:pPr>
        <w:pStyle w:val="Heading2"/>
      </w:pPr>
      <w:bookmarkStart w:id="79" w:name="whats-next-to-make-this-fundable"/>
      <w:r>
        <w:t xml:space="preserve">What’s next to make this fundable</w:t>
      </w:r>
      <w:bookmarkEnd w:id="79"/>
    </w:p>
    <w:p>
      <w:pPr>
        <w:pStyle w:val="FirstParagraph"/>
      </w:pPr>
      <w:r>
        <w:t xml:space="preserve">The measurement method has two honest gaps. Naming them as the next builds is what makes the page credible rather than thin.</w:t>
      </w:r>
    </w:p>
    <w:p>
      <w:pPr>
        <w:numPr>
          <w:ilvl w:val="0"/>
          <w:numId w:val="1012"/>
        </w:numPr>
        <w:pStyle w:val="Compact"/>
      </w:pPr>
      <w:r>
        <w:rPr>
          <w:b/>
        </w:rPr>
        <w:t xml:space="preserve">A partner-validated outcomes method.</w:t>
      </w:r>
      <w:r>
        <w:t xml:space="preserve"> </w:t>
      </w:r>
      <w:r>
        <w:t xml:space="preserve">Co-design a health-outcomes measure with Miwatj / clinical partners — the legitimate route to ever moving a health indicator out of the FUTURE column. Until it runs, the claim ceiling holds.</w:t>
      </w:r>
    </w:p>
    <w:p>
      <w:pPr>
        <w:numPr>
          <w:ilvl w:val="0"/>
          <w:numId w:val="1012"/>
        </w:numPr>
        <w:pStyle w:val="Compact"/>
      </w:pPr>
      <w:r>
        <w:rPr>
          <w:b/>
        </w:rPr>
        <w:t xml:space="preserve">A consent-cleared story list.</w:t>
      </w:r>
      <w:r>
        <w:t xml:space="preserve"> </w:t>
      </w:r>
      <w:r>
        <w:t xml:space="preserve">Expand beyond the current three (Ivy Johnson, Dianne Stokes, Ray Nelson) with confirmed, documented consent, so impact can be evidenced through community voice without breaching OCAP.</w:t>
      </w:r>
    </w:p>
    <w:p>
      <w:pPr>
        <w:numPr>
          <w:ilvl w:val="0"/>
          <w:numId w:val="1012"/>
        </w:numPr>
        <w:pStyle w:val="Compact"/>
      </w:pPr>
      <w:r>
        <w:rPr>
          <w:b/>
        </w:rPr>
        <w:t xml:space="preserve">Turn the bed into something easy to follow</w:t>
      </w:r>
      <w:r>
        <w:t xml:space="preserve"> </w:t>
      </w:r>
      <w:r>
        <w:t xml:space="preserve">(the near-term measurement build that feeds the FUTURE column): QR / ID-based bed check-ins, repair and replacement requests, simple</w:t>
      </w:r>
      <w:r>
        <w:t xml:space="preserve"> </w:t>
      </w:r>
      <w:r>
        <w:t xml:space="preserve">“</w:t>
      </w:r>
      <w:r>
        <w:t xml:space="preserve">still in use</w:t>
      </w:r>
      <w:r>
        <w:t xml:space="preserve">”</w:t>
      </w:r>
      <w:r>
        <w:t xml:space="preserve"> </w:t>
      </w:r>
      <w:r>
        <w:t xml:space="preserve">checks, and a record of whether a bed has moved, been damaged, been repaired or been thrown out. This is how survival-at-12/24/36-months and reuse metrics eventually become</w:t>
      </w:r>
      <w:r>
        <w:t xml:space="preserve"> </w:t>
      </w:r>
      <w:r>
        <w:rPr>
          <w:b/>
        </w:rPr>
        <w:t xml:space="preserve">[VERIFIED]</w:t>
      </w:r>
      <w:r>
        <w:t xml:space="preserve"> </w:t>
      </w:r>
      <w:r>
        <w:t xml:space="preserve">rather than</w:t>
      </w:r>
      <w:r>
        <w:t xml:space="preserve"> </w:t>
      </w:r>
      <w:r>
        <w:rPr>
          <w:b/>
        </w:rPr>
        <w:t xml:space="preserve">[FUTURE]</w:t>
      </w:r>
      <w:r>
        <w:t xml:space="preserve">.</w:t>
      </w:r>
    </w:p>
    <w:p>
      <w:pPr>
        <w:pStyle w:val="BlockText"/>
      </w:pPr>
      <w:r>
        <w:t xml:space="preserve">The discipline underneath all three: a metric earns its way leftward — FUTURE → MODELLED → VERIFIED — only as real evidence arrives. We would rather show a funder a gap they can see than a number that hides one.</w:t>
      </w:r>
    </w:p>
    <w:p>
      <w:r>
        <w:pict>
          <v:rect style="width:0;height:1.5pt" o:hralign="center" o:hrstd="t" o:hr="t"/>
        </w:pict>
      </w:r>
    </w:p>
    <w:p>
      <w:pPr>
        <w:pStyle w:val="FirstParagraph"/>
      </w:pPr>
      <w:r>
        <w:rPr>
          <w:i/>
        </w:rPr>
        <w:t xml:space="preserve">Goods on Country · QBE Diagnostic Area 02 (Social Objective &amp; Impact), due 14 Jun 2026 · Figures per 00-master-alignment-map.md, 2026-06-13 · DRAFT — founder review before any external use.</w:t>
      </w:r>
    </w:p>
    <w:p>
      <w:r>
        <w:br w:type="page"/>
      </w:r>
    </w:p>
    <w:p>
      <w:pPr>
        <w:pStyle w:val="Heading1"/>
      </w:pPr>
      <w:bookmarkStart w:id="80" w:name="area-3-business-model"/>
      <w:r>
        <w:t xml:space="preserve">Area 3 · Business Model</w:t>
      </w:r>
      <w:bookmarkEnd w:id="80"/>
    </w:p>
    <w:p>
      <w:pPr>
        <w:pStyle w:val="Heading1"/>
      </w:pPr>
      <w:bookmarkStart w:id="81" w:name="goods-on-country-1"/>
      <w:r>
        <w:t xml:space="preserve">Goods on Country</w:t>
      </w:r>
      <w:bookmarkEnd w:id="81"/>
    </w:p>
    <w:p>
      <w:pPr>
        <w:pStyle w:val="Heading2"/>
      </w:pPr>
      <w:bookmarkStart w:id="82" w:name="business-model-on-a-page"/>
      <w:r>
        <w:t xml:space="preserve">Business model on a page</w:t>
      </w:r>
      <w:bookmarkEnd w:id="82"/>
    </w:p>
    <w:p>
      <w:pPr>
        <w:pStyle w:val="FirstParagraph"/>
      </w:pPr>
      <w:r>
        <w:rPr>
          <w:i/>
        </w:rPr>
        <w:t xml:space="preserve">The diagnostic was right to flag this. We can describe our impact and our product clearly; we have been less disciplined about saying, on one page, exactly how the money works, who pays, what each customer is worth, and how we get off grants. This document does that. It does not dress up the commercial position — about 89% of our income is grant-funded today, by design, and we treat that as the starting point we are working away from, not a thing to hide. Read it alongside the strategy memo (§3 holds the same honest numbers) and the alignment map (the source of truth for every figure).</w:t>
      </w:r>
    </w:p>
    <w:p>
      <w:r>
        <w:pict>
          <v:rect style="width:0;height:1.5pt" o:hralign="center" o:hrstd="t" o:hr="t"/>
        </w:pict>
      </w:r>
    </w:p>
    <w:p>
      <w:pPr>
        <w:pStyle w:val="Heading2"/>
      </w:pPr>
      <w:bookmarkStart w:id="83" w:name="how-we-create-deliver-and-capture-value"/>
      <w:r>
        <w:t xml:space="preserve">How we create, deliver, and capture value</w:t>
      </w:r>
      <w:bookmarkEnd w:id="83"/>
    </w:p>
    <w:p>
      <w:pPr>
        <w:pStyle w:val="FirstParagraph"/>
      </w:pPr>
      <w:r>
        <w:rPr>
          <w:b/>
        </w:rPr>
        <w:t xml:space="preserve">We create value</w:t>
      </w:r>
      <w:r>
        <w:t xml:space="preserve"> </w:t>
      </w:r>
      <w:r>
        <w:t xml:space="preserve">by designing essential household goods</w:t>
      </w:r>
      <w:r>
        <w:t xml:space="preserve"> </w:t>
      </w:r>
      <w:r>
        <w:rPr>
          <w:i/>
        </w:rPr>
        <w:t xml:space="preserve">with</w:t>
      </w:r>
      <w:r>
        <w:t xml:space="preserve"> </w:t>
      </w:r>
      <w:r>
        <w:t xml:space="preserve">remote communities rather than for them, so the product survives the conditions it actually lives in. The Stretch Bed is the flagship: recycled HDPE plastic X-trestle legs, two galvanised steel poles, and heavy-duty Australian canvas, built for a ten-year-plus life with a five-year warranty, washable, repairable, and flat-packable for freight. Co-design is not a courtesy — it is why the demand that matters most arrives</w:t>
      </w:r>
      <w:r>
        <w:t xml:space="preserve"> </w:t>
      </w:r>
      <w:r>
        <w:rPr>
          <w:i/>
        </w:rPr>
        <w:t xml:space="preserve">after</w:t>
      </w:r>
      <w:r>
        <w:t xml:space="preserve"> </w:t>
      </w:r>
      <w:r>
        <w:t xml:space="preserve">people use the product, not before.</w:t>
      </w:r>
    </w:p>
    <w:p>
      <w:pPr>
        <w:pStyle w:val="BodyText"/>
      </w:pPr>
      <w:r>
        <w:rPr>
          <w:b/>
        </w:rPr>
        <w:t xml:space="preserve">We deliver value</w:t>
      </w:r>
      <w:r>
        <w:t xml:space="preserve"> </w:t>
      </w:r>
      <w:r>
        <w:t xml:space="preserve">through on-country manufacture and QR-tracked deployment. The production model collects waste plastic, shreds it, presses and cuts it into bed components, and assembles on country. Every unit deployed carries a QR code in a live asset register that a stranger can scan, which turns each bed from a one-off handout into a trackable asset that can be repaired and supported in the field rather than dumped when it fails.</w:t>
      </w:r>
    </w:p>
    <w:p>
      <w:pPr>
        <w:pStyle w:val="BodyText"/>
      </w:pPr>
      <w:r>
        <w:rPr>
          <w:b/>
        </w:rPr>
        <w:t xml:space="preserve">We capture value</w:t>
      </w:r>
      <w:r>
        <w:t xml:space="preserve"> </w:t>
      </w:r>
      <w:r>
        <w:t xml:space="preserve">today almost entirely through product sales — but the buyer is usually an institution or funder paying on a community’s behalf, not the resident. That is the current reality and the thing this page is honest about. The intended second value-capture line, not yet live, is the</w:t>
      </w:r>
      <w:r>
        <w:t xml:space="preserve"> </w:t>
      </w:r>
      <w:r>
        <w:rPr>
          <w:b/>
        </w:rPr>
        <w:t xml:space="preserve">plastic-collection / waste-offset revenue line</w:t>
      </w:r>
      <w:r>
        <w:t xml:space="preserve">: turning the plastic input from a bought cost into a paid collection stream, where councils and waste partners pay Goods (or a community operator) to divert plastic that would otherwise go to the community dump. That flips a cost into revenue and is one of the few levers that improves unit economics without raising the price to the buyer. It is a design intention with a clear mechanism, not booked income.</w:t>
      </w:r>
    </w:p>
    <w:p>
      <w:pPr>
        <w:pStyle w:val="BodyText"/>
      </w:pPr>
      <w:r>
        <w:t xml:space="preserve">The deeper model is</w:t>
      </w:r>
      <w:r>
        <w:t xml:space="preserve"> </w:t>
      </w:r>
      <w:r>
        <w:rPr>
          <w:b/>
        </w:rPr>
        <w:t xml:space="preserve">transfer, not just sales.</w:t>
      </w:r>
      <w:r>
        <w:t xml:space="preserve"> </w:t>
      </w:r>
      <w:r>
        <w:t xml:space="preserve">The plant is designed from the start to move to community ownership — local people collecting, making, repairing, and eventually selling, with A Curious Tractor providing design, quality systems, R&amp;D, and shared back office only where that genuinely helps. The business model’s job is to become unnecessary. That north star sits behind every segment below.</w:t>
      </w:r>
    </w:p>
    <w:p>
      <w:r>
        <w:pict>
          <v:rect style="width:0;height:1.5pt" o:hralign="center" o:hrstd="t" o:hr="t"/>
        </w:pict>
      </w:r>
    </w:p>
    <w:p>
      <w:pPr>
        <w:pStyle w:val="Heading2"/>
      </w:pPr>
      <w:bookmarkStart w:id="84" w:name="customer-segments"/>
      <w:r>
        <w:t xml:space="preserve">Customer segments</w:t>
      </w:r>
      <w:bookmarkEnd w:id="84"/>
    </w:p>
    <w:p>
      <w:pPr>
        <w:pStyle w:val="FirstParagraph"/>
      </w:pPr>
      <w:r>
        <w:t xml:space="preserve">Four segments carry the model. They are listed in order of how much revenue they actually produce today — which is the honest order, not the aspirational one. The first segment is essentially all of current income; the fourth is AU$90. We keep them separate on purpose, because each one proves something different and blending them hides exactly the gap a catalytic investor is being asked to close.</w:t>
      </w:r>
    </w:p>
    <w:p>
      <w:pPr>
        <w:pStyle w:val="BlockText"/>
      </w:pPr>
      <w:r>
        <w:t xml:space="preserve">Across all four, the</w:t>
      </w:r>
      <w:r>
        <w:t xml:space="preserve"> </w:t>
      </w:r>
      <w:r>
        <w:rPr>
          <w:b/>
        </w:rPr>
        <w:t xml:space="preserve">Stretch Bed is the only product for direct sale.</w:t>
      </w:r>
      <w:r>
        <w:t xml:space="preserve"> </w:t>
      </w:r>
      <w:r>
        <w:t xml:space="preserve">The Pakkimjalki Kari washing machine is a register-interest prototype — deployed and gathering feedback, not yet purchasable — so it appears below as pipeline and payment-innovation, never as booked product revenue.</w:t>
      </w:r>
    </w:p>
    <w:p>
      <w:pPr>
        <w:pStyle w:val="Heading3"/>
      </w:pPr>
      <w:bookmarkStart w:id="85" w:name="Xfc1fec10c8eb1fde1b63592dd1d0aa80b58a77e"/>
      <w:r>
        <w:t xml:space="preserve">Segment 1 — Institutional / community-controlled buyers and councils funding deployments</w:t>
      </w:r>
      <w:bookmarkEnd w:id="85"/>
    </w:p>
    <w:p>
      <w:pPr>
        <w:pStyle w:val="FirstParagraph"/>
      </w:pPr>
      <w:r>
        <w:rPr>
          <w:i/>
        </w:rPr>
        <w:t xml:space="preserve">The current bulk of revenue.</w:t>
      </w:r>
    </w:p>
    <w:p>
      <w:pPr>
        <w:numPr>
          <w:ilvl w:val="0"/>
          <w:numId w:val="1013"/>
        </w:numPr>
        <w:pStyle w:val="Compact"/>
      </w:pPr>
      <w:r>
        <w:rPr>
          <w:b/>
        </w:rPr>
        <w:t xml:space="preserve">Who:</w:t>
      </w:r>
      <w:r>
        <w:t xml:space="preserve"> </w:t>
      </w:r>
      <w:r>
        <w:t xml:space="preserve">Aboriginal community-controlled organisations, homelands and council bodies, health services, and the philanthropic funders who pay for deployments through them. Centrecorp (via the Utopia pathway), PICC on Palm Island, Tennant Creek partners, Oonchiumpa.</w:t>
      </w:r>
    </w:p>
    <w:p>
      <w:pPr>
        <w:numPr>
          <w:ilvl w:val="0"/>
          <w:numId w:val="1013"/>
        </w:numPr>
        <w:pStyle w:val="Compact"/>
      </w:pPr>
      <w:r>
        <w:rPr>
          <w:b/>
        </w:rPr>
        <w:t xml:space="preserve">What they buy:</w:t>
      </w:r>
      <w:r>
        <w:t xml:space="preserve"> </w:t>
      </w:r>
      <w:r>
        <w:t xml:space="preserve">Stretch Bed batches for community deployment; in future, plant partnerships.</w:t>
      </w:r>
    </w:p>
    <w:p>
      <w:pPr>
        <w:numPr>
          <w:ilvl w:val="0"/>
          <w:numId w:val="1013"/>
        </w:numPr>
        <w:pStyle w:val="Compact"/>
      </w:pPr>
      <w:r>
        <w:rPr>
          <w:b/>
        </w:rPr>
        <w:t xml:space="preserve">How they pay:</w:t>
      </w:r>
      <w:r>
        <w:t xml:space="preserve"> </w:t>
      </w:r>
      <w:r>
        <w:t xml:space="preserve">Grant funds, foundation money, or invoice payment against an approved batch. This is where the AU$649,710.79 received [WORKPAPER — Xero mirror, 29 May 2026, unaudited] has come from, against AU$732,210.79 billed at an 88.8% collection rate.</w:t>
      </w:r>
    </w:p>
    <w:p>
      <w:pPr>
        <w:numPr>
          <w:ilvl w:val="0"/>
          <w:numId w:val="1013"/>
        </w:numPr>
        <w:pStyle w:val="Compact"/>
      </w:pPr>
      <w:r>
        <w:rPr>
          <w:b/>
        </w:rPr>
        <w:t xml:space="preserve">Unit economics note:</w:t>
      </w:r>
      <w:r>
        <w:t xml:space="preserve"> </w:t>
      </w:r>
      <w:r>
        <w:t xml:space="preserve">Beds in this segment transact around the AU$750 list price [VERIFIED] or at a grant-subsidised effective rate. At today’s marginal cost of AU$684.79 [WORKPAPER] the contribution per bed is thin (~AU$65); the segment’s value today is</w:t>
      </w:r>
      <w:r>
        <w:t xml:space="preserve"> </w:t>
      </w:r>
      <w:r>
        <w:rPr>
          <w:i/>
        </w:rPr>
        <w:t xml:space="preserve">proof and volume</w:t>
      </w:r>
      <w:r>
        <w:t xml:space="preserve">, not margin. The cost-down (below) is what turns this segment from break-even-ish delivery into a contributing line.</w:t>
      </w:r>
    </w:p>
    <w:p>
      <w:pPr>
        <w:numPr>
          <w:ilvl w:val="0"/>
          <w:numId w:val="1013"/>
        </w:numPr>
        <w:pStyle w:val="Compact"/>
      </w:pPr>
      <w:r>
        <w:rPr>
          <w:b/>
        </w:rPr>
        <w:t xml:space="preserve">Sales effort:</w:t>
      </w:r>
      <w:r>
        <w:t xml:space="preserve"> </w:t>
      </w:r>
      <w:r>
        <w:t xml:space="preserve">Relationship-led and high-touch. Long co-design and trust-building cycles, founder-carried today. Each deal is bespoke; there is no repeatable funnel yet. This is the #1 operational risk (founder bottleneck) and the reason a Business Development hire is in the use-of-funds.</w:t>
      </w:r>
    </w:p>
    <w:p>
      <w:pPr>
        <w:numPr>
          <w:ilvl w:val="0"/>
          <w:numId w:val="1013"/>
        </w:numPr>
        <w:pStyle w:val="Compact"/>
      </w:pPr>
      <w:r>
        <w:rPr>
          <w:b/>
        </w:rPr>
        <w:t xml:space="preserve">Capacity-to-pay (honest read):</w:t>
      </w:r>
      <w:r>
        <w:t xml:space="preserve"> </w:t>
      </w:r>
      <w:r>
        <w:t xml:space="preserve">Real but indirect and lumpy. These buyers do not pay from a household budget — they pay from grant rounds and program funds, so capacity rises and falls with funding cycles outside our control. The capacity is genuine (107 beds approved and INV-0291 paid through Centrecorp proves it) but it is</w:t>
      </w:r>
      <w:r>
        <w:t xml:space="preserve"> </w:t>
      </w:r>
      <w:r>
        <w:rPr>
          <w:i/>
        </w:rPr>
        <w:t xml:space="preserve">grant-derived capacity</w:t>
      </w:r>
      <w:r>
        <w:t xml:space="preserve">, which is exactly why this segment cannot, on its own, get us off grants. It moves us off grants only when these same buyers shift from grant-funded to procurement-funded purchasing (Segment 3).</w:t>
      </w:r>
    </w:p>
    <w:p>
      <w:pPr>
        <w:pStyle w:val="Heading3"/>
      </w:pPr>
      <w:bookmarkStart w:id="86" w:name="X7256afea762ff8bb978f05bfd61921e15d7f9c2"/>
      <w:r>
        <w:t xml:space="preserve">Segment 2 — Businesses purchasing for staff housing</w:t>
      </w:r>
      <w:bookmarkEnd w:id="86"/>
    </w:p>
    <w:p>
      <w:pPr>
        <w:pStyle w:val="FirstParagraph"/>
      </w:pPr>
      <w:r>
        <w:rPr>
          <w:i/>
        </w:rPr>
        <w:t xml:space="preserve">Small today, clearer commercial logic.</w:t>
      </w:r>
    </w:p>
    <w:p>
      <w:pPr>
        <w:numPr>
          <w:ilvl w:val="0"/>
          <w:numId w:val="1014"/>
        </w:numPr>
        <w:pStyle w:val="Compact"/>
      </w:pPr>
      <w:r>
        <w:rPr>
          <w:b/>
        </w:rPr>
        <w:t xml:space="preserve">Who:</w:t>
      </w:r>
      <w:r>
        <w:t xml:space="preserve"> </w:t>
      </w:r>
      <w:r>
        <w:t xml:space="preserve">Employers running remote staff accommodation — mining-region operations, pastoral and agricultural employers, remote workforce and ranger programs, and corporates with place-based or RAP commitments.</w:t>
      </w:r>
    </w:p>
    <w:p>
      <w:pPr>
        <w:numPr>
          <w:ilvl w:val="0"/>
          <w:numId w:val="1014"/>
        </w:numPr>
        <w:pStyle w:val="Compact"/>
      </w:pPr>
      <w:r>
        <w:rPr>
          <w:b/>
        </w:rPr>
        <w:t xml:space="preserve">What they buy:</w:t>
      </w:r>
      <w:r>
        <w:t xml:space="preserve"> </w:t>
      </w:r>
      <w:r>
        <w:t xml:space="preserve">Stretch Beds for staff and worker housing, where the washable, freight-friendly, durable design beats the true remote cost of beds that fail in months.</w:t>
      </w:r>
    </w:p>
    <w:p>
      <w:pPr>
        <w:numPr>
          <w:ilvl w:val="0"/>
          <w:numId w:val="1014"/>
        </w:numPr>
        <w:pStyle w:val="Compact"/>
      </w:pPr>
      <w:r>
        <w:rPr>
          <w:b/>
        </w:rPr>
        <w:t xml:space="preserve">How they pay:</w:t>
      </w:r>
      <w:r>
        <w:t xml:space="preserve"> </w:t>
      </w:r>
      <w:r>
        <w:t xml:space="preserve">Direct commercial purchase or sponsored batch, typically at or above list price. Mining-region foundations may pay a premium (modelled ~1.2–1.5× for branded social-licence reporting) [MODELLED].</w:t>
      </w:r>
    </w:p>
    <w:p>
      <w:pPr>
        <w:numPr>
          <w:ilvl w:val="0"/>
          <w:numId w:val="1014"/>
        </w:numPr>
        <w:pStyle w:val="Compact"/>
      </w:pPr>
      <w:r>
        <w:rPr>
          <w:b/>
        </w:rPr>
        <w:t xml:space="preserve">Unit economics note:</w:t>
      </w:r>
      <w:r>
        <w:t xml:space="preserve"> </w:t>
      </w:r>
      <w:r>
        <w:t xml:space="preserve">This segment can sustain full price or better, so contribution per bed is stronger than Segment 1 and improves materially after the cost-down. Volume today is negligible.</w:t>
      </w:r>
    </w:p>
    <w:p>
      <w:pPr>
        <w:numPr>
          <w:ilvl w:val="0"/>
          <w:numId w:val="1014"/>
        </w:numPr>
        <w:pStyle w:val="Compact"/>
      </w:pPr>
      <w:r>
        <w:rPr>
          <w:b/>
        </w:rPr>
        <w:t xml:space="preserve">Sales effort:</w:t>
      </w:r>
      <w:r>
        <w:t xml:space="preserve"> </w:t>
      </w:r>
      <w:r>
        <w:t xml:space="preserve">Medium. Warmer than government procurement, slower than retail. Requires a credible B2B offer (quote, warranty, delivery schedule, references) that does not yet exist in packaged form.</w:t>
      </w:r>
    </w:p>
    <w:p>
      <w:pPr>
        <w:numPr>
          <w:ilvl w:val="0"/>
          <w:numId w:val="1014"/>
        </w:numPr>
        <w:pStyle w:val="Compact"/>
      </w:pPr>
      <w:r>
        <w:rPr>
          <w:b/>
        </w:rPr>
        <w:t xml:space="preserve">Capacity-to-pay (honest read):</w:t>
      </w:r>
      <w:r>
        <w:t xml:space="preserve"> </w:t>
      </w:r>
      <w:r>
        <w:t xml:space="preserve">Genuine and budget-backed — these are buyers with operating budgets and a real problem (beds that don’t survive remote staff housing). The risk is not their capacity but our framing: sold carelessly, staff-housing sales can drift into charity optics or distract from the remote-community mission. Governed well, this is one of the few near-term segments that pays a commercial margin.</w:t>
      </w:r>
    </w:p>
    <w:p>
      <w:pPr>
        <w:pStyle w:val="Heading3"/>
      </w:pPr>
      <w:bookmarkStart w:id="87" w:name="segment-3-procurement-housing-programs"/>
      <w:r>
        <w:t xml:space="preserve">Segment 3 — Procurement / housing programs</w:t>
      </w:r>
      <w:bookmarkEnd w:id="87"/>
    </w:p>
    <w:p>
      <w:pPr>
        <w:pStyle w:val="FirstParagraph"/>
      </w:pPr>
      <w:r>
        <w:rPr>
          <w:i/>
        </w:rPr>
        <w:t xml:space="preserve">Future. Gated on 51% First Nations ownership.</w:t>
      </w:r>
    </w:p>
    <w:p>
      <w:pPr>
        <w:numPr>
          <w:ilvl w:val="0"/>
          <w:numId w:val="1015"/>
        </w:numPr>
        <w:pStyle w:val="Compact"/>
      </w:pPr>
      <w:r>
        <w:rPr>
          <w:b/>
        </w:rPr>
        <w:t xml:space="preserve">Who:</w:t>
      </w:r>
      <w:r>
        <w:t xml:space="preserve"> </w:t>
      </w:r>
      <w:r>
        <w:t xml:space="preserve">Government and program procurement — NT Remote Housing fitouts, Aboriginal Hostels Limited (~17,000 beds in service), state Aboriginal Housing offices, NACCHO/ACCHO staff and clinic housing, Outback Stores / ALPA. (These are the procurement</w:t>
      </w:r>
      <w:r>
        <w:t xml:space="preserve"> </w:t>
      </w:r>
      <w:r>
        <w:t xml:space="preserve">“</w:t>
      </w:r>
      <w:r>
        <w:t xml:space="preserve">pipes</w:t>
      </w:r>
      <w:r>
        <w:t xml:space="preserve">”</w:t>
      </w:r>
      <w:r>
        <w:t xml:space="preserve"> </w:t>
      </w:r>
      <w:r>
        <w:t xml:space="preserve">detailed in the go-to-market draft — see the caveat below.)</w:t>
      </w:r>
    </w:p>
    <w:p>
      <w:pPr>
        <w:numPr>
          <w:ilvl w:val="0"/>
          <w:numId w:val="1015"/>
        </w:numPr>
        <w:pStyle w:val="Compact"/>
      </w:pPr>
      <w:r>
        <w:rPr>
          <w:b/>
        </w:rPr>
        <w:t xml:space="preserve">What they buy:</w:t>
      </w:r>
      <w:r>
        <w:t xml:space="preserve"> </w:t>
      </w:r>
      <w:r>
        <w:t xml:space="preserve">Stretch Beds at volume as a standard fitout or replacement item; later, washing-machine pathways.</w:t>
      </w:r>
    </w:p>
    <w:p>
      <w:pPr>
        <w:numPr>
          <w:ilvl w:val="0"/>
          <w:numId w:val="1015"/>
        </w:numPr>
        <w:pStyle w:val="Compact"/>
      </w:pPr>
      <w:r>
        <w:rPr>
          <w:b/>
        </w:rPr>
        <w:t xml:space="preserve">How they pay:</w:t>
      </w:r>
      <w:r>
        <w:t xml:space="preserve"> </w:t>
      </w:r>
      <w:r>
        <w:t xml:space="preserve">Wholesale procurement contracts and standing-offer panels, at negotiated volume pricing. This is the channel that, at scale, replaces grant income with contracted revenue.</w:t>
      </w:r>
    </w:p>
    <w:p>
      <w:pPr>
        <w:numPr>
          <w:ilvl w:val="0"/>
          <w:numId w:val="1015"/>
        </w:numPr>
        <w:pStyle w:val="Compact"/>
      </w:pPr>
      <w:r>
        <w:rPr>
          <w:b/>
        </w:rPr>
        <w:t xml:space="preserve">Unit economics note:</w:t>
      </w:r>
      <w:r>
        <w:t xml:space="preserve"> </w:t>
      </w:r>
      <w:r>
        <w:t xml:space="preserve">Wholesale pricing sits below list (the go-to-market draft models ~AU$650/bed to government buyers) [MODELLED], so this segment only contributes margin</w:t>
      </w:r>
      <w:r>
        <w:t xml:space="preserve"> </w:t>
      </w:r>
      <w:r>
        <w:rPr>
          <w:i/>
        </w:rPr>
        <w:t xml:space="preserve">after</w:t>
      </w:r>
      <w:r>
        <w:t xml:space="preserve"> </w:t>
      </w:r>
      <w:r>
        <w:t xml:space="preserve">the in-source cost-down brings marginal cost below that wholesale price. Volume is the trade-off for price — and the binding constraint here is procurement plumbing, not demand.</w:t>
      </w:r>
    </w:p>
    <w:p>
      <w:pPr>
        <w:numPr>
          <w:ilvl w:val="0"/>
          <w:numId w:val="1015"/>
        </w:numPr>
        <w:pStyle w:val="Compact"/>
      </w:pPr>
      <w:r>
        <w:rPr>
          <w:b/>
        </w:rPr>
        <w:t xml:space="preserve">Sales effort:</w:t>
      </w:r>
      <w:r>
        <w:t xml:space="preserve"> </w:t>
      </w:r>
      <w:r>
        <w:t xml:space="preserve">Very high and slow, with a hard structural pre-condition. Long procurement cycles, panel applications, and specification-writing. Critically,</w:t>
      </w:r>
      <w:r>
        <w:t xml:space="preserve"> </w:t>
      </w:r>
      <w:r>
        <w:rPr>
          <w:b/>
        </w:rPr>
        <w:t xml:space="preserve">four of the eight procurement pipes require a 51%+ First Nations-owned operating entity</w:t>
      </w:r>
      <w:r>
        <w:t xml:space="preserve"> </w:t>
      </w:r>
      <w:r>
        <w:t xml:space="preserve">(the IPP threshold tightens 1 July 2026). Until the legal structure is settled — the keystone gap across this whole pack — this segment cannot be sold into at all.</w:t>
      </w:r>
    </w:p>
    <w:p>
      <w:pPr>
        <w:numPr>
          <w:ilvl w:val="0"/>
          <w:numId w:val="1015"/>
        </w:numPr>
        <w:pStyle w:val="Compact"/>
      </w:pPr>
      <w:r>
        <w:rPr>
          <w:b/>
        </w:rPr>
        <w:t xml:space="preserve">Capacity-to-pay (honest read):</w:t>
      </w:r>
      <w:r>
        <w:t xml:space="preserve"> </w:t>
      </w:r>
      <w:r>
        <w:t xml:space="preserve">The strongest capacity of any segment — these are multi-billion-dollar pools (NT Remote Housing $4B/10yr; federal Indigenous procurement rising toward ~$1B+/yr) [MODELLED, from public sources]. But capacity is meaningless to us while the door is shut. The honest read is:</w:t>
      </w:r>
      <w:r>
        <w:t xml:space="preserve"> </w:t>
      </w:r>
      <w:r>
        <w:rPr>
          <w:i/>
        </w:rPr>
        <w:t xml:space="preserve">enormous capacity, currently inaccessible</w:t>
      </w:r>
      <w:r>
        <w:t xml:space="preserve">, gated on (a) the 51% structure and (b) at least one signed procurement/offtake commitment, of which we hold zero today.</w:t>
      </w:r>
    </w:p>
    <w:p>
      <w:pPr>
        <w:pStyle w:val="Heading3"/>
      </w:pPr>
      <w:bookmarkStart w:id="88" w:name="segment-4-direct-retail-ndis-aged-care"/>
      <w:r>
        <w:t xml:space="preserve">Segment 4 — Direct retail + NDIS / aged-care</w:t>
      </w:r>
      <w:bookmarkEnd w:id="88"/>
    </w:p>
    <w:p>
      <w:pPr>
        <w:pStyle w:val="FirstParagraph"/>
      </w:pPr>
      <w:r>
        <w:rPr>
          <w:i/>
        </w:rPr>
        <w:t xml:space="preserve">Smallest today — AU$90 of shop revenue.</w:t>
      </w:r>
    </w:p>
    <w:p>
      <w:pPr>
        <w:numPr>
          <w:ilvl w:val="0"/>
          <w:numId w:val="1016"/>
        </w:numPr>
        <w:pStyle w:val="Compact"/>
      </w:pPr>
      <w:r>
        <w:rPr>
          <w:b/>
        </w:rPr>
        <w:t xml:space="preserve">Who:</w:t>
      </w:r>
      <w:r>
        <w:t xml:space="preserve"> </w:t>
      </w:r>
      <w:r>
        <w:t xml:space="preserve">Individual customers, allies, campers, and metro buyers via the website; and NDIS SDA, aged-care, and occupational-therapy pathways where a washable, no-foam, low-height bed meets a funded support need.</w:t>
      </w:r>
    </w:p>
    <w:p>
      <w:pPr>
        <w:numPr>
          <w:ilvl w:val="0"/>
          <w:numId w:val="1016"/>
        </w:numPr>
        <w:pStyle w:val="Compact"/>
      </w:pPr>
      <w:r>
        <w:rPr>
          <w:b/>
        </w:rPr>
        <w:t xml:space="preserve">What they buy:</w:t>
      </w:r>
      <w:r>
        <w:t xml:space="preserve"> </w:t>
      </w:r>
      <w:r>
        <w:t xml:space="preserve">A single Stretch Bed at list price (AU$750) through the shop; or a clinically-specified bed under a participant’s funding.</w:t>
      </w:r>
    </w:p>
    <w:p>
      <w:pPr>
        <w:numPr>
          <w:ilvl w:val="0"/>
          <w:numId w:val="1016"/>
        </w:numPr>
        <w:pStyle w:val="Compact"/>
      </w:pPr>
      <w:r>
        <w:rPr>
          <w:b/>
        </w:rPr>
        <w:t xml:space="preserve">How they pay:</w:t>
      </w:r>
      <w:r>
        <w:t xml:space="preserve"> </w:t>
      </w:r>
      <w:r>
        <w:t xml:space="preserve">Card checkout via Stripe (the only direct-sale pipe live today); or NDIS/aged-care funding against an OT specification.</w:t>
      </w:r>
    </w:p>
    <w:p>
      <w:pPr>
        <w:numPr>
          <w:ilvl w:val="0"/>
          <w:numId w:val="1016"/>
        </w:numPr>
        <w:pStyle w:val="Compact"/>
      </w:pPr>
      <w:r>
        <w:rPr>
          <w:b/>
        </w:rPr>
        <w:t xml:space="preserve">Unit economics note:</w:t>
      </w:r>
      <w:r>
        <w:t xml:space="preserve"> </w:t>
      </w:r>
      <w:r>
        <w:t xml:space="preserve">Full retail price, so the best contribution per unit of any segment — but the volume is three orders totalling</w:t>
      </w:r>
      <w:r>
        <w:t xml:space="preserve"> </w:t>
      </w:r>
      <w:r>
        <w:rPr>
          <w:b/>
        </w:rPr>
        <w:t xml:space="preserve">AU$90</w:t>
      </w:r>
      <w:r>
        <w:t xml:space="preserve"> </w:t>
      </w:r>
      <w:r>
        <w:t xml:space="preserve">[WORKPAPER]. NDIS/SDA can command a premium (modelled AU$1,200–1,500 for adaptive/clinical-grade) [MODELLED] but requires clinical documentation we do not yet produce.</w:t>
      </w:r>
    </w:p>
    <w:p>
      <w:pPr>
        <w:numPr>
          <w:ilvl w:val="0"/>
          <w:numId w:val="1016"/>
        </w:numPr>
        <w:pStyle w:val="Compact"/>
      </w:pPr>
      <w:r>
        <w:rPr>
          <w:b/>
        </w:rPr>
        <w:t xml:space="preserve">Sales effort:</w:t>
      </w:r>
      <w:r>
        <w:t xml:space="preserve"> </w:t>
      </w:r>
      <w:r>
        <w:t xml:space="preserve">Low per-transaction for retail (the storefront exists and runs itself) but currently near-zero marketing behind it. NDIS requires high admin effort per unit (clinical spec, OT relationships).</w:t>
      </w:r>
    </w:p>
    <w:p>
      <w:pPr>
        <w:numPr>
          <w:ilvl w:val="0"/>
          <w:numId w:val="1016"/>
        </w:numPr>
        <w:pStyle w:val="Compact"/>
      </w:pPr>
      <w:r>
        <w:rPr>
          <w:b/>
        </w:rPr>
        <w:t xml:space="preserve">Capacity-to-pay (honest read):</w:t>
      </w:r>
      <w:r>
        <w:t xml:space="preserve"> </w:t>
      </w:r>
      <w:r>
        <w:t xml:space="preserve">This is the most direct test of willingness-to-pay and the smallest. The AU$90 is not embarrassing — it is the point: it proves the</w:t>
      </w:r>
      <w:r>
        <w:t xml:space="preserve"> </w:t>
      </w:r>
      <w:r>
        <w:rPr>
          <w:i/>
        </w:rPr>
        <w:t xml:space="preserve">pipe</w:t>
      </w:r>
      <w:r>
        <w:t xml:space="preserve"> </w:t>
      </w:r>
      <w:r>
        <w:t xml:space="preserve">works (a stranger can buy a bed online and it ships) but not yet the</w:t>
      </w:r>
      <w:r>
        <w:t xml:space="preserve"> </w:t>
      </w:r>
      <w:r>
        <w:rPr>
          <w:i/>
        </w:rPr>
        <w:t xml:space="preserve">market</w:t>
      </w:r>
      <w:r>
        <w:t xml:space="preserve">. Direct remote-resident capacity-to-pay at full price is the open question the whole business is built around; we are explicit that most remote households cannot today buy direct at AU$750 without the kind of predatory credit we exist to avoid. NDIS/aged-care is the one direct pathway with funded capacity behind it, and it is under-developed.</w:t>
      </w:r>
    </w:p>
    <w:p>
      <w:r>
        <w:pict>
          <v:rect style="width:0;height:1.5pt" o:hralign="center" o:hrstd="t" o:hr="t"/>
        </w:pict>
      </w:r>
    </w:p>
    <w:p>
      <w:pPr>
        <w:pStyle w:val="Heading2"/>
      </w:pPr>
      <w:bookmarkStart w:id="89" w:name="payment-innovations"/>
      <w:r>
        <w:t xml:space="preserve">Payment innovations</w:t>
      </w:r>
      <w:bookmarkEnd w:id="89"/>
    </w:p>
    <w:p>
      <w:pPr>
        <w:pStyle w:val="FirstParagraph"/>
      </w:pPr>
      <w:r>
        <w:t xml:space="preserve">Two mechanisms are designed to break the affordability constraint without simply lowering price. Both are intentions with clear logic, not live revenue.</w:t>
      </w:r>
    </w:p>
    <w:p>
      <w:pPr>
        <w:numPr>
          <w:ilvl w:val="0"/>
          <w:numId w:val="1017"/>
        </w:numPr>
      </w:pPr>
      <w:r>
        <w:rPr>
          <w:b/>
        </w:rPr>
        <w:t xml:space="preserve">Lease-to-own washing machines.</w:t>
      </w:r>
      <w:r>
        <w:t xml:space="preserve"> </w:t>
      </w:r>
      <w:r>
        <w:t xml:space="preserve">The Pakkimjalki Kari prototype is still too expensive for resident ownership at its current build cost (several thousand dollars). A lease or service model spreads that cost over time and bundles the repair pathway, so a household gets a reliable, supported machine without a single large upfront payment or a predatory payment plan. This keeps the durability while making the price reachable — and it suits the prototype’s register-interest status, letting us deploy and learn before committing to a sale price.</w:t>
      </w:r>
    </w:p>
    <w:p>
      <w:pPr>
        <w:numPr>
          <w:ilvl w:val="0"/>
          <w:numId w:val="1017"/>
        </w:numPr>
      </w:pPr>
      <w:r>
        <w:rPr>
          <w:b/>
        </w:rPr>
        <w:t xml:space="preserve">Council waste-management cost offsets paying for community plastic collection.</w:t>
      </w:r>
      <w:r>
        <w:t xml:space="preserve"> </w:t>
      </w:r>
      <w:r>
        <w:t xml:space="preserve">Councils already carry the cost of plastic and broken goods accumulating in community dumps. If a council pays a community operator to collect and divert that plastic, the same plastic that is currently a</w:t>
      </w:r>
      <w:r>
        <w:t xml:space="preserve"> </w:t>
      </w:r>
      <w:r>
        <w:rPr>
          <w:i/>
        </w:rPr>
        <w:t xml:space="preserve">bought input</w:t>
      </w:r>
      <w:r>
        <w:t xml:space="preserve"> </w:t>
      </w:r>
      <w:r>
        <w:t xml:space="preserve">to the bed becomes a</w:t>
      </w:r>
      <w:r>
        <w:t xml:space="preserve"> </w:t>
      </w:r>
      <w:r>
        <w:rPr>
          <w:i/>
        </w:rPr>
        <w:t xml:space="preserve">paid collection stream</w:t>
      </w:r>
      <w:r>
        <w:t xml:space="preserve">. This is the lever that turns the plastic input from a cost line into a revenue line — improving unit economics from the input side rather than the price side, and putting paid local work into the production model. It depends on place-by-place arrangements with councils and waste partners and is not yet contracted anywhere.</w:t>
      </w:r>
    </w:p>
    <w:p>
      <w:r>
        <w:pict>
          <v:rect style="width:0;height:1.5pt" o:hralign="center" o:hrstd="t" o:hr="t"/>
        </w:pict>
      </w:r>
    </w:p>
    <w:p>
      <w:pPr>
        <w:pStyle w:val="Heading2"/>
      </w:pPr>
      <w:bookmarkStart w:id="90" w:name="the-transition-off-grants"/>
      <w:r>
        <w:t xml:space="preserve">The transition off grants</w:t>
      </w:r>
      <w:bookmarkEnd w:id="90"/>
    </w:p>
    <w:p>
      <w:pPr>
        <w:pStyle w:val="FirstParagraph"/>
      </w:pPr>
      <w:r>
        <w:t xml:space="preserve">This is the heart of what the diagnostic asked for, and we will be plain about it.</w:t>
      </w:r>
    </w:p>
    <w:p>
      <w:pPr>
        <w:pStyle w:val="BodyText"/>
      </w:pPr>
      <w:r>
        <w:rPr>
          <w:b/>
        </w:rPr>
        <w:t xml:space="preserve">Where we are.</w:t>
      </w:r>
      <w:r>
        <w:t xml:space="preserve"> </w:t>
      </w:r>
      <w:r>
        <w:t xml:space="preserve">About</w:t>
      </w:r>
      <w:r>
        <w:t xml:space="preserve"> </w:t>
      </w:r>
      <w:r>
        <w:rPr>
          <w:b/>
        </w:rPr>
        <w:t xml:space="preserve">89% of income is grant-funded today, by design</w:t>
      </w:r>
      <w:r>
        <w:t xml:space="preserve"> </w:t>
      </w:r>
      <w:r>
        <w:t xml:space="preserve">[WORKPAPER]. Direct commercial revenue is AU$90. This is a de-risking phase, not a growth phase — we have proven communities want the product and that funders will pay for deployments; we have</w:t>
      </w:r>
      <w:r>
        <w:t xml:space="preserve"> </w:t>
      </w:r>
      <w:r>
        <w:rPr>
          <w:i/>
        </w:rPr>
        <w:t xml:space="preserve">not</w:t>
      </w:r>
      <w:r>
        <w:t xml:space="preserve"> </w:t>
      </w:r>
      <w:r>
        <w:t xml:space="preserve">yet proven the product can be made at a price that lets the business stand on its own. We are not going to pretend the 89% is anything other than what it is.</w:t>
      </w:r>
    </w:p>
    <w:p>
      <w:pPr>
        <w:pStyle w:val="BodyText"/>
      </w:pPr>
      <w:r>
        <w:rPr>
          <w:b/>
        </w:rPr>
        <w:t xml:space="preserve">Why it cannot stay there.</w:t>
      </w:r>
      <w:r>
        <w:t xml:space="preserve"> </w:t>
      </w:r>
      <w:r>
        <w:t xml:space="preserve">At today’s numbers the Stretch Bed sells for AU$750 [VERIFIED] against a marginal cost of AU$684.79 [WORKPAPER] and a fixed-cost block near AU$109,500/yr [MODELLED]. On those numbers, breakeven sits around</w:t>
      </w:r>
      <w:r>
        <w:t xml:space="preserve"> </w:t>
      </w:r>
      <w:r>
        <w:rPr>
          <w:b/>
        </w:rPr>
        <w:t xml:space="preserve">1,679 beds a year</w:t>
      </w:r>
      <w:r>
        <w:t xml:space="preserve"> </w:t>
      </w:r>
      <w:r>
        <w:t xml:space="preserve">[MODELLED] while we currently deploy about 130. That is out of reach, and grant income is what bridges the gap. The model only becomes self-supporting if the unit cost falls.</w:t>
      </w:r>
    </w:p>
    <w:p>
      <w:pPr>
        <w:pStyle w:val="BodyText"/>
      </w:pPr>
      <w:r>
        <w:rPr>
          <w:b/>
        </w:rPr>
        <w:t xml:space="preserve">The path has two moves, and they compound:</w:t>
      </w:r>
    </w:p>
    <w:p>
      <w:pPr>
        <w:numPr>
          <w:ilvl w:val="0"/>
          <w:numId w:val="1018"/>
        </w:numPr>
      </w:pPr>
      <w:r>
        <w:rPr>
          <w:b/>
        </w:rPr>
        <w:t xml:space="preserve">In-source the plastic to bring the cost down.</w:t>
      </w:r>
      <w:r>
        <w:t xml:space="preserve"> </w:t>
      </w:r>
      <w:r>
        <w:t xml:space="preserve">We have verified an 8.6× markup on the HDPE legs we currently buy from an external supplier [VERIFIED]. The containerised production model projects unit cost falling from</w:t>
      </w:r>
      <w:r>
        <w:t xml:space="preserve"> </w:t>
      </w:r>
      <w:r>
        <w:rPr>
          <w:b/>
        </w:rPr>
        <w:t xml:space="preserve">AU$684.79 → AU$425.74</w:t>
      </w:r>
      <w:r>
        <w:t xml:space="preserve"> </w:t>
      </w:r>
      <w:r>
        <w:t xml:space="preserve">(factory configuration) and</w:t>
      </w:r>
      <w:r>
        <w:t xml:space="preserve"> </w:t>
      </w:r>
      <w:r>
        <w:rPr>
          <w:b/>
        </w:rPr>
        <w:t xml:space="preserve">→ AU$270.74</w:t>
      </w:r>
      <w:r>
        <w:t xml:space="preserve"> </w:t>
      </w:r>
      <w:r>
        <w:t xml:space="preserve">(community configuration) [all MODELLED]. At the factory target, breakeven drops from ~1,679 to</w:t>
      </w:r>
      <w:r>
        <w:t xml:space="preserve"> </w:t>
      </w:r>
      <w:r>
        <w:rPr>
          <w:b/>
        </w:rPr>
        <w:t xml:space="preserve">333–338 beds a year</w:t>
      </w:r>
      <w:r>
        <w:t xml:space="preserve"> </w:t>
      </w:r>
      <w:r>
        <w:t xml:space="preserve">[MODELLED] — within sight of demand. The critical caveat, stated everywhere in this pack:</w:t>
      </w:r>
      <w:r>
        <w:t xml:space="preserve"> </w:t>
      </w:r>
      <w:r>
        <w:rPr>
          <w:b/>
        </w:rPr>
        <w:t xml:space="preserve">zero beds have been assembled in-house so far.</w:t>
      </w:r>
      <w:r>
        <w:t xml:space="preserve"> </w:t>
      </w:r>
      <w:r>
        <w:t xml:space="preserve">This is a hypothesis, not a result.</w:t>
      </w:r>
    </w:p>
    <w:p>
      <w:pPr>
        <w:numPr>
          <w:ilvl w:val="0"/>
          <w:numId w:val="1018"/>
        </w:numPr>
      </w:pPr>
      <w:r>
        <w:rPr>
          <w:b/>
        </w:rPr>
        <w:t xml:space="preserve">Move institutional buyers from grant-funded to procurement-funded.</w:t>
      </w:r>
      <w:r>
        <w:t xml:space="preserve"> </w:t>
      </w:r>
      <w:r>
        <w:t xml:space="preserve">Segment 1’s capacity is real but grant-derived. The transition is the same buyers (and the Segment 3 procurement pools behind them) purchasing through contracted procurement rather than grant rounds — which requires the 51% structure and the first signed procurement/offtake commitment.</w:t>
      </w:r>
    </w:p>
    <w:p>
      <w:pPr>
        <w:pStyle w:val="FirstParagraph"/>
      </w:pPr>
      <w:r>
        <w:rPr>
          <w:b/>
        </w:rPr>
        <w:t xml:space="preserve">The proof point that gates everything: the 50-bed in-source run.</w:t>
      </w:r>
      <w:r>
        <w:t xml:space="preserve"> </w:t>
      </w:r>
      <w:r>
        <w:t xml:space="preserve">The first and most important use of funds is small and specific —</w:t>
      </w:r>
      <w:r>
        <w:t xml:space="preserve"> </w:t>
      </w:r>
      <w:r>
        <w:rPr>
          <w:b/>
        </w:rPr>
        <w:t xml:space="preserve">AU$60–80K to run a 50-bed in-source production run</w:t>
      </w:r>
      <w:r>
        <w:t xml:space="preserve"> </w:t>
      </w:r>
      <w:r>
        <w:t xml:space="preserve">[TARGET use of funds]. That experiment turns the central economic claim from modelled to measured.</w:t>
      </w:r>
      <w:r>
        <w:t xml:space="preserve"> </w:t>
      </w:r>
      <w:r>
        <w:t xml:space="preserve">-</w:t>
      </w:r>
      <w:r>
        <w:t xml:space="preserve"> </w:t>
      </w:r>
      <w:r>
        <w:rPr>
          <w:b/>
        </w:rPr>
        <w:t xml:space="preserve">Pass</w:t>
      </w:r>
      <w:r>
        <w:t xml:space="preserve"> </w:t>
      </w:r>
      <w:r>
        <w:t xml:space="preserve">= AU$425.74 confirmed → scale the raise on proven economics, breakeven becomes credibly reachable, and the procurement segment becomes worth the long sales cycle.</w:t>
      </w:r>
      <w:r>
        <w:t xml:space="preserve"> </w:t>
      </w:r>
      <w:r>
        <w:t xml:space="preserve">-</w:t>
      </w:r>
      <w:r>
        <w:t xml:space="preserve"> </w:t>
      </w:r>
      <w:r>
        <w:rPr>
          <w:b/>
        </w:rPr>
        <w:t xml:space="preserve">Miss</w:t>
      </w:r>
      <w:r>
        <w:t xml:space="preserve"> </w:t>
      </w:r>
      <w:r>
        <w:t xml:space="preserve">= re-base honestly at AU$684.79 and adjust the plan.</w:t>
      </w:r>
    </w:p>
    <w:p>
      <w:pPr>
        <w:pStyle w:val="BodyText"/>
      </w:pPr>
      <w:r>
        <w:t xml:space="preserve">A catalytic investor is being asked to fund this experiment, not a finished economic engine. We say so plainly. The transition off grants is not a forecast we are asserting — it is a hypothesis with a AU$60–80K test in front of it.</w:t>
      </w:r>
    </w:p>
    <w:p>
      <w:r>
        <w:pict>
          <v:rect style="width:0;height:1.5pt" o:hralign="center" o:hrstd="t" o:hr="t"/>
        </w:pict>
      </w:r>
    </w:p>
    <w:p>
      <w:pPr>
        <w:pStyle w:val="Heading2"/>
      </w:pPr>
      <w:bookmarkStart w:id="91" w:name="unit-economics"/>
      <w:r>
        <w:t xml:space="preserve">Unit economics</w:t>
      </w:r>
      <w:bookmarkEnd w:id="91"/>
    </w:p>
    <w:p>
      <w:pPr>
        <w:pStyle w:val="FirstParagraph"/>
      </w:pPr>
      <w:r>
        <w:t xml:space="preserve">A single, honest table. Today’s marginal cost is a workpaper figure (unaudited Xero mirror); the in-source targets are modelled with</w:t>
      </w:r>
      <w:r>
        <w:t xml:space="preserve"> </w:t>
      </w:r>
      <w:r>
        <w:rPr>
          <w:b/>
        </w:rPr>
        <w:t xml:space="preserve">zero beds assembled in-house</w:t>
      </w:r>
      <w:r>
        <w:t xml:space="preserve">, and breakeven uses a modelled fixed-cost block of ~AU$109,500/yr.</w:t>
      </w:r>
    </w:p>
    <w:tbl>
      <w:tblPr>
        <w:tblStyle w:val="Table"/>
        <w:tblW w:type="pct" w:w="5000.0"/>
        <w:tblLook w:firstRow="1"/>
      </w:tblPr>
      <w:tblGrid>
        <w:gridCol w:w="1584"/>
        <w:gridCol w:w="2112"/>
        <w:gridCol w:w="2112"/>
        <w:gridCol w:w="2112"/>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right"/>
            </w:pPr>
            <w:r>
              <w:t xml:space="preserve">Today</w:t>
            </w:r>
          </w:p>
        </w:tc>
        <w:tc>
          <w:tcPr>
            <w:tcBorders>
              <w:bottom w:val="single"/>
            </w:tcBorders>
            <w:vAlign w:val="bottom"/>
          </w:tcPr>
          <w:p>
            <w:pPr>
              <w:pStyle w:val="Compact"/>
              <w:jc w:val="right"/>
            </w:pPr>
            <w:r>
              <w:t xml:space="preserve">In-source target (factory)</w:t>
            </w:r>
          </w:p>
        </w:tc>
        <w:tc>
          <w:tcPr>
            <w:tcBorders>
              <w:bottom w:val="single"/>
            </w:tcBorders>
            <w:vAlign w:val="bottom"/>
          </w:tcPr>
          <w:p>
            <w:pPr>
              <w:pStyle w:val="Compact"/>
              <w:jc w:val="right"/>
            </w:pPr>
            <w:r>
              <w:t xml:space="preserve">In-source target (community)</w:t>
            </w:r>
          </w:p>
        </w:tc>
      </w:tr>
      <w:tr>
        <w:tc>
          <w:p>
            <w:pPr>
              <w:pStyle w:val="Compact"/>
              <w:jc w:val="left"/>
            </w:pPr>
            <w:r>
              <w:t xml:space="preserve">Sale price (list)</w:t>
            </w:r>
          </w:p>
        </w:tc>
        <w:tc>
          <w:p>
            <w:pPr>
              <w:pStyle w:val="Compact"/>
              <w:jc w:val="right"/>
            </w:pPr>
            <w:r>
              <w:t xml:space="preserve">AU$750</w:t>
            </w:r>
            <w:r>
              <w:t xml:space="preserve"> </w:t>
            </w:r>
            <w:r>
              <w:rPr>
                <w:b/>
              </w:rPr>
              <w:t xml:space="preserve">[VERIFIED]</w:t>
            </w:r>
          </w:p>
        </w:tc>
        <w:tc>
          <w:p>
            <w:pPr>
              <w:pStyle w:val="Compact"/>
              <w:jc w:val="right"/>
            </w:pPr>
            <w:r>
              <w:t xml:space="preserve">AU$750</w:t>
            </w:r>
          </w:p>
        </w:tc>
        <w:tc>
          <w:p>
            <w:pPr>
              <w:pStyle w:val="Compact"/>
              <w:jc w:val="right"/>
            </w:pPr>
            <w:r>
              <w:t xml:space="preserve">AU$750</w:t>
            </w:r>
          </w:p>
        </w:tc>
      </w:tr>
      <w:tr>
        <w:tc>
          <w:p>
            <w:pPr>
              <w:pStyle w:val="Compact"/>
              <w:jc w:val="left"/>
            </w:pPr>
            <w:r>
              <w:t xml:space="preserve">Marginal cost per bed</w:t>
            </w:r>
          </w:p>
        </w:tc>
        <w:tc>
          <w:p>
            <w:pPr>
              <w:pStyle w:val="Compact"/>
              <w:jc w:val="right"/>
            </w:pPr>
            <w:r>
              <w:t xml:space="preserve">AU$684.79</w:t>
            </w:r>
            <w:r>
              <w:t xml:space="preserve"> </w:t>
            </w:r>
            <w:r>
              <w:rPr>
                <w:b/>
              </w:rPr>
              <w:t xml:space="preserve">[WORKPAPER]</w:t>
            </w:r>
          </w:p>
        </w:tc>
        <w:tc>
          <w:p>
            <w:pPr>
              <w:pStyle w:val="Compact"/>
              <w:jc w:val="right"/>
            </w:pPr>
            <w:r>
              <w:t xml:space="preserve">AU$425.74</w:t>
            </w:r>
            <w:r>
              <w:t xml:space="preserve"> </w:t>
            </w:r>
            <w:r>
              <w:rPr>
                <w:b/>
              </w:rPr>
              <w:t xml:space="preserve">[MODELLED]</w:t>
            </w:r>
          </w:p>
        </w:tc>
        <w:tc>
          <w:p>
            <w:pPr>
              <w:pStyle w:val="Compact"/>
              <w:jc w:val="right"/>
            </w:pPr>
            <w:r>
              <w:t xml:space="preserve">AU$270.74</w:t>
            </w:r>
            <w:r>
              <w:t xml:space="preserve"> </w:t>
            </w:r>
            <w:r>
              <w:rPr>
                <w:b/>
              </w:rPr>
              <w:t xml:space="preserve">[MODELLED]</w:t>
            </w:r>
          </w:p>
        </w:tc>
      </w:tr>
      <w:tr>
        <w:tc>
          <w:p>
            <w:pPr>
              <w:pStyle w:val="Compact"/>
              <w:jc w:val="left"/>
            </w:pPr>
            <w:r>
              <w:t xml:space="preserve">Contribution per bed</w:t>
            </w:r>
          </w:p>
        </w:tc>
        <w:tc>
          <w:p>
            <w:pPr>
              <w:pStyle w:val="Compact"/>
              <w:jc w:val="right"/>
            </w:pPr>
            <w:r>
              <w:t xml:space="preserve">~AU$65</w:t>
            </w:r>
          </w:p>
        </w:tc>
        <w:tc>
          <w:p>
            <w:pPr>
              <w:pStyle w:val="Compact"/>
              <w:jc w:val="right"/>
            </w:pPr>
            <w:r>
              <w:t xml:space="preserve">~AU$324</w:t>
            </w:r>
          </w:p>
        </w:tc>
        <w:tc>
          <w:p>
            <w:pPr>
              <w:pStyle w:val="Compact"/>
              <w:jc w:val="right"/>
            </w:pPr>
            <w:r>
              <w:t xml:space="preserve">~AU$479</w:t>
            </w:r>
          </w:p>
        </w:tc>
      </w:tr>
      <w:tr>
        <w:tc>
          <w:p>
            <w:pPr>
              <w:pStyle w:val="Compact"/>
              <w:jc w:val="left"/>
            </w:pPr>
            <w:r>
              <w:t xml:space="preserve">Breakeven volume (beds/yr)</w:t>
            </w:r>
          </w:p>
        </w:tc>
        <w:tc>
          <w:p>
            <w:pPr>
              <w:pStyle w:val="Compact"/>
              <w:jc w:val="right"/>
            </w:pPr>
            <w:r>
              <w:t xml:space="preserve">~1,679</w:t>
            </w:r>
            <w:r>
              <w:t xml:space="preserve"> </w:t>
            </w:r>
            <w:r>
              <w:rPr>
                <w:b/>
              </w:rPr>
              <w:t xml:space="preserve">[MODELLED]</w:t>
            </w:r>
          </w:p>
        </w:tc>
        <w:tc>
          <w:p>
            <w:pPr>
              <w:pStyle w:val="Compact"/>
              <w:jc w:val="right"/>
            </w:pPr>
            <w:r>
              <w:t xml:space="preserve">333–338</w:t>
            </w:r>
            <w:r>
              <w:t xml:space="preserve"> </w:t>
            </w:r>
            <w:r>
              <w:rPr>
                <w:b/>
              </w:rPr>
              <w:t xml:space="preserve">[MODELLED]</w:t>
            </w:r>
          </w:p>
        </w:tc>
        <w:tc>
          <w:p>
            <w:pPr>
              <w:pStyle w:val="Compact"/>
              <w:jc w:val="right"/>
            </w:pPr>
            <w:r>
              <w:t xml:space="preserve">&lt;333</w:t>
            </w:r>
            <w:r>
              <w:t xml:space="preserve"> </w:t>
            </w:r>
            <w:r>
              <w:rPr>
                <w:b/>
              </w:rPr>
              <w:t xml:space="preserve">[MODELLED]</w:t>
            </w:r>
          </w:p>
        </w:tc>
      </w:tr>
      <w:tr>
        <w:tc>
          <w:p>
            <w:pPr>
              <w:pStyle w:val="Compact"/>
              <w:jc w:val="left"/>
            </w:pPr>
            <w:r>
              <w:t xml:space="preserve">Beds assembled in-house to date</w:t>
            </w:r>
          </w:p>
        </w:tc>
        <w:tc>
          <w:p>
            <w:pPr>
              <w:pStyle w:val="Compact"/>
              <w:jc w:val="right"/>
            </w:pPr>
            <w:r>
              <w:t xml:space="preserve">—</w:t>
            </w:r>
          </w:p>
        </w:tc>
        <w:tc>
          <w:p>
            <w:pPr>
              <w:pStyle w:val="Compact"/>
              <w:jc w:val="right"/>
            </w:pPr>
            <w:r>
              <w:rPr>
                <w:b/>
              </w:rPr>
              <w:t xml:space="preserve">0</w:t>
            </w:r>
          </w:p>
        </w:tc>
        <w:tc>
          <w:p>
            <w:pPr>
              <w:pStyle w:val="Compact"/>
              <w:jc w:val="right"/>
            </w:pPr>
            <w:r>
              <w:rPr>
                <w:b/>
              </w:rPr>
              <w:t xml:space="preserve">0</w:t>
            </w:r>
          </w:p>
        </w:tc>
      </w:tr>
    </w:tbl>
    <w:p>
      <w:pPr>
        <w:pStyle w:val="BodyText"/>
      </w:pPr>
      <w:r>
        <w:rPr>
          <w:i/>
        </w:rPr>
        <w:t xml:space="preserve">Bill of materials today is AU$469.79 [WORKPAPER]; the AU$684.79 marginal cost is BOM plus the rest of the per-bed variable cost. Wholesale/procurement (Segment 3) transacts below list (~AU$650 modelled), so that segment contributes margin only once marginal cost falls below the wholesale price — i.e. after the cost-down lands. Re-pull the Xero figures and re-base against the live cost model before any external use.</w:t>
      </w:r>
    </w:p>
    <w:p>
      <w:r>
        <w:pict>
          <v:rect style="width:0;height:1.5pt" o:hralign="center" o:hrstd="t" o:hr="t"/>
        </w:pict>
      </w:r>
    </w:p>
    <w:p>
      <w:pPr>
        <w:pStyle w:val="Heading2"/>
      </w:pPr>
      <w:bookmarkStart w:id="92" w:name="a-note-on-the-go-to-market-pipes"/>
      <w:r>
        <w:t xml:space="preserve">A note on the go-to-market pipes</w:t>
      </w:r>
      <w:bookmarkEnd w:id="92"/>
    </w:p>
    <w:p>
      <w:pPr>
        <w:pStyle w:val="FirstParagraph"/>
      </w:pPr>
      <w:r>
        <w:t xml:space="preserve">Segment 3 draws on the eight procurement</w:t>
      </w:r>
      <w:r>
        <w:t xml:space="preserve"> </w:t>
      </w:r>
      <w:r>
        <w:t xml:space="preserve">“</w:t>
      </w:r>
      <w:r>
        <w:t xml:space="preserve">pipes</w:t>
      </w:r>
      <w:r>
        <w:t xml:space="preserve">”</w:t>
      </w:r>
      <w:r>
        <w:t xml:space="preserve"> </w:t>
      </w:r>
      <w:r>
        <w:t xml:space="preserve">set out in</w:t>
      </w:r>
      <w:r>
        <w:t xml:space="preserve"> </w:t>
      </w:r>
      <w:r>
        <w:rPr>
          <w:rStyle w:val="VerbatimChar"/>
        </w:rPr>
        <w:t xml:space="preserve">GO_TO_MARKET_THOUSANDS_2026.md</w:t>
      </w:r>
      <w:r>
        <w:t xml:space="preserve"> </w:t>
      </w:r>
      <w:r>
        <w:t xml:space="preserve">(NT Remote Housing, Aboriginal Hostels Limited, Outback Stores/ALPA, NACCHO/ACCHOs, NIAA Community Laundries, state Aboriginal Housing offices, mining-region foundations, NDIS SDA). That document is</w:t>
      </w:r>
      <w:r>
        <w:t xml:space="preserve"> </w:t>
      </w:r>
      <w:r>
        <w:rPr>
          <w:b/>
        </w:rPr>
        <w:t xml:space="preserve">DRAFT v1, un-ground-truthed</w:t>
      </w:r>
      <w:r>
        <w:t xml:space="preserve"> </w:t>
      </w:r>
      <w:r>
        <w:t xml:space="preserve">— its market sizing (~30,750 beds addressable, ~6,000-bed five-year capture) and meeting targets are</w:t>
      </w:r>
      <w:r>
        <w:t xml:space="preserve"> </w:t>
      </w:r>
      <w:r>
        <w:rPr>
          <w:i/>
        </w:rPr>
        <w:t xml:space="preserve">direction</w:t>
      </w:r>
      <w:r>
        <w:t xml:space="preserve">, not booked pipeline, and should be presented as such. We include the pipes here to show the</w:t>
      </w:r>
      <w:r>
        <w:t xml:space="preserve"> </w:t>
      </w:r>
      <w:r>
        <w:rPr>
          <w:i/>
        </w:rPr>
        <w:t xml:space="preserve">shape</w:t>
      </w:r>
      <w:r>
        <w:t xml:space="preserve"> </w:t>
      </w:r>
      <w:r>
        <w:t xml:space="preserve">of the procurement segment and its 51%-ownership gate, not to assert a revenue forecast.</w:t>
      </w:r>
    </w:p>
    <w:p>
      <w:r>
        <w:pict>
          <v:rect style="width:0;height:1.5pt" o:hralign="center" o:hrstd="t" o:hr="t"/>
        </w:pict>
      </w:r>
    </w:p>
    <w:p>
      <w:pPr>
        <w:pStyle w:val="FirstParagraph"/>
      </w:pPr>
      <w:r>
        <w:rPr>
          <w:i/>
        </w:rPr>
        <w:t xml:space="preserve">Founders: Ben Knight · Nicholas Marchesi. Live asset register: goodsoncountry.com/admin/assets. Figures per 00-master-alignment-map.md, 2026-06-13; re-pull Xero and re-base the cost model immediately before sending. Segment ordering reflects actual current revenue, not aspiration.</w:t>
      </w:r>
    </w:p>
    <w:p>
      <w:r>
        <w:br w:type="page"/>
      </w:r>
    </w:p>
    <w:p>
      <w:pPr>
        <w:pStyle w:val="Heading1"/>
      </w:pPr>
      <w:bookmarkStart w:id="93" w:name="area-4-11-financial-summary-cost-model"/>
      <w:r>
        <w:t xml:space="preserve">Area 4 &amp; 11 · Financial Summary &amp; Cost Model</w:t>
      </w:r>
      <w:bookmarkEnd w:id="93"/>
    </w:p>
    <w:p>
      <w:pPr>
        <w:pStyle w:val="Heading1"/>
      </w:pPr>
      <w:bookmarkStart w:id="94" w:name="goods-on-country-financial-summary"/>
      <w:r>
        <w:t xml:space="preserve">Goods on Country — Financial Summary</w:t>
      </w:r>
      <w:bookmarkEnd w:id="94"/>
    </w:p>
    <w:p>
      <w:pPr>
        <w:pStyle w:val="BlockText"/>
      </w:pPr>
      <w:r>
        <w:rPr>
          <w:b/>
        </w:rPr>
        <w:t xml:space="preserve">What this is.</w:t>
      </w:r>
      <w:r>
        <w:t xml:space="preserve"> </w:t>
      </w:r>
      <w:r>
        <w:t xml:space="preserve">A plain-language financial summary for Goods on Country (GOC) that a reader can understand without opening the spreadsheet. It closes the documentation half of QBE Diagnostic</w:t>
      </w:r>
      <w:r>
        <w:t xml:space="preserve"> </w:t>
      </w:r>
      <w:r>
        <w:rPr>
          <w:b/>
        </w:rPr>
        <w:t xml:space="preserve">Area 4 (Financial Management)</w:t>
      </w:r>
      <w:r>
        <w:t xml:space="preserve"> </w:t>
      </w:r>
      <w:r>
        <w:t xml:space="preserve">and</w:t>
      </w:r>
      <w:r>
        <w:t xml:space="preserve"> </w:t>
      </w:r>
      <w:r>
        <w:rPr>
          <w:b/>
        </w:rPr>
        <w:t xml:space="preserve">Area 11 (Cost Model)</w:t>
      </w:r>
      <w:r>
        <w:t xml:space="preserve">. It complements the live</w:t>
      </w:r>
      <w:r>
        <w:t xml:space="preserve"> </w:t>
      </w:r>
      <w:r>
        <w:rPr>
          <w:b/>
        </w:rPr>
        <w:t xml:space="preserve">Goods Playable Model</w:t>
      </w:r>
      <w:r>
        <w:t xml:space="preserve"> </w:t>
      </w:r>
      <w:r>
        <w:t xml:space="preserve">— it summarises that model’s headline numbers and points to it; it does not reproduce the model.</w:t>
      </w:r>
    </w:p>
    <w:p>
      <w:pPr>
        <w:pStyle w:val="BlockText"/>
      </w:pPr>
      <w:r>
        <w:rPr>
          <w:b/>
        </w:rPr>
        <w:t xml:space="preserve">What it is not.</w:t>
      </w:r>
      <w:r>
        <w:t xml:space="preserve"> </w:t>
      </w:r>
      <w:r>
        <w:t xml:space="preserve">It is not an audited account. The money-in figures are an unaudited Xero workpaper, the cost-down and forecast figures are modelled with zero beds yet assembled in-house, and the headline capital figures are targets, not signed commitments. Every number below is labelled so the reader can see exactly which is which. The single most important caveat:</w:t>
      </w:r>
      <w:r>
        <w:t xml:space="preserve"> </w:t>
      </w:r>
      <w:r>
        <w:rPr>
          <w:b/>
        </w:rPr>
        <w:t xml:space="preserve">there is not yet one accountant-endorsed, Goods-only revenue figure</w:t>
      </w:r>
      <w:r>
        <w:t xml:space="preserve"> </w:t>
      </w:r>
      <w:r>
        <w:t xml:space="preserve">— producing it is the work, and it is now a hard QBE Stage-2 gate.</w:t>
      </w:r>
    </w:p>
    <w:p>
      <w:r>
        <w:pict>
          <v:rect style="width:0;height:1.5pt" o:hralign="center" o:hrstd="t" o:hr="t"/>
        </w:pict>
      </w:r>
    </w:p>
    <w:p>
      <w:pPr>
        <w:pStyle w:val="Heading2"/>
      </w:pPr>
      <w:bookmarkStart w:id="95" w:name="money-in-where-the-funding-has-come-from"/>
      <w:r>
        <w:t xml:space="preserve">1. Money in (where the funding has come from)</w:t>
      </w:r>
      <w:bookmarkEnd w:id="95"/>
    </w:p>
    <w:p>
      <w:pPr>
        <w:pStyle w:val="FirstParagraph"/>
      </w:pPr>
      <w:r>
        <w:t xml:space="preserve">Goods has been almost entirely grant-funded to date, by design. This is a de-risking round, not a growth round, and the financials reflect that.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Figure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Label</w:t>
            </w:r>
          </w:p>
        </w:tc>
        <w:tc>
          <w:tcPr>
            <w:tcBorders>
              <w:bottom w:val="single"/>
            </w:tcBorders>
            <w:vAlign w:val="bottom"/>
          </w:tcPr>
          <w:p>
            <w:pPr>
              <w:pStyle w:val="Compact"/>
              <w:jc w:val="left"/>
            </w:pPr>
            <w:r>
              <w:t xml:space="preserve">Note</w:t>
            </w:r>
          </w:p>
        </w:tc>
      </w:tr>
      <w:tr>
        <w:tc>
          <w:p>
            <w:pPr>
              <w:pStyle w:val="Compact"/>
              <w:jc w:val="left"/>
            </w:pPr>
            <w:r>
              <w:t xml:space="preserve">Received to date</w:t>
            </w:r>
          </w:p>
        </w:tc>
        <w:tc>
          <w:p>
            <w:pPr>
              <w:pStyle w:val="Compact"/>
              <w:jc w:val="left"/>
            </w:pPr>
            <w:r>
              <w:rPr>
                <w:b/>
              </w:rPr>
              <w:t xml:space="preserve">AU$649,710.79</w:t>
            </w:r>
          </w:p>
        </w:tc>
        <w:tc>
          <w:p>
            <w:pPr>
              <w:pStyle w:val="Compact"/>
              <w:jc w:val="left"/>
            </w:pPr>
            <w:r>
              <w:t xml:space="preserve">[WORKPAPER — Xero mirror, 29 May 2026, unaudited]</w:t>
            </w:r>
          </w:p>
        </w:tc>
        <w:tc>
          <w:p>
            <w:pPr>
              <w:pStyle w:val="Compact"/>
              <w:jc w:val="left"/>
            </w:pPr>
            <w:r>
              <w:t xml:space="preserve">across funders</w:t>
            </w:r>
          </w:p>
        </w:tc>
      </w:tr>
      <w:tr>
        <w:tc>
          <w:p>
            <w:pPr>
              <w:pStyle w:val="Compact"/>
              <w:jc w:val="left"/>
            </w:pPr>
            <w:r>
              <w:t xml:space="preserve">Billed to date</w:t>
            </w:r>
          </w:p>
        </w:tc>
        <w:tc>
          <w:p>
            <w:pPr>
              <w:pStyle w:val="Compact"/>
              <w:jc w:val="left"/>
            </w:pPr>
            <w:r>
              <w:t xml:space="preserve">AU$732,210.79</w:t>
            </w:r>
          </w:p>
        </w:tc>
        <w:tc>
          <w:p>
            <w:pPr>
              <w:pStyle w:val="Compact"/>
              <w:jc w:val="left"/>
            </w:pPr>
            <w:r>
              <w:t xml:space="preserve">[WORKPAPER]</w:t>
            </w:r>
          </w:p>
        </w:tc>
        <w:tc>
          <w:p>
            <w:pPr>
              <w:pStyle w:val="Compact"/>
              <w:jc w:val="left"/>
            </w:pPr>
            <w:r>
              <w:t xml:space="preserve">includes ~AU$82,500 in-flight (Rotary)</w:t>
            </w:r>
          </w:p>
        </w:tc>
      </w:tr>
      <w:tr>
        <w:tc>
          <w:p>
            <w:pPr>
              <w:pStyle w:val="Compact"/>
              <w:jc w:val="left"/>
            </w:pPr>
            <w:r>
              <w:t xml:space="preserve">Collection rate</w:t>
            </w:r>
          </w:p>
        </w:tc>
        <w:tc>
          <w:p>
            <w:pPr>
              <w:pStyle w:val="Compact"/>
              <w:jc w:val="left"/>
            </w:pPr>
            <w:r>
              <w:t xml:space="preserve">88.8%</w:t>
            </w:r>
          </w:p>
        </w:tc>
        <w:tc>
          <w:p>
            <w:pPr>
              <w:pStyle w:val="Compact"/>
              <w:jc w:val="left"/>
            </w:pPr>
            <w:r>
              <w:t xml:space="preserve">[WORKPAPER]</w:t>
            </w:r>
          </w:p>
        </w:tc>
        <w:tc>
          <w:p>
            <w:pPr>
              <w:pStyle w:val="Compact"/>
              <w:jc w:val="left"/>
            </w:pPr>
            <w:r>
              <w:t xml:space="preserve">billed → received</w:t>
            </w:r>
          </w:p>
        </w:tc>
      </w:tr>
      <w:tr>
        <w:tc>
          <w:p>
            <w:pPr>
              <w:pStyle w:val="Compact"/>
              <w:jc w:val="left"/>
            </w:pPr>
            <w:r>
              <w:t xml:space="preserve">Commercial revenue (shop)</w:t>
            </w:r>
          </w:p>
        </w:tc>
        <w:tc>
          <w:p>
            <w:pPr>
              <w:pStyle w:val="Compact"/>
              <w:jc w:val="left"/>
            </w:pPr>
            <w:r>
              <w:rPr>
                <w:b/>
              </w:rPr>
              <w:t xml:space="preserve">AU$90</w:t>
            </w:r>
          </w:p>
        </w:tc>
        <w:tc>
          <w:p>
            <w:pPr>
              <w:pStyle w:val="Compact"/>
              <w:jc w:val="left"/>
            </w:pPr>
            <w:r>
              <w:t xml:space="preserve">[WORKPAPER]</w:t>
            </w:r>
          </w:p>
        </w:tc>
        <w:tc>
          <w:p>
            <w:pPr>
              <w:pStyle w:val="Compact"/>
              <w:jc w:val="left"/>
            </w:pPr>
            <w:r>
              <w:t xml:space="preserve">3 orders — proof of pipe, not of market</w:t>
            </w:r>
          </w:p>
        </w:tc>
      </w:tr>
      <w:tr>
        <w:tc>
          <w:p>
            <w:pPr>
              <w:pStyle w:val="Compact"/>
              <w:jc w:val="left"/>
            </w:pPr>
            <w:r>
              <w:t xml:space="preserve">Grant-funded share</w:t>
            </w:r>
          </w:p>
        </w:tc>
        <w:tc>
          <w:p>
            <w:pPr>
              <w:pStyle w:val="Compact"/>
              <w:jc w:val="left"/>
            </w:pPr>
            <w:r>
              <w:rPr>
                <w:b/>
              </w:rPr>
              <w:t xml:space="preserve">~89%</w:t>
            </w:r>
          </w:p>
        </w:tc>
        <w:tc>
          <w:p>
            <w:pPr>
              <w:pStyle w:val="Compact"/>
              <w:jc w:val="left"/>
            </w:pPr>
            <w:r>
              <w:t xml:space="preserve">by design</w:t>
            </w:r>
          </w:p>
        </w:tc>
        <w:tc>
          <w:p>
            <w:pPr>
              <w:pStyle w:val="Compact"/>
              <w:jc w:val="left"/>
            </w:pPr>
            <w:r>
              <w:t xml:space="preserve">the financials of a de-risking round</w:t>
            </w:r>
          </w:p>
        </w:tc>
      </w:tr>
    </w:tbl>
    <w:p>
      <w:pPr>
        <w:pStyle w:val="BodyText"/>
      </w:pPr>
      <w:r>
        <w:rPr>
          <w:b/>
        </w:rPr>
        <w:t xml:space="preserve">The Snow Foundation context.</w:t>
      </w:r>
      <w:r>
        <w:t xml:space="preserve"> </w:t>
      </w:r>
      <w:r>
        <w:t xml:space="preserve">Snow is the #1 contact by revenue, with</w:t>
      </w:r>
      <w:r>
        <w:t xml:space="preserve"> </w:t>
      </w:r>
      <w:r>
        <w:rPr>
          <w:b/>
        </w:rPr>
        <w:t xml:space="preserve">AU$493,129.79 invoiced over the trailing three years</w:t>
      </w:r>
      <w:r>
        <w:t xml:space="preserve"> </w:t>
      </w:r>
      <w:r>
        <w:t xml:space="preserve">[WORKPAPER — accrual, read-only Xero MCP, last refreshed 2026-06-12, unaudited]. This is the current trailing-3yr invoiced total; it reconciles two narrower earlier views (AU$193,785</w:t>
      </w:r>
      <w:r>
        <w:t xml:space="preserve"> </w:t>
      </w:r>
      <w:r>
        <w:t xml:space="preserve">“</w:t>
      </w:r>
      <w:r>
        <w:t xml:space="preserve">received 2023–25</w:t>
      </w:r>
      <w:r>
        <w:t xml:space="preserve">”</w:t>
      </w:r>
      <w:r>
        <w:t xml:space="preserve"> </w:t>
      </w:r>
      <w:r>
        <w:t xml:space="preserve">cash snapshot, and AU$402,930 deck</w:t>
      </w:r>
      <w:r>
        <w:t xml:space="preserve"> </w:t>
      </w:r>
      <w:r>
        <w:t xml:space="preserve">“</w:t>
      </w:r>
      <w:r>
        <w:t xml:space="preserve">anchor</w:t>
      </w:r>
      <w:r>
        <w:t xml:space="preserve">”</w:t>
      </w:r>
      <w:r>
        <w:t xml:space="preserve"> </w:t>
      </w:r>
      <w:r>
        <w:t xml:space="preserve">subset). It is invoiced, not necessarily cash-received.</w:t>
      </w:r>
    </w:p>
    <w:p>
      <w:pPr>
        <w:pStyle w:val="BodyText"/>
      </w:pPr>
      <w:r>
        <w:rPr>
          <w:b/>
        </w:rPr>
        <w:t xml:space="preserve">Why this is not yet a Goods-only figure — read this before quoting any number above.</w:t>
      </w:r>
      <w:r>
        <w:t xml:space="preserve"> </w:t>
      </w:r>
      <w:r>
        <w:t xml:space="preserve">All the money-in figures sit inside the org that trades Goods today (Nicholas Marchesi, sole trader). That same org also holds</w:t>
      </w:r>
      <w:r>
        <w:t xml:space="preserve"> </w:t>
      </w:r>
      <w:r>
        <w:rPr>
          <w:b/>
        </w:rPr>
        <w:t xml:space="preserve">non-Goods income</w:t>
      </w:r>
      <w:r>
        <w:t xml:space="preserve"> </w:t>
      </w:r>
      <w:r>
        <w:t xml:space="preserve">— confirmed in the same Xero pull, which surfaces top contacts such as SMART Recovery (AU$197,200) and HipCamp (AU$120,205) that are not Goods. So AU$649,710.79 is a live billing view of the whole sole-trader org,</w:t>
      </w:r>
      <w:r>
        <w:t xml:space="preserve"> </w:t>
      </w:r>
      <w:r>
        <w:rPr>
          <w:b/>
        </w:rPr>
        <w:t xml:space="preserve">not an audited carve-out of Goods revenue.</w:t>
      </w:r>
      <w:r>
        <w:t xml:space="preserve"> </w:t>
      </w:r>
      <w:r>
        <w:t xml:space="preserve">Two frames coexist and measure different things: the</w:t>
      </w:r>
      <w:r>
        <w:t xml:space="preserve"> </w:t>
      </w:r>
      <w:r>
        <w:rPr>
          <w:b/>
        </w:rPr>
        <w:t xml:space="preserve">Xero workpaper</w:t>
      </w:r>
      <w:r>
        <w:t xml:space="preserve"> </w:t>
      </w:r>
      <w:r>
        <w:t xml:space="preserve">(AU$649,710.79 received, the live billing view) and the separate</w:t>
      </w:r>
      <w:r>
        <w:t xml:space="preserve"> </w:t>
      </w:r>
      <w:r>
        <w:rPr>
          <w:b/>
        </w:rPr>
        <w:t xml:space="preserve">reconciled funder trail</w:t>
      </w:r>
      <w:r>
        <w:t xml:space="preserve"> </w:t>
      </w:r>
      <w:r>
        <w:t xml:space="preserve">(~AU$405,685, the grants-received view). The standing priority is to turn these into</w:t>
      </w:r>
      <w:r>
        <w:t xml:space="preserve"> </w:t>
      </w:r>
      <w:r>
        <w:rPr>
          <w:b/>
        </w:rPr>
        <w:t xml:space="preserve">one accountant-reviewed, Goods-only revenue figure</w:t>
      </w:r>
      <w:r>
        <w:t xml:space="preserve"> </w:t>
      </w:r>
      <w:r>
        <w:t xml:space="preserve">— it does not exist yet. The carve-out is the work (see §6).</w:t>
      </w:r>
    </w:p>
    <w:p>
      <w:r>
        <w:pict>
          <v:rect style="width:0;height:1.5pt" o:hralign="center" o:hrstd="t" o:hr="t"/>
        </w:pict>
      </w:r>
    </w:p>
    <w:p>
      <w:pPr>
        <w:pStyle w:val="Heading2"/>
      </w:pPr>
      <w:bookmarkStart w:id="96" w:name="unit-economics-the-per-bed-picture-today"/>
      <w:r>
        <w:t xml:space="preserve">2. Unit economics (the per-bed picture today)</w:t>
      </w:r>
      <w:bookmarkEnd w:id="96"/>
    </w:p>
    <w:p>
      <w:pPr>
        <w:pStyle w:val="FirstParagraph"/>
      </w:pPr>
      <w:r>
        <w:t xml:space="preserve">These are the economics of the flagship Stretch Bed as it is built</w:t>
      </w:r>
      <w:r>
        <w:t xml:space="preserve"> </w:t>
      </w:r>
      <w:r>
        <w:rPr>
          <w:b/>
        </w:rPr>
        <w:t xml:space="preserve">today</w:t>
      </w:r>
      <w:r>
        <w:t xml:space="preserve"> </w:t>
      </w:r>
      <w:r>
        <w:t xml:space="preserve">— buying components in, before any in-sourcing. They show why the business cannot yet stand on its own, and set up the cost-model case in §3.</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Label</w:t>
            </w:r>
          </w:p>
        </w:tc>
      </w:tr>
      <w:tr>
        <w:tc>
          <w:p>
            <w:pPr>
              <w:pStyle w:val="Compact"/>
              <w:jc w:val="left"/>
            </w:pPr>
            <w:r>
              <w:t xml:space="preserve">Sale price</w:t>
            </w:r>
          </w:p>
        </w:tc>
        <w:tc>
          <w:p>
            <w:pPr>
              <w:pStyle w:val="Compact"/>
              <w:jc w:val="left"/>
            </w:pPr>
            <w:r>
              <w:rPr>
                <w:b/>
              </w:rPr>
              <w:t xml:space="preserve">AU$750</w:t>
            </w:r>
          </w:p>
        </w:tc>
        <w:tc>
          <w:p>
            <w:pPr>
              <w:pStyle w:val="Compact"/>
              <w:jc w:val="left"/>
            </w:pPr>
            <w:r>
              <w:t xml:space="preserve">[VERIFIED — v2/src/lib/data/products.ts]</w:t>
            </w:r>
          </w:p>
        </w:tc>
      </w:tr>
      <w:tr>
        <w:tc>
          <w:p>
            <w:pPr>
              <w:pStyle w:val="Compact"/>
              <w:jc w:val="left"/>
            </w:pPr>
            <w:r>
              <w:t xml:space="preserve">Bill of materials, today</w:t>
            </w:r>
          </w:p>
        </w:tc>
        <w:tc>
          <w:p>
            <w:pPr>
              <w:pStyle w:val="Compact"/>
              <w:jc w:val="left"/>
            </w:pPr>
            <w:r>
              <w:t xml:space="preserve">AU$469.79</w:t>
            </w:r>
          </w:p>
        </w:tc>
        <w:tc>
          <w:p>
            <w:pPr>
              <w:pStyle w:val="Compact"/>
              <w:jc w:val="left"/>
            </w:pPr>
            <w:r>
              <w:t xml:space="preserve">[WORKPAPER]</w:t>
            </w:r>
          </w:p>
        </w:tc>
      </w:tr>
      <w:tr>
        <w:tc>
          <w:p>
            <w:pPr>
              <w:pStyle w:val="Compact"/>
              <w:jc w:val="left"/>
            </w:pPr>
            <w:r>
              <w:t xml:space="preserve">Marginal cost, today</w:t>
            </w:r>
          </w:p>
        </w:tc>
        <w:tc>
          <w:p>
            <w:pPr>
              <w:pStyle w:val="Compact"/>
              <w:jc w:val="left"/>
            </w:pPr>
            <w:r>
              <w:rPr>
                <w:b/>
              </w:rPr>
              <w:t xml:space="preserve">AU$684.79</w:t>
            </w:r>
          </w:p>
        </w:tc>
        <w:tc>
          <w:p>
            <w:pPr>
              <w:pStyle w:val="Compact"/>
              <w:jc w:val="left"/>
            </w:pPr>
            <w:r>
              <w:t xml:space="preserve">[WORKPAPER]</w:t>
            </w:r>
          </w:p>
        </w:tc>
      </w:tr>
      <w:tr>
        <w:tc>
          <w:p>
            <w:pPr>
              <w:pStyle w:val="Compact"/>
              <w:jc w:val="left"/>
            </w:pPr>
            <w:r>
              <w:t xml:space="preserve">Fixed cost block</w:t>
            </w:r>
          </w:p>
        </w:tc>
        <w:tc>
          <w:p>
            <w:pPr>
              <w:pStyle w:val="Compact"/>
              <w:jc w:val="left"/>
            </w:pPr>
            <w:r>
              <w:t xml:space="preserve">~AU$109,500/yr</w:t>
            </w:r>
          </w:p>
        </w:tc>
        <w:tc>
          <w:p>
            <w:pPr>
              <w:pStyle w:val="Compact"/>
              <w:jc w:val="left"/>
            </w:pPr>
            <w:r>
              <w:t xml:space="preserve">[MODELLED]</w:t>
            </w:r>
          </w:p>
        </w:tc>
      </w:tr>
      <w:tr>
        <w:tc>
          <w:p>
            <w:pPr>
              <w:pStyle w:val="Compact"/>
              <w:jc w:val="left"/>
            </w:pPr>
            <w:r>
              <w:t xml:space="preserve">Breakeven, today’s cost</w:t>
            </w:r>
          </w:p>
        </w:tc>
        <w:tc>
          <w:p>
            <w:pPr>
              <w:pStyle w:val="Compact"/>
              <w:jc w:val="left"/>
            </w:pPr>
            <w:r>
              <w:rPr>
                <w:b/>
              </w:rPr>
              <w:t xml:space="preserve">~1,679 beds/yr</w:t>
            </w:r>
          </w:p>
        </w:tc>
        <w:tc>
          <w:p>
            <w:pPr>
              <w:pStyle w:val="Compact"/>
              <w:jc w:val="left"/>
            </w:pPr>
            <w:r>
              <w:t xml:space="preserve">[MODELLED]</w:t>
            </w:r>
          </w:p>
        </w:tc>
      </w:tr>
      <w:tr>
        <w:tc>
          <w:p>
            <w:pPr>
              <w:pStyle w:val="Compact"/>
              <w:jc w:val="left"/>
            </w:pPr>
            <w:r>
              <w:t xml:space="preserve">Current deployment run-rate</w:t>
            </w:r>
          </w:p>
        </w:tc>
        <w:tc>
          <w:p>
            <w:pPr>
              <w:pStyle w:val="Compact"/>
              <w:jc w:val="left"/>
            </w:pPr>
            <w:r>
              <w:t xml:space="preserve">~130 beds/yr</w:t>
            </w:r>
          </w:p>
        </w:tc>
        <w:tc>
          <w:p>
            <w:pPr>
              <w:pStyle w:val="Compact"/>
              <w:jc w:val="left"/>
            </w:pPr>
            <w:r>
              <w:t xml:space="preserve">actual</w:t>
            </w:r>
          </w:p>
        </w:tc>
      </w:tr>
    </w:tbl>
    <w:p>
      <w:pPr>
        <w:pStyle w:val="BodyText"/>
      </w:pPr>
      <w:r>
        <w:rPr>
          <w:b/>
        </w:rPr>
        <w:t xml:space="preserve">What this says plainly.</w:t>
      </w:r>
      <w:r>
        <w:t xml:space="preserve"> </w:t>
      </w:r>
      <w:r>
        <w:t xml:space="preserve">At today’s cost, the bed sells for AU$750 against a marginal cost of AU$684.79 — a contribution of about AU$65 per bed toward a fixed block near AU$109,500 a year. On those numbers, breakeven is around 1,679 beds a year while the business currently deploys about 130. That is out of reach at today’s cost, and the summary does not pretend otherwise. The cost model in §3 is the lever that closes the gap.</w:t>
      </w:r>
    </w:p>
    <w:p>
      <w:r>
        <w:pict>
          <v:rect style="width:0;height:1.5pt" o:hralign="center" o:hrstd="t" o:hr="t"/>
        </w:pict>
      </w:r>
    </w:p>
    <w:p>
      <w:pPr>
        <w:pStyle w:val="Heading2"/>
      </w:pPr>
      <w:bookmarkStart w:id="97" w:name="X7abfcec6ace381dfd1f9d405a11343a75823478"/>
      <w:r>
        <w:t xml:space="preserve">3. The cost model — the three build options (Area 11)</w:t>
      </w:r>
      <w:bookmarkEnd w:id="97"/>
    </w:p>
    <w:p>
      <w:pPr>
        <w:pStyle w:val="FirstParagraph"/>
      </w:pPr>
      <w:r>
        <w:t xml:space="preserve">The cost model is the heart of the catalytic case. It asks one question:</w:t>
      </w:r>
      <w:r>
        <w:t xml:space="preserve"> </w:t>
      </w:r>
      <w:r>
        <w:rPr>
          <w:b/>
        </w:rPr>
        <w:t xml:space="preserve">what does in-sourcing the plastic do to the unit cost, and therefore to breakeven?</w:t>
      </w:r>
      <w:r>
        <w:t xml:space="preserve"> </w:t>
      </w:r>
      <w:r>
        <w:t xml:space="preserve">The Playable Model carries this as a four-method toggle; the three points that matter to a reader are below.</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Build method</w:t>
            </w:r>
          </w:p>
        </w:tc>
        <w:tc>
          <w:tcPr>
            <w:tcBorders>
              <w:bottom w:val="single"/>
            </w:tcBorders>
            <w:vAlign w:val="bottom"/>
          </w:tcPr>
          <w:p>
            <w:pPr>
              <w:pStyle w:val="Compact"/>
              <w:jc w:val="left"/>
            </w:pPr>
            <w:r>
              <w:t xml:space="preserve">Marginal cost/bed</w:t>
            </w:r>
          </w:p>
        </w:tc>
        <w:tc>
          <w:tcPr>
            <w:tcBorders>
              <w:bottom w:val="single"/>
            </w:tcBorders>
            <w:vAlign w:val="bottom"/>
          </w:tcPr>
          <w:p>
            <w:pPr>
              <w:pStyle w:val="Compact"/>
              <w:jc w:val="left"/>
            </w:pPr>
            <w:r>
              <w:t xml:space="preserve">Label</w:t>
            </w:r>
          </w:p>
        </w:tc>
        <w:tc>
          <w:tcPr>
            <w:tcBorders>
              <w:bottom w:val="single"/>
            </w:tcBorders>
            <w:vAlign w:val="bottom"/>
          </w:tcPr>
          <w:p>
            <w:pPr>
              <w:pStyle w:val="Compact"/>
              <w:jc w:val="left"/>
            </w:pPr>
            <w:r>
              <w:t xml:space="preserve">What changes</w:t>
            </w:r>
          </w:p>
        </w:tc>
      </w:tr>
      <w:tr>
        <w:tc>
          <w:p>
            <w:pPr>
              <w:pStyle w:val="Compact"/>
              <w:jc w:val="left"/>
            </w:pPr>
            <w:r>
              <w:rPr>
                <w:b/>
              </w:rPr>
              <w:t xml:space="preserve">Buy-Kit (today)</w:t>
            </w:r>
          </w:p>
        </w:tc>
        <w:tc>
          <w:p>
            <w:pPr>
              <w:pStyle w:val="Compact"/>
              <w:jc w:val="left"/>
            </w:pPr>
            <w:r>
              <w:t xml:space="preserve">AU$684.79</w:t>
            </w:r>
          </w:p>
        </w:tc>
        <w:tc>
          <w:p>
            <w:pPr>
              <w:pStyle w:val="Compact"/>
              <w:jc w:val="left"/>
            </w:pPr>
            <w:r>
              <w:t xml:space="preserve">[WORKPAPER]</w:t>
            </w:r>
          </w:p>
        </w:tc>
        <w:tc>
          <w:p>
            <w:pPr>
              <w:pStyle w:val="Compact"/>
              <w:jc w:val="left"/>
            </w:pPr>
            <w:r>
              <w:t xml:space="preserve">all components bought in</w:t>
            </w:r>
          </w:p>
        </w:tc>
      </w:tr>
      <w:tr>
        <w:tc>
          <w:p>
            <w:pPr>
              <w:pStyle w:val="Compact"/>
              <w:jc w:val="left"/>
            </w:pPr>
            <w:r>
              <w:rPr>
                <w:b/>
              </w:rPr>
              <w:t xml:space="preserve">Factory in-source</w:t>
            </w:r>
          </w:p>
        </w:tc>
        <w:tc>
          <w:p>
            <w:pPr>
              <w:pStyle w:val="Compact"/>
              <w:jc w:val="left"/>
            </w:pPr>
            <w:r>
              <w:t xml:space="preserve">AU$425.74</w:t>
            </w:r>
          </w:p>
        </w:tc>
        <w:tc>
          <w:p>
            <w:pPr>
              <w:pStyle w:val="Compact"/>
              <w:jc w:val="left"/>
            </w:pPr>
            <w:r>
              <w:t xml:space="preserve">[MODELLED]</w:t>
            </w:r>
          </w:p>
        </w:tc>
        <w:tc>
          <w:p>
            <w:pPr>
              <w:pStyle w:val="Compact"/>
              <w:jc w:val="left"/>
            </w:pPr>
            <w:r>
              <w:t xml:space="preserve">shred, press, cut, assemble in a containerised factory configuration</w:t>
            </w:r>
          </w:p>
        </w:tc>
      </w:tr>
      <w:tr>
        <w:tc>
          <w:p>
            <w:pPr>
              <w:pStyle w:val="Compact"/>
              <w:jc w:val="left"/>
            </w:pPr>
            <w:r>
              <w:rPr>
                <w:b/>
              </w:rPr>
              <w:t xml:space="preserve">Community in-source</w:t>
            </w:r>
          </w:p>
        </w:tc>
        <w:tc>
          <w:p>
            <w:pPr>
              <w:pStyle w:val="Compact"/>
              <w:jc w:val="left"/>
            </w:pPr>
            <w:r>
              <w:t xml:space="preserve">AU$270.74</w:t>
            </w:r>
          </w:p>
        </w:tc>
        <w:tc>
          <w:p>
            <w:pPr>
              <w:pStyle w:val="Compact"/>
              <w:jc w:val="left"/>
            </w:pPr>
            <w:r>
              <w:t xml:space="preserve">[MODELLED]</w:t>
            </w:r>
          </w:p>
        </w:tc>
        <w:tc>
          <w:p>
            <w:pPr>
              <w:pStyle w:val="Compact"/>
              <w:jc w:val="left"/>
            </w:pPr>
            <w:r>
              <w:t xml:space="preserve">same plant moved toward community ownership/operation</w:t>
            </w:r>
          </w:p>
        </w:tc>
      </w:tr>
    </w:tbl>
    <w:p>
      <w:pPr>
        <w:pStyle w:val="BodyText"/>
      </w:pPr>
      <w:r>
        <w:rPr>
          <w:b/>
        </w:rPr>
        <w:t xml:space="preserve">The effect on breakeven.</w:t>
      </w:r>
      <w:r>
        <w:t xml:space="preserve"> </w:t>
      </w:r>
      <w:r>
        <w:t xml:space="preserve">Moving off Buy-Kit drops breakeven from ~1,679 beds/yr to</w:t>
      </w:r>
      <w:r>
        <w:t xml:space="preserve"> </w:t>
      </w:r>
      <w:r>
        <w:rPr>
          <w:b/>
        </w:rPr>
        <w:t xml:space="preserve">333–338 beds/yr</w:t>
      </w:r>
      <w:r>
        <w:t xml:space="preserve"> </w:t>
      </w:r>
      <w:r>
        <w:t xml:space="preserve">[MODELLED] — within sight of demand rather than out of reach.</w:t>
      </w:r>
    </w:p>
    <w:p>
      <w:pPr>
        <w:pStyle w:val="BodyText"/>
      </w:pPr>
      <w:r>
        <w:rPr>
          <w:b/>
        </w:rPr>
        <w:t xml:space="preserve">The lever, and the one piece of hard evidence.</w:t>
      </w:r>
      <w:r>
        <w:t xml:space="preserve"> </w:t>
      </w:r>
      <w:r>
        <w:t xml:space="preserve">The cost-down is driven by removing an</w:t>
      </w:r>
      <w:r>
        <w:t xml:space="preserve"> </w:t>
      </w:r>
      <w:r>
        <w:rPr>
          <w:b/>
        </w:rPr>
        <w:t xml:space="preserve">8.6× markup (</w:t>
      </w:r>
      <w:r>
        <w:rPr>
          <w:b/>
        </w:rPr>
        <w:t xml:space="preserve">“</w:t>
      </w:r>
      <w:r>
        <w:rPr>
          <w:b/>
        </w:rPr>
        <w:t xml:space="preserve">idiot index</w:t>
      </w:r>
      <w:r>
        <w:rPr>
          <w:b/>
        </w:rPr>
        <w:t xml:space="preserve">”</w:t>
      </w:r>
      <w:r>
        <w:rPr>
          <w:b/>
        </w:rPr>
        <w:t xml:space="preserve">) on the HDPE legs</w:t>
      </w:r>
      <w:r>
        <w:t xml:space="preserve"> </w:t>
      </w:r>
      <w:r>
        <w:t xml:space="preserve">currently bought from an external supplier (Defy) [VERIFIED]. That markup is the single verified data point underneath the whole cost model.</w:t>
      </w:r>
    </w:p>
    <w:p>
      <w:pPr>
        <w:pStyle w:val="BodyText"/>
      </w:pPr>
      <w:r>
        <w:rPr>
          <w:b/>
        </w:rPr>
        <w:t xml:space="preserve">The honest status — this is a hypothesis, not a result.</w:t>
      </w:r>
      <w:r>
        <w:t xml:space="preserve"> </w:t>
      </w:r>
      <w:r>
        <w:t xml:space="preserve">Both in-source costs are [MODELLED] with</w:t>
      </w:r>
      <w:r>
        <w:t xml:space="preserve"> </w:t>
      </w:r>
      <w:r>
        <w:rPr>
          <w:b/>
        </w:rPr>
        <w:t xml:space="preserve">zero beds assembled in-house so far</w:t>
      </w:r>
      <w:r>
        <w:t xml:space="preserve">, against a stale inventory snapshot (2026-03-27). The cost model is a credible projection, not a measured outcome. The experiment that converts it is a</w:t>
      </w:r>
      <w:r>
        <w:t xml:space="preserve"> </w:t>
      </w:r>
      <w:r>
        <w:rPr>
          <w:b/>
        </w:rPr>
        <w:t xml:space="preserve">50-bed in-source production run (~AU$60–80K)</w:t>
      </w:r>
      <w:r>
        <w:t xml:space="preserve">: a pass confirms AU$425.74 and the raise scales on proven economics; a miss re-bases the raise honestly at AU$684.79. A catalytic investor is being asked to fund this experiment, not a finished economic engine.</w:t>
      </w:r>
    </w:p>
    <w:p>
      <w:r>
        <w:pict>
          <v:rect style="width:0;height:1.5pt" o:hralign="center" o:hrstd="t" o:hr="t"/>
        </w:pict>
      </w:r>
    </w:p>
    <w:p>
      <w:pPr>
        <w:pStyle w:val="Heading2"/>
      </w:pPr>
      <w:bookmarkStart w:id="98" w:name="the-36-month-shape-the-forecast"/>
      <w:r>
        <w:t xml:space="preserve">4. The 36-month shape (the forecast)</w:t>
      </w:r>
      <w:bookmarkEnd w:id="98"/>
    </w:p>
    <w:p>
      <w:pPr>
        <w:pStyle w:val="FirstParagraph"/>
      </w:pPr>
      <w:r>
        <w:t xml:space="preserve">The model runs a 36-month forecast under two scenarios. All figures here are [MODELLED] — they come from the financial model, not from actuals.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At month 36</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Label</w:t>
            </w:r>
          </w:p>
        </w:tc>
      </w:tr>
      <w:tr>
        <w:tc>
          <w:p>
            <w:pPr>
              <w:pStyle w:val="Compact"/>
              <w:jc w:val="left"/>
            </w:pPr>
            <w:r>
              <w:t xml:space="preserve">Without the capital injection</w:t>
            </w:r>
          </w:p>
        </w:tc>
        <w:tc>
          <w:p>
            <w:pPr>
              <w:pStyle w:val="Compact"/>
              <w:jc w:val="left"/>
            </w:pPr>
            <w:r>
              <w:rPr>
                <w:b/>
              </w:rPr>
              <w:t xml:space="preserve">−AU$487,722</w:t>
            </w:r>
          </w:p>
        </w:tc>
        <w:tc>
          <w:p>
            <w:pPr>
              <w:pStyle w:val="Compact"/>
              <w:jc w:val="left"/>
            </w:pPr>
            <w:r>
              <w:t xml:space="preserve">[MODELLED]</w:t>
            </w:r>
          </w:p>
        </w:tc>
      </w:tr>
      <w:tr>
        <w:tc>
          <w:p>
            <w:pPr>
              <w:pStyle w:val="Compact"/>
              <w:jc w:val="left"/>
            </w:pPr>
            <w:r>
              <w:t xml:space="preserve">With the injection stack (QBE + SEFA + philanthropy)</w:t>
            </w:r>
          </w:p>
        </w:tc>
        <w:tc>
          <w:p>
            <w:pPr>
              <w:pStyle w:val="Compact"/>
              <w:jc w:val="left"/>
            </w:pPr>
            <w:r>
              <w:rPr>
                <w:b/>
              </w:rPr>
              <w:t xml:space="preserve">+AU$212,278</w:t>
            </w:r>
          </w:p>
        </w:tc>
        <w:tc>
          <w:p>
            <w:pPr>
              <w:pStyle w:val="Compact"/>
              <w:jc w:val="left"/>
            </w:pPr>
            <w:r>
              <w:t xml:space="preserve">[MODELLED]</w:t>
            </w:r>
          </w:p>
        </w:tc>
      </w:tr>
      <w:tr>
        <w:tc>
          <w:p>
            <w:pPr>
              <w:pStyle w:val="Compact"/>
              <w:jc w:val="left"/>
            </w:pPr>
            <w:r>
              <w:t xml:space="preserve">Worst point along the injected path (intra-period trough)</w:t>
            </w:r>
          </w:p>
        </w:tc>
        <w:tc>
          <w:p>
            <w:pPr>
              <w:pStyle w:val="Compact"/>
              <w:jc w:val="left"/>
            </w:pPr>
            <w:r>
              <w:rPr>
                <w:b/>
              </w:rPr>
              <w:t xml:space="preserve">−AU$177,292</w:t>
            </w:r>
          </w:p>
        </w:tc>
        <w:tc>
          <w:p>
            <w:pPr>
              <w:pStyle w:val="Compact"/>
              <w:jc w:val="left"/>
            </w:pPr>
            <w:r>
              <w:t xml:space="preserve">[MODELLED]</w:t>
            </w:r>
          </w:p>
        </w:tc>
      </w:tr>
    </w:tbl>
    <w:p>
      <w:pPr>
        <w:pStyle w:val="BodyText"/>
      </w:pPr>
      <w:r>
        <w:rPr>
          <w:b/>
        </w:rPr>
        <w:t xml:space="preserve">Read the trough, not just the recovery.</w:t>
      </w:r>
      <w:r>
        <w:t xml:space="preserve"> </w:t>
      </w:r>
      <w:r>
        <w:t xml:space="preserve">The injected scenario does not climb in a straight line — it dips to −AU$177,292 before recovering to +AU$212,278. The summary shows the trough deliberately, because that dip is what the working-capital buffer in the ask (§5) is sized to cover.</w:t>
      </w:r>
    </w:p>
    <w:p>
      <w:pPr>
        <w:pStyle w:val="BodyText"/>
      </w:pPr>
      <w:r>
        <w:rPr>
          <w:b/>
        </w:rPr>
        <w:t xml:space="preserve">The highest-leverage input is a flagged placeholder.</w:t>
      </w:r>
      <w:r>
        <w:t xml:space="preserve"> </w:t>
      </w:r>
      <w:r>
        <w:t xml:space="preserve">Opening cash in the model is</w:t>
      </w:r>
      <w:r>
        <w:t xml:space="preserve"> </w:t>
      </w:r>
      <w:r>
        <w:rPr>
          <w:b/>
        </w:rPr>
        <w:t xml:space="preserve">AU$50,000, marked</w:t>
      </w:r>
      <w:r>
        <w:rPr>
          <w:b/>
        </w:rPr>
        <w:t xml:space="preserve"> </w:t>
      </w:r>
      <w:r>
        <w:rPr>
          <w:b/>
        </w:rPr>
        <w:t xml:space="preserve">“</w:t>
      </w:r>
      <w:r>
        <w:rPr>
          <w:b/>
        </w:rPr>
        <w:t xml:space="preserve">TO CONFIRM</w:t>
      </w:r>
      <w:r>
        <w:rPr>
          <w:b/>
        </w:rPr>
        <w:t xml:space="preserve">”</w:t>
      </w:r>
      <w:r>
        <w:t xml:space="preserve"> </w:t>
      </w:r>
      <w:r>
        <w:t xml:space="preserve">— a placeholder, not a confirmed figure. It is the single most sensitive number in the forecast: it moves both the month-36 position and the depth of the trough. Locking the real opening-cash figure is the highest-leverage action available before this model is investor-ready (see §6).</w:t>
      </w:r>
    </w:p>
    <w:p>
      <w:r>
        <w:pict>
          <v:rect style="width:0;height:1.5pt" o:hralign="center" o:hrstd="t" o:hr="t"/>
        </w:pict>
      </w:r>
    </w:p>
    <w:p>
      <w:pPr>
        <w:pStyle w:val="Heading2"/>
      </w:pPr>
      <w:bookmarkStart w:id="99" w:name="the-capital-ask-basis-and-components"/>
      <w:r>
        <w:t xml:space="preserve">5. The capital ask — basis and components</w:t>
      </w:r>
      <w:bookmarkEnd w:id="99"/>
    </w:p>
    <w:p>
      <w:pPr>
        <w:pStyle w:val="FirstParagraph"/>
      </w:pPr>
      <w:r>
        <w:rPr>
          <w:b/>
        </w:rPr>
        <w:t xml:space="preserve">Headline:</w:t>
      </w:r>
      <w:r>
        <w:t xml:space="preserve"> </w:t>
      </w:r>
      <w:r>
        <w:t xml:space="preserve">AU$900K–AU$1M in</w:t>
      </w:r>
      <w:r>
        <w:t xml:space="preserve"> </w:t>
      </w:r>
      <w:r>
        <w:rPr>
          <w:b/>
        </w:rPr>
        <w:t xml:space="preserve">blended, non-equity</w:t>
      </w:r>
      <w:r>
        <w:t xml:space="preserve"> </w:t>
      </w:r>
      <w:r>
        <w:t xml:space="preserve">capital, with the immediate task being to close the first</w:t>
      </w:r>
      <w:r>
        <w:t xml:space="preserve"> </w:t>
      </w:r>
      <w:r>
        <w:rPr>
          <w:b/>
        </w:rPr>
        <w:t xml:space="preserve">~AU$400K of signed, match-eligible commitments by 31 August 2026</w:t>
      </w:r>
      <w:r>
        <w:t xml:space="preserve">. Signed, match-eligible commitments today:</w:t>
      </w:r>
      <w:r>
        <w:t xml:space="preserve"> </w:t>
      </w:r>
      <w:r>
        <w:rPr>
          <w:b/>
        </w:rPr>
        <w:t xml:space="preserve">0</w:t>
      </w:r>
      <w:r>
        <w:t xml:space="preserve"> </w:t>
      </w:r>
      <w:r>
        <w:t xml:space="preserve">[VERIFIED —</w:t>
      </w:r>
      <w:r>
        <w:t xml:space="preserve"> </w:t>
      </w:r>
      <w:r>
        <w:t xml:space="preserve">“</w:t>
      </w:r>
      <w:r>
        <w:t xml:space="preserve">a conversation problem, not a discovery problem</w:t>
      </w:r>
      <w:r>
        <w:t xml:space="preserve">”</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 (junior → senior)</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Label / status</w:t>
            </w:r>
          </w:p>
        </w:tc>
      </w:tr>
      <w:tr>
        <w:tc>
          <w:p>
            <w:pPr>
              <w:pStyle w:val="Compact"/>
              <w:jc w:val="left"/>
            </w:pPr>
            <w:r>
              <w:t xml:space="preserve">Grants (junior)</w:t>
            </w:r>
          </w:p>
        </w:tc>
        <w:tc>
          <w:p>
            <w:pPr>
              <w:pStyle w:val="Compact"/>
              <w:jc w:val="left"/>
            </w:pPr>
            <w:r>
              <w:t xml:space="preserve">Philanthropy (Snow R4/R5, Centrecorp next round, VFFF, Minderoo)</w:t>
            </w:r>
          </w:p>
        </w:tc>
        <w:tc>
          <w:p>
            <w:pPr>
              <w:pStyle w:val="Compact"/>
              <w:jc w:val="left"/>
            </w:pPr>
            <w:r>
              <w:t xml:space="preserve">~AU$500K</w:t>
            </w:r>
          </w:p>
        </w:tc>
        <w:tc>
          <w:p>
            <w:pPr>
              <w:pStyle w:val="Compact"/>
              <w:jc w:val="left"/>
            </w:pPr>
            <w:r>
              <w:t xml:space="preserve">[TARGET]</w:t>
            </w:r>
          </w:p>
        </w:tc>
      </w:tr>
      <w:tr>
        <w:tc>
          <w:p>
            <w:pPr>
              <w:pStyle w:val="Compact"/>
              <w:jc w:val="left"/>
            </w:pPr>
            <w:r>
              <w:t xml:space="preserve">Catalytic top</w:t>
            </w:r>
          </w:p>
        </w:tc>
        <w:tc>
          <w:p>
            <w:pPr>
              <w:pStyle w:val="Compact"/>
              <w:jc w:val="left"/>
            </w:pPr>
            <w:r>
              <w:rPr>
                <w:b/>
              </w:rPr>
              <w:t xml:space="preserve">QBE match</w:t>
            </w:r>
          </w:p>
        </w:tc>
        <w:tc>
          <w:p>
            <w:pPr>
              <w:pStyle w:val="Compact"/>
              <w:jc w:val="left"/>
            </w:pPr>
            <w:r>
              <w:t xml:space="preserve">up to AU$400K</w:t>
            </w:r>
          </w:p>
        </w:tc>
        <w:tc>
          <w:p>
            <w:pPr>
              <w:pStyle w:val="Compact"/>
              <w:jc w:val="left"/>
            </w:pPr>
            <w:r>
              <w:t xml:space="preserve">≥1:1 vs secured external capital; repayable preferred; legally-binding evidence verified at Sept 2026 application</w:t>
            </w:r>
          </w:p>
        </w:tc>
      </w:tr>
      <w:tr>
        <w:tc>
          <w:p>
            <w:pPr>
              <w:pStyle w:val="Compact"/>
              <w:jc w:val="left"/>
            </w:pPr>
            <w:r>
              <w:t xml:space="preserve">Concessional debt (senior)</w:t>
            </w:r>
          </w:p>
        </w:tc>
        <w:tc>
          <w:p>
            <w:pPr>
              <w:pStyle w:val="Compact"/>
              <w:jc w:val="left"/>
            </w:pPr>
            <w:r>
              <w:t xml:space="preserve">SEFA working-capital line</w:t>
            </w:r>
          </w:p>
        </w:tc>
        <w:tc>
          <w:p>
            <w:pPr>
              <w:pStyle w:val="Compact"/>
              <w:jc w:val="left"/>
            </w:pPr>
            <w:r>
              <w:t xml:space="preserve">AU$300K</w:t>
            </w:r>
          </w:p>
        </w:tc>
        <w:tc>
          <w:p>
            <w:pPr>
              <w:pStyle w:val="Compact"/>
              <w:jc w:val="left"/>
            </w:pPr>
            <w:r>
              <w:t xml:space="preserve">[TARGET] — ~70% modelled; gated on the financial model + independent-majority board + revenue covenant</w:t>
            </w:r>
          </w:p>
        </w:tc>
      </w:tr>
      <w:tr>
        <w:tc>
          <w:p>
            <w:pPr>
              <w:pStyle w:val="Compact"/>
              <w:jc w:val="left"/>
            </w:pPr>
            <w:r>
              <w:t xml:space="preserve">Upside only</w:t>
            </w:r>
          </w:p>
        </w:tc>
        <w:tc>
          <w:p>
            <w:pPr>
              <w:pStyle w:val="Compact"/>
              <w:jc w:val="left"/>
            </w:pPr>
            <w:r>
              <w:t xml:space="preserve">Butterfly/DGR</w:t>
            </w:r>
          </w:p>
        </w:tc>
        <w:tc>
          <w:p>
            <w:pPr>
              <w:pStyle w:val="Compact"/>
              <w:jc w:val="left"/>
            </w:pPr>
            <w:r>
              <w:t xml:space="preserve">~AU$200K</w:t>
            </w:r>
          </w:p>
        </w:tc>
        <w:tc>
          <w:p>
            <w:pPr>
              <w:pStyle w:val="Compact"/>
              <w:jc w:val="left"/>
            </w:pPr>
            <w:r>
              <w:t xml:space="preserve">[TARGET] — FY2026-27, DGR not live today</w:t>
            </w:r>
          </w:p>
        </w:tc>
      </w:tr>
    </w:tbl>
    <w:p>
      <w:pPr>
        <w:pStyle w:val="BodyText"/>
      </w:pPr>
      <w:r>
        <w:rPr>
          <w:b/>
        </w:rPr>
        <w:t xml:space="preserve">The basis for the ask, line by line:</w:t>
      </w:r>
    </w:p>
    <w:p>
      <w:pPr>
        <w:numPr>
          <w:ilvl w:val="0"/>
          <w:numId w:val="1019"/>
        </w:numPr>
        <w:pStyle w:val="Compact"/>
      </w:pPr>
      <w:r>
        <w:rPr>
          <w:b/>
        </w:rPr>
        <w:t xml:space="preserve">First ~AU$400K is the live target</w:t>
      </w:r>
      <w:r>
        <w:t xml:space="preserve"> </w:t>
      </w:r>
      <w:r>
        <w:t xml:space="preserve">— the first tranche being assembled now; the signed/eligible commitment register is live (CivicGraph</w:t>
      </w:r>
      <w:r>
        <w:t xml:space="preserve"> </w:t>
      </w:r>
      <w:r>
        <w:t xml:space="preserve">“</w:t>
      </w:r>
      <w:r>
        <w:t xml:space="preserve">Match Campaign</w:t>
      </w:r>
      <w:r>
        <w:t xml:space="preserve">”</w:t>
      </w:r>
      <w:r>
        <w:t xml:space="preserve"> </w:t>
      </w:r>
      <w:r>
        <w:t xml:space="preserve">tab).</w:t>
      </w:r>
    </w:p>
    <w:p>
      <w:pPr>
        <w:numPr>
          <w:ilvl w:val="0"/>
          <w:numId w:val="1019"/>
        </w:numPr>
        <w:pStyle w:val="Compact"/>
      </w:pPr>
      <w:r>
        <w:rPr>
          <w:b/>
        </w:rPr>
        <w:t xml:space="preserve">The QBE match is an output, not an input.</w:t>
      </w:r>
      <w:r>
        <w:t xml:space="preserve"> </w:t>
      </w:r>
      <w:r>
        <w:t xml:space="preserve">QBE Catalysing Impact offers up to AU$400K from a $1M pool, on</w:t>
      </w:r>
      <w:r>
        <w:t xml:space="preserve"> </w:t>
      </w:r>
      <w:r>
        <w:rPr>
          <w:b/>
        </w:rPr>
        <w:t xml:space="preserve">at least 1:1 matching</w:t>
      </w:r>
      <w:r>
        <w:t xml:space="preserve"> </w:t>
      </w:r>
      <w:r>
        <w:t xml:space="preserve">to secured external investment (more raised unlocks more, to the AU$400K ceiling). The program</w:t>
      </w:r>
      <w:r>
        <w:t xml:space="preserve"> </w:t>
      </w:r>
      <w:r>
        <w:rPr>
          <w:b/>
        </w:rPr>
        <w:t xml:space="preserve">prioritises repayable finance over grants.</w:t>
      </w:r>
      <w:r>
        <w:t xml:space="preserve"> </w:t>
      </w:r>
      <w:r>
        <w:t xml:space="preserve">Match must be</w:t>
      </w:r>
      <w:r>
        <w:t xml:space="preserve"> </w:t>
      </w:r>
      <w:r>
        <w:rPr>
          <w:b/>
        </w:rPr>
        <w:t xml:space="preserve">legally binding</w:t>
      </w:r>
      <w:r>
        <w:t xml:space="preserve"> </w:t>
      </w:r>
      <w:r>
        <w:t xml:space="preserve">(signed letters of commitment, loan or investment agreements) and is</w:t>
      </w:r>
      <w:r>
        <w:t xml:space="preserve"> </w:t>
      </w:r>
      <w:r>
        <w:rPr>
          <w:b/>
        </w:rPr>
        <w:t xml:space="preserve">verified by the program at the September 2026 Stage 2 application</w:t>
      </w:r>
      <w:r>
        <w:t xml:space="preserve">; conditional grants are possible if the match is not fully locked. The first signed external dollar is what unlocks the match.</w:t>
      </w:r>
    </w:p>
    <w:p>
      <w:pPr>
        <w:numPr>
          <w:ilvl w:val="0"/>
          <w:numId w:val="1019"/>
        </w:numPr>
        <w:pStyle w:val="Compact"/>
      </w:pPr>
      <w:r>
        <w:rPr>
          <w:b/>
        </w:rPr>
        <w:t xml:space="preserve">Gross plant capex is AU$112K–AU$222K</w:t>
      </w:r>
      <w:r>
        <w:t xml:space="preserve"> </w:t>
      </w:r>
      <w:r>
        <w:t xml:space="preserve">(midpoint ~AU$167K) [MODELLED] — a</w:t>
      </w:r>
      <w:r>
        <w:t xml:space="preserve"> </w:t>
      </w:r>
      <w:r>
        <w:rPr>
          <w:b/>
        </w:rPr>
        <w:t xml:space="preserve">firm quote is still pending</w:t>
      </w:r>
      <w:r>
        <w:t xml:space="preserve">. (The Playable Model’s solid press-capex line is AU$110,046; the AU$112–222K is the wider gross-capex range carried in the model.)</w:t>
      </w:r>
    </w:p>
    <w:p>
      <w:pPr>
        <w:numPr>
          <w:ilvl w:val="0"/>
          <w:numId w:val="1019"/>
        </w:numPr>
        <w:pStyle w:val="Compact"/>
      </w:pPr>
      <w:r>
        <w:rPr>
          <w:b/>
        </w:rPr>
        <w:t xml:space="preserve">Founder time is costed</w:t>
      </w:r>
      <w:r>
        <w:t xml:space="preserve"> </w:t>
      </w:r>
      <w:r>
        <w:t xml:space="preserve">at</w:t>
      </w:r>
      <w:r>
        <w:t xml:space="preserve"> </w:t>
      </w:r>
      <w:r>
        <w:rPr>
          <w:b/>
        </w:rPr>
        <w:t xml:space="preserve">AU$560/day × 150 days/yr</w:t>
      </w:r>
      <w:r>
        <w:t xml:space="preserve"> </w:t>
      </w:r>
      <w:r>
        <w:t xml:space="preserve">— i.e. founder labour is in the model at a fair-market rate, not treated as free. This directly answers the diagnostic’s Area 4 requirement to cost founder time.</w:t>
      </w:r>
    </w:p>
    <w:p>
      <w:pPr>
        <w:numPr>
          <w:ilvl w:val="0"/>
          <w:numId w:val="1019"/>
        </w:numPr>
        <w:pStyle w:val="Compact"/>
      </w:pPr>
      <w:r>
        <w:rPr>
          <w:b/>
        </w:rPr>
        <w:t xml:space="preserve">Non-equity, on purpose.</w:t>
      </w:r>
      <w:r>
        <w:t xml:space="preserve"> </w:t>
      </w:r>
      <w:r>
        <w:t xml:space="preserve">The end-state is community-owned production; equity that needs an exit would contradict the thing being built. Equity is revisited only inside a future model where communities themselves are the owners.</w:t>
      </w:r>
    </w:p>
    <w:p>
      <w:r>
        <w:pict>
          <v:rect style="width:0;height:1.5pt" o:hralign="center" o:hrstd="t" o:hr="t"/>
        </w:pict>
      </w:r>
    </w:p>
    <w:p>
      <w:pPr>
        <w:pStyle w:val="Heading2"/>
      </w:pPr>
      <w:bookmarkStart w:id="100" w:name="X032dc5659eede0c5db9de3a5a99a18e7aa86ca6"/>
      <w:r>
        <w:t xml:space="preserve">6. Readiness status — what makes this investor-ready</w:t>
      </w:r>
      <w:bookmarkEnd w:id="100"/>
    </w:p>
    <w:p>
      <w:pPr>
        <w:pStyle w:val="FirstParagraph"/>
      </w:pPr>
      <w:r>
        <w:t xml:space="preserve">The model itself is built and genuinely good: it is the GOC-only model Area 4 asked for, it carries unit economics, a scenario engine, the 36-month forecast, and costed founder time, and its headline numbers match this pack exactly. What stands between</w:t>
      </w:r>
      <w:r>
        <w:t xml:space="preserve"> </w:t>
      </w:r>
      <w:r>
        <w:t xml:space="preserve">“</w:t>
      </w:r>
      <w:r>
        <w:t xml:space="preserve">built</w:t>
      </w:r>
      <w:r>
        <w:t xml:space="preserve">”</w:t>
      </w:r>
      <w:r>
        <w:t xml:space="preserve"> </w:t>
      </w:r>
      <w:r>
        <w:t xml:space="preserve">and</w:t>
      </w:r>
      <w:r>
        <w:t xml:space="preserve"> </w:t>
      </w:r>
      <w:r>
        <w:t xml:space="preserve">“</w:t>
      </w:r>
      <w:r>
        <w:t xml:space="preserve">investor-ready</w:t>
      </w:r>
      <w:r>
        <w:t xml:space="preserve">”</w:t>
      </w:r>
      <w:r>
        <w:t xml:space="preserve"> </w:t>
      </w:r>
      <w:r>
        <w:t xml:space="preserve">is four specific, mostly human, actions:</w:t>
      </w:r>
    </w:p>
    <w:p>
      <w:pPr>
        <w:numPr>
          <w:ilvl w:val="0"/>
          <w:numId w:val="1020"/>
        </w:numPr>
        <w:pStyle w:val="Compact"/>
      </w:pPr>
      <w:r>
        <w:rPr>
          <w:b/>
        </w:rPr>
        <w:t xml:space="preserve">Accountant-endorsed, Goods-only carve-out.</w:t>
      </w:r>
      <w:r>
        <w:t xml:space="preserve"> </w:t>
      </w:r>
      <w:r>
        <w:t xml:space="preserve">Turn the two coexisting revenue frames (the AU$649,710.79 Xero workpaper and the ~AU$405,685 funder trail) into</w:t>
      </w:r>
      <w:r>
        <w:t xml:space="preserve"> </w:t>
      </w:r>
      <w:r>
        <w:rPr>
          <w:b/>
        </w:rPr>
        <w:t xml:space="preserve">one accountant-reviewed, Goods-only figure</w:t>
      </w:r>
      <w:r>
        <w:t xml:space="preserve">, with non-Goods income (SMART Recovery, HipCamp, etc.) stripped out. This is now a</w:t>
      </w:r>
      <w:r>
        <w:t xml:space="preserve"> </w:t>
      </w:r>
      <w:r>
        <w:rPr>
          <w:b/>
        </w:rPr>
        <w:t xml:space="preserve">hard QBE Stage-2 gate</w:t>
      </w:r>
      <w:r>
        <w:t xml:space="preserve"> </w:t>
      </w:r>
      <w:r>
        <w:t xml:space="preserve">— audited or accountant-endorsed financials are required at the September 2026 application — not optional polish.</w:t>
      </w:r>
    </w:p>
    <w:p>
      <w:pPr>
        <w:numPr>
          <w:ilvl w:val="0"/>
          <w:numId w:val="1020"/>
        </w:numPr>
        <w:pStyle w:val="Compact"/>
      </w:pPr>
      <w:r>
        <w:rPr>
          <w:b/>
        </w:rPr>
        <w:t xml:space="preserve">Lock the opening cash.</w:t>
      </w:r>
      <w:r>
        <w:t xml:space="preserve"> </w:t>
      </w:r>
      <w:r>
        <w:t xml:space="preserve">Replace the AU$50K</w:t>
      </w:r>
      <w:r>
        <w:t xml:space="preserve"> </w:t>
      </w:r>
      <w:r>
        <w:t xml:space="preserve">“</w:t>
      </w:r>
      <w:r>
        <w:t xml:space="preserve">TO CONFIRM</w:t>
      </w:r>
      <w:r>
        <w:t xml:space="preserve">”</w:t>
      </w:r>
      <w:r>
        <w:t xml:space="preserve"> </w:t>
      </w:r>
      <w:r>
        <w:t xml:space="preserve">placeholder with the real figure — the highest-leverage input in the forecast (§4).</w:t>
      </w:r>
    </w:p>
    <w:p>
      <w:pPr>
        <w:numPr>
          <w:ilvl w:val="0"/>
          <w:numId w:val="1020"/>
        </w:numPr>
        <w:pStyle w:val="Compact"/>
      </w:pPr>
      <w:r>
        <w:rPr>
          <w:b/>
        </w:rPr>
        <w:t xml:space="preserve">Attach a firm capex quote.</w:t>
      </w:r>
      <w:r>
        <w:t xml:space="preserve"> </w:t>
      </w:r>
      <w:r>
        <w:t xml:space="preserve">Replace the AU$112–222K modelled range with a firm supplier quote (§5).</w:t>
      </w:r>
    </w:p>
    <w:p>
      <w:pPr>
        <w:numPr>
          <w:ilvl w:val="0"/>
          <w:numId w:val="1020"/>
        </w:numPr>
        <w:pStyle w:val="Compact"/>
      </w:pPr>
      <w:r>
        <w:rPr>
          <w:b/>
        </w:rPr>
        <w:t xml:space="preserve">Supply the full workbook.</w:t>
      </w:r>
      <w:r>
        <w:t xml:space="preserve"> </w:t>
      </w:r>
      <w:r>
        <w:t xml:space="preserve">Only the</w:t>
      </w:r>
      <w:r>
        <w:t xml:space="preserve"> </w:t>
      </w:r>
      <w:r>
        <w:rPr>
          <w:b/>
        </w:rPr>
        <w:t xml:space="preserve">Control Panel tab</w:t>
      </w:r>
      <w:r>
        <w:t xml:space="preserve"> </w:t>
      </w:r>
      <w:r>
        <w:t xml:space="preserve">of the Playable Model has been shared so far; the complete .xlsx needs to go to the reviewer/accountant so the model can be checked end-to-end.</w:t>
      </w:r>
    </w:p>
    <w:p>
      <w:pPr>
        <w:pStyle w:val="FirstParagraph"/>
      </w:pPr>
      <w:r>
        <w:t xml:space="preserve">Underneath all four: the</w:t>
      </w:r>
      <w:r>
        <w:t xml:space="preserve"> </w:t>
      </w:r>
      <w:r>
        <w:rPr>
          <w:b/>
        </w:rPr>
        <w:t xml:space="preserve">50-bed in-source run</w:t>
      </w:r>
      <w:r>
        <w:t xml:space="preserve"> </w:t>
      </w:r>
      <w:r>
        <w:t xml:space="preserve">is what converts the cost model (§3) from modelled to measured. Until then, the central economic claim remains a credible hypothesis, clearly labelled as such.</w:t>
      </w:r>
    </w:p>
    <w:p>
      <w:r>
        <w:pict>
          <v:rect style="width:0;height:1.5pt" o:hralign="center" o:hrstd="t" o:hr="t"/>
        </w:pict>
      </w:r>
    </w:p>
    <w:p>
      <w:pPr>
        <w:pStyle w:val="FirstParagraph"/>
      </w:pPr>
      <w:r>
        <w:rPr>
          <w:i/>
        </w:rPr>
        <w:t xml:space="preserve">Source of truth: 00-master-alignment-map.md (2026-06-13). Complements the Goods Playable Model (Control Panel tab) — summarise and point to it, do not rebuild. Re-pull Xero immediately before any external send; the received/billed figures move as invoices clear (a 1 Jun 2026 check read ~AU$1,200 higher on both). Nothing in this summary is audited or final — it is a DRAFT for founder and accountant review.</w:t>
      </w:r>
    </w:p>
    <w:p>
      <w:r>
        <w:br w:type="page"/>
      </w:r>
    </w:p>
    <w:p>
      <w:pPr>
        <w:pStyle w:val="Heading1"/>
      </w:pPr>
      <w:bookmarkStart w:id="101" w:name="area-5-strategic-plan"/>
      <w:r>
        <w:t xml:space="preserve">Area 5 · Strategic Plan</w:t>
      </w:r>
      <w:bookmarkEnd w:id="101"/>
    </w:p>
    <w:p>
      <w:pPr>
        <w:pStyle w:val="Heading1"/>
      </w:pPr>
      <w:bookmarkStart w:id="102" w:name="strategic-plan-on-a-page"/>
      <w:r>
        <w:t xml:space="preserve">Strategic plan on a page</w:t>
      </w:r>
      <w:bookmarkEnd w:id="102"/>
    </w:p>
    <w:p>
      <w:pPr>
        <w:pStyle w:val="BlockText"/>
      </w:pPr>
      <w:r>
        <w:t xml:space="preserve">This is the founder-authored half of Area 05. The scored risk register — likelihood × consequence, owners, shareability — sits in</w:t>
      </w:r>
      <w:r>
        <w:t xml:space="preserve"> </w:t>
      </w:r>
      <w:r>
        <w:rPr>
          <w:rStyle w:val="VerbatimChar"/>
        </w:rPr>
        <w:t xml:space="preserve">06-risk-register.md</w:t>
      </w:r>
      <w:r>
        <w:t xml:space="preserve"> </w:t>
      </w:r>
      <w:r>
        <w:t xml:space="preserve">and is not repeated here. Read the two together.</w:t>
      </w:r>
    </w:p>
    <w:p>
      <w:pPr>
        <w:pStyle w:val="Heading2"/>
      </w:pPr>
      <w:bookmarkStart w:id="103" w:name="where-we-are"/>
      <w:r>
        <w:t xml:space="preserve">Where we are</w:t>
      </w:r>
      <w:bookmarkEnd w:id="103"/>
    </w:p>
    <w:p>
      <w:pPr>
        <w:pStyle w:val="FirstParagraph"/>
      </w:pPr>
      <w:r>
        <w:t xml:space="preserve">We have proven the product and proven we can deliver it. 496 beds are tracked in the asset register across 9 communities [VERIFIED, 29 May 2026], the Stretch Bed design holds up in real remote conditions, and we have standing demand we cannot yet fill. What we have not proven is that this can pay for itself. Commercial revenue to date is AU$90 across three shop orders [WORKPAPER] — proof that the pipe works, not proof of a market. Roughly 89% of money in has been grant-funded, by design: this is a de-risking round, not a growth round. The central economic claim — that in-sourcing the recycled-HDPE legs drops our marginal cost from AU$684.79 to AU$425.74 [both WORKPAPER/MODELLED] — is unproven, because zero beds have been assembled in-house. And we have AU$0 of signed, match-eligible capital today. So the honest position is: strong on product and delivery, untested on unit economics, and standing at the start line on capital. Everything below is built to close those three gaps in order.</w:t>
      </w:r>
    </w:p>
    <w:p>
      <w:pPr>
        <w:pStyle w:val="Heading2"/>
      </w:pPr>
      <w:bookmarkStart w:id="104" w:name="the-3-year-strategy"/>
      <w:r>
        <w:t xml:space="preserve">The 3-year strategy</w:t>
      </w:r>
      <w:bookmarkEnd w:id="104"/>
    </w:p>
    <w:p>
      <w:pPr>
        <w:pStyle w:val="FirstParagraph"/>
      </w:pPr>
      <w:r>
        <w:t xml:space="preserve">The strategy is three phases. Each one earns the right to the next; we do not start a phase before the prior phase’s proof is in hand.</w:t>
      </w:r>
    </w:p>
    <w:p>
      <w:pPr>
        <w:pStyle w:val="BodyText"/>
      </w:pPr>
      <w:r>
        <w:rPr>
          <w:b/>
        </w:rPr>
        <w:t xml:space="preserve">Phase 1 — De-risk (next ~12 months).</w:t>
      </w:r>
      <w:r>
        <w:t xml:space="preserve"> </w:t>
      </w:r>
      <w:r>
        <w:t xml:space="preserve">Turn the four open questions into answered ones. Run the 50-bed in-source production run (~AU$60–80K) that converts AU$425.74 from modelled to measured. Close the first ~AU$400K of signed, match-eligible capital so the QBE match has something to match against. Get an accountant carve-out so there is one Goods-only revenue figure an accountant will stand behind. Decide the legal entity and the First Nations-ownership structure. Nothing in Phase 2 is committed until these land.</w:t>
      </w:r>
    </w:p>
    <w:p>
      <w:pPr>
        <w:pStyle w:val="BodyText"/>
      </w:pPr>
      <w:r>
        <w:rPr>
          <w:b/>
        </w:rPr>
        <w:t xml:space="preserve">Phase 2 — Prove the repeatable engine.</w:t>
      </w:r>
      <w:r>
        <w:t xml:space="preserve"> </w:t>
      </w:r>
      <w:r>
        <w:t xml:space="preserve">Move institutional buyers from grant-funded pilots to procurement orders — the same bed, bought because it works and the paperwork clears, not because it was donated. Stand up the first community-employed operator, so production is no longer two founders. This is where</w:t>
      </w:r>
      <w:r>
        <w:t xml:space="preserve"> </w:t>
      </w:r>
      <w:r>
        <w:t xml:space="preserve">“</w:t>
      </w:r>
      <w:r>
        <w:t xml:space="preserve">we delivered beds</w:t>
      </w:r>
      <w:r>
        <w:t xml:space="preserve">”</w:t>
      </w:r>
      <w:r>
        <w:t xml:space="preserve"> </w:t>
      </w:r>
      <w:r>
        <w:t xml:space="preserve">becomes</w:t>
      </w:r>
      <w:r>
        <w:t xml:space="preserve"> </w:t>
      </w:r>
      <w:r>
        <w:t xml:space="preserve">“</w:t>
      </w:r>
      <w:r>
        <w:t xml:space="preserve">we run a business that delivers beds repeatedly,</w:t>
      </w:r>
      <w:r>
        <w:t xml:space="preserve">”</w:t>
      </w:r>
      <w:r>
        <w:t xml:space="preserve"> </w:t>
      </w:r>
      <w:r>
        <w:t xml:space="preserve">which is the thing capital is actually backing.</w:t>
      </w:r>
    </w:p>
    <w:p>
      <w:pPr>
        <w:pStyle w:val="BodyText"/>
      </w:pPr>
      <w:r>
        <w:rPr>
          <w:b/>
        </w:rPr>
        <w:t xml:space="preserve">Phase 3 — Scale toward community-owned production.</w:t>
      </w:r>
      <w:r>
        <w:t xml:space="preserve"> </w:t>
      </w:r>
      <w:r>
        <w:t xml:space="preserve">Scope the first Aboriginal-controlled operating entity by end FY2026-27, and begin distributing on-country plants so production sits where the demand and the materials are. The endgame is to make ourselves unnecessary — local people making, owning, and repairing the goods. Phase 3 is a direction we build toward, not a date we have set; the entity form and the ownership mechanism (the profit-share principle is settled, the mechanism is not) are resolved in Phase 1 before any of this is built.</w:t>
      </w:r>
    </w:p>
    <w:p>
      <w:pPr>
        <w:pStyle w:val="Heading2"/>
      </w:pPr>
      <w:bookmarkStart w:id="105" w:name="milestones"/>
      <w:r>
        <w:t xml:space="preserve">Milestones</w:t>
      </w:r>
      <w:bookmarkEnd w:id="1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Phase</w:t>
            </w:r>
          </w:p>
        </w:tc>
      </w:tr>
      <w:tr>
        <w:tc>
          <w:p>
            <w:pPr>
              <w:pStyle w:val="Compact"/>
              <w:jc w:val="left"/>
            </w:pPr>
            <w:r>
              <w:t xml:space="preserve">By 21 Jun 2026</w:t>
            </w:r>
          </w:p>
        </w:tc>
        <w:tc>
          <w:p>
            <w:pPr>
              <w:pStyle w:val="Compact"/>
              <w:jc w:val="left"/>
            </w:pPr>
            <w:r>
              <w:t xml:space="preserve">Legal-entity wording block approved; transition path decided (Nic sole trader → A Curious Tractor Pty Ltd t/a Goods on Country)</w:t>
            </w:r>
          </w:p>
        </w:tc>
        <w:tc>
          <w:p>
            <w:pPr>
              <w:pStyle w:val="Compact"/>
              <w:jc w:val="left"/>
            </w:pPr>
            <w:r>
              <w:t xml:space="preserve">1</w:t>
            </w:r>
          </w:p>
        </w:tc>
      </w:tr>
      <w:tr>
        <w:tc>
          <w:p>
            <w:pPr>
              <w:pStyle w:val="Compact"/>
              <w:jc w:val="left"/>
            </w:pPr>
            <w:r>
              <w:t xml:space="preserve">By 31 Aug 2026</w:t>
            </w:r>
          </w:p>
        </w:tc>
        <w:tc>
          <w:p>
            <w:pPr>
              <w:pStyle w:val="Compact"/>
              <w:jc w:val="left"/>
            </w:pPr>
            <w:r>
              <w:t xml:space="preserve">First ~AU$400K of signed, match-eligible capital closed</w:t>
            </w:r>
          </w:p>
        </w:tc>
        <w:tc>
          <w:p>
            <w:pPr>
              <w:pStyle w:val="Compact"/>
              <w:jc w:val="left"/>
            </w:pPr>
            <w:r>
              <w:t xml:space="preserve">1</w:t>
            </w:r>
          </w:p>
        </w:tc>
      </w:tr>
      <w:tr>
        <w:tc>
          <w:p>
            <w:pPr>
              <w:pStyle w:val="Compact"/>
              <w:jc w:val="left"/>
            </w:pPr>
            <w:r>
              <w:t xml:space="preserve">Sept 2026</w:t>
            </w:r>
          </w:p>
        </w:tc>
        <w:tc>
          <w:p>
            <w:pPr>
              <w:pStyle w:val="Compact"/>
              <w:jc w:val="left"/>
            </w:pPr>
            <w:r>
              <w:t xml:space="preserve">QBE Stage 2 application submitted with legally-binding match evidence and accountant-endorsed Goods-only financials</w:t>
            </w:r>
          </w:p>
        </w:tc>
        <w:tc>
          <w:p>
            <w:pPr>
              <w:pStyle w:val="Compact"/>
              <w:jc w:val="left"/>
            </w:pPr>
            <w:r>
              <w:t xml:space="preserve">1</w:t>
            </w:r>
          </w:p>
        </w:tc>
      </w:tr>
      <w:tr>
        <w:tc>
          <w:p>
            <w:pPr>
              <w:pStyle w:val="Compact"/>
              <w:jc w:val="left"/>
            </w:pPr>
            <w:r>
              <w:t xml:space="preserve">By ~end Sept 2026</w:t>
            </w:r>
          </w:p>
        </w:tc>
        <w:tc>
          <w:p>
            <w:pPr>
              <w:pStyle w:val="Compact"/>
              <w:jc w:val="left"/>
            </w:pPr>
            <w:r>
              <w:t xml:space="preserve">50-bed in-source run complete; AU$425.74 confirmed or re-based</w:t>
            </w:r>
          </w:p>
        </w:tc>
        <w:tc>
          <w:p>
            <w:pPr>
              <w:pStyle w:val="Compact"/>
              <w:jc w:val="left"/>
            </w:pPr>
            <w:r>
              <w:t xml:space="preserve">1</w:t>
            </w:r>
          </w:p>
        </w:tc>
      </w:tr>
      <w:tr>
        <w:tc>
          <w:p>
            <w:pPr>
              <w:pStyle w:val="Compact"/>
              <w:jc w:val="left"/>
            </w:pPr>
            <w:r>
              <w:t xml:space="preserve">FY2026-27</w:t>
            </w:r>
          </w:p>
        </w:tc>
        <w:tc>
          <w:p>
            <w:pPr>
              <w:pStyle w:val="Compact"/>
              <w:jc w:val="left"/>
            </w:pPr>
            <w:r>
              <w:t xml:space="preserve">First institutional buyer moves grant → procurement; first community-employed operator</w:t>
            </w:r>
          </w:p>
        </w:tc>
        <w:tc>
          <w:p>
            <w:pPr>
              <w:pStyle w:val="Compact"/>
              <w:jc w:val="left"/>
            </w:pPr>
            <w:r>
              <w:t xml:space="preserve">2</w:t>
            </w:r>
          </w:p>
        </w:tc>
      </w:tr>
      <w:tr>
        <w:tc>
          <w:p>
            <w:pPr>
              <w:pStyle w:val="Compact"/>
              <w:jc w:val="left"/>
            </w:pPr>
            <w:r>
              <w:t xml:space="preserve">End FY2026-27</w:t>
            </w:r>
          </w:p>
        </w:tc>
        <w:tc>
          <w:p>
            <w:pPr>
              <w:pStyle w:val="Compact"/>
              <w:jc w:val="left"/>
            </w:pPr>
            <w:r>
              <w:t xml:space="preserve">First Aboriginal-controlled operating entity scoped; first distributed on-country plant sited against the place-readiness gate</w:t>
            </w:r>
          </w:p>
        </w:tc>
        <w:tc>
          <w:p>
            <w:pPr>
              <w:pStyle w:val="Compact"/>
              <w:jc w:val="left"/>
            </w:pPr>
            <w:r>
              <w:t xml:space="preserve">3</w:t>
            </w:r>
          </w:p>
        </w:tc>
      </w:tr>
    </w:tbl>
    <w:p>
      <w:pPr>
        <w:pStyle w:val="Heading2"/>
      </w:pPr>
      <w:bookmarkStart w:id="106" w:name="scenario-plan"/>
      <w:r>
        <w:t xml:space="preserve">Scenario plan</w:t>
      </w:r>
      <w:bookmarkEnd w:id="106"/>
    </w:p>
    <w:p>
      <w:pPr>
        <w:pStyle w:val="FirstParagraph"/>
      </w:pPr>
      <w:r>
        <w:t xml:space="preserve">These are the decisive forks, each tied to the raise. For each: the trigger we watch for, and the move we make. They are pre-agreed so the decision is not made under pressure.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Fork</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Action</w:t>
            </w:r>
          </w:p>
        </w:tc>
      </w:tr>
      <w:tr>
        <w:tc>
          <w:p>
            <w:pPr>
              <w:pStyle w:val="Compact"/>
              <w:jc w:val="left"/>
            </w:pPr>
            <w:r>
              <w:t xml:space="preserve">50-bed run —</w:t>
            </w:r>
            <w:r>
              <w:t xml:space="preserve"> </w:t>
            </w:r>
            <w:r>
              <w:rPr>
                <w:b/>
              </w:rPr>
              <w:t xml:space="preserve">PASS</w:t>
            </w:r>
          </w:p>
        </w:tc>
        <w:tc>
          <w:p>
            <w:pPr>
              <w:pStyle w:val="Compact"/>
              <w:jc w:val="left"/>
            </w:pPr>
            <w:r>
              <w:t xml:space="preserve">In-source run confirms AU$425.74 (or close)</w:t>
            </w:r>
          </w:p>
        </w:tc>
        <w:tc>
          <w:p>
            <w:pPr>
              <w:pStyle w:val="Compact"/>
              <w:jc w:val="left"/>
            </w:pPr>
            <w:r>
              <w:t xml:space="preserve">Scale the raise on the proven number; proceed toward the first distributed plant; tell funders the unit economics are measured, not modelled.</w:t>
            </w:r>
          </w:p>
        </w:tc>
      </w:tr>
      <w:tr>
        <w:tc>
          <w:p>
            <w:pPr>
              <w:pStyle w:val="Compact"/>
              <w:jc w:val="left"/>
            </w:pPr>
            <w:r>
              <w:t xml:space="preserve">50-bed run —</w:t>
            </w:r>
            <w:r>
              <w:t xml:space="preserve"> </w:t>
            </w:r>
            <w:r>
              <w:rPr>
                <w:b/>
              </w:rPr>
              <w:t xml:space="preserve">MISS</w:t>
            </w:r>
          </w:p>
        </w:tc>
        <w:tc>
          <w:p>
            <w:pPr>
              <w:pStyle w:val="Compact"/>
              <w:jc w:val="left"/>
            </w:pPr>
            <w:r>
              <w:t xml:space="preserve">Run lands materially above AU$425.74</w:t>
            </w:r>
          </w:p>
        </w:tc>
        <w:tc>
          <w:p>
            <w:pPr>
              <w:pStyle w:val="Compact"/>
              <w:jc w:val="left"/>
            </w:pPr>
            <w:r>
              <w:t xml:space="preserve">Re-base the entire ask honestly at AU$684.79; redo breakeven; do not present the in-source cost as proven; reset funder expectations before, not after.</w:t>
            </w:r>
          </w:p>
        </w:tc>
      </w:tr>
      <w:tr>
        <w:tc>
          <w:p>
            <w:pPr>
              <w:pStyle w:val="Compact"/>
              <w:jc w:val="left"/>
            </w:pPr>
            <w:r>
              <w:t xml:space="preserve">QBE match —</w:t>
            </w:r>
            <w:r>
              <w:t xml:space="preserve"> </w:t>
            </w:r>
            <w:r>
              <w:rPr>
                <w:b/>
              </w:rPr>
              <w:t xml:space="preserve">locks</w:t>
            </w:r>
          </w:p>
        </w:tc>
        <w:tc>
          <w:p>
            <w:pPr>
              <w:pStyle w:val="Compact"/>
              <w:jc w:val="left"/>
            </w:pPr>
            <w:r>
              <w:t xml:space="preserve">First ~AU$400K signed and verified by SIH at the Sept 2026 application</w:t>
            </w:r>
          </w:p>
        </w:tc>
        <w:tc>
          <w:p>
            <w:pPr>
              <w:pStyle w:val="Compact"/>
              <w:jc w:val="left"/>
            </w:pPr>
            <w:r>
              <w:t xml:space="preserve">Draw the match (up to AU$400K, ≥1:1, repayable preferred); deploy to plant capex + working-capital buffer + GM/BD hires per the use-of-funds plan.</w:t>
            </w:r>
          </w:p>
        </w:tc>
      </w:tr>
      <w:tr>
        <w:tc>
          <w:p>
            <w:pPr>
              <w:pStyle w:val="Compact"/>
              <w:jc w:val="left"/>
            </w:pPr>
            <w:r>
              <w:t xml:space="preserve">QBE match —</w:t>
            </w:r>
            <w:r>
              <w:t xml:space="preserve"> </w:t>
            </w:r>
            <w:r>
              <w:rPr>
                <w:b/>
              </w:rPr>
              <w:t xml:space="preserve">does not lock</w:t>
            </w:r>
          </w:p>
        </w:tc>
        <w:tc>
          <w:p>
            <w:pPr>
              <w:pStyle w:val="Compact"/>
              <w:jc w:val="left"/>
            </w:pPr>
            <w:r>
              <w:t xml:space="preserve">Match not legally binding by the Sept 2026 application</w:t>
            </w:r>
          </w:p>
        </w:tc>
        <w:tc>
          <w:p>
            <w:pPr>
              <w:pStyle w:val="Compact"/>
              <w:jc w:val="left"/>
            </w:pPr>
            <w:r>
              <w:t xml:space="preserve">Pursue the conditional-grant path SIH allows; keep converting the warmest LOI to signature; do not assume the match in any forward plan until it is verified.</w:t>
            </w:r>
          </w:p>
        </w:tc>
      </w:tr>
      <w:tr>
        <w:tc>
          <w:p>
            <w:pPr>
              <w:pStyle w:val="Compact"/>
              <w:jc w:val="left"/>
            </w:pPr>
            <w:r>
              <w:t xml:space="preserve">Capital comes in</w:t>
            </w:r>
            <w:r>
              <w:t xml:space="preserve"> </w:t>
            </w:r>
            <w:r>
              <w:rPr>
                <w:b/>
              </w:rPr>
              <w:t xml:space="preserve">slow</w:t>
            </w:r>
          </w:p>
        </w:tc>
        <w:tc>
          <w:p>
            <w:pPr>
              <w:pStyle w:val="Compact"/>
              <w:jc w:val="left"/>
            </w:pPr>
            <w:r>
              <w:t xml:space="preserve">Signed commitments arrive behind the August timeline</w:t>
            </w:r>
          </w:p>
        </w:tc>
        <w:tc>
          <w:p>
            <w:pPr>
              <w:pStyle w:val="Compact"/>
              <w:jc w:val="left"/>
            </w:pPr>
            <w:r>
              <w:rPr>
                <w:b/>
              </w:rPr>
              <w:t xml:space="preserve">Defer the next plant build.</w:t>
            </w:r>
            <w:r>
              <w:t xml:space="preserve"> </w:t>
            </w:r>
            <w:r>
              <w:t xml:space="preserve">Keep smaller funded batches moving, protect community trust, and do not take bridging debt just to hold momentum (debt only against matched demand).</w:t>
            </w:r>
          </w:p>
        </w:tc>
      </w:tr>
      <w:tr>
        <w:tc>
          <w:p>
            <w:pPr>
              <w:pStyle w:val="Compact"/>
              <w:jc w:val="left"/>
            </w:pPr>
            <w:r>
              <w:t xml:space="preserve">Capital comes in</w:t>
            </w:r>
            <w:r>
              <w:t xml:space="preserve"> </w:t>
            </w:r>
            <w:r>
              <w:rPr>
                <w:b/>
              </w:rPr>
              <w:t xml:space="preserve">strong</w:t>
            </w:r>
          </w:p>
        </w:tc>
        <w:tc>
          <w:p>
            <w:pPr>
              <w:pStyle w:val="Compact"/>
              <w:jc w:val="left"/>
            </w:pPr>
            <w:r>
              <w:t xml:space="preserve">Stack closes at or above target</w:t>
            </w:r>
          </w:p>
        </w:tc>
        <w:tc>
          <w:p>
            <w:pPr>
              <w:pStyle w:val="Compact"/>
              <w:jc w:val="left"/>
            </w:pPr>
            <w:r>
              <w:t xml:space="preserve">Proceed with the plant build — but resist central over-hiring; direct money to inventory, production readiness, local roles, finance controls, and repair/service loops.</w:t>
            </w:r>
          </w:p>
        </w:tc>
      </w:tr>
      <w:tr>
        <w:tc>
          <w:p>
            <w:pPr>
              <w:pStyle w:val="Compact"/>
              <w:jc w:val="left"/>
            </w:pPr>
            <w:r>
              <w:t xml:space="preserve">Cash is tight</w:t>
            </w:r>
          </w:p>
        </w:tc>
        <w:tc>
          <w:p>
            <w:pPr>
              <w:pStyle w:val="Compact"/>
              <w:jc w:val="left"/>
            </w:pPr>
            <w:r>
              <w:t xml:space="preserve">Runway pressure with capital not yet landed</w:t>
            </w:r>
          </w:p>
        </w:tc>
        <w:tc>
          <w:p>
            <w:pPr>
              <w:pStyle w:val="Compact"/>
              <w:jc w:val="left"/>
            </w:pPr>
            <w:r>
              <w:rPr>
                <w:b/>
              </w:rPr>
              <w:t xml:space="preserve">Compress geographic scope.</w:t>
            </w:r>
            <w:r>
              <w:t xml:space="preserve"> </w:t>
            </w:r>
            <w:r>
              <w:t xml:space="preserve">Concentrate on the deepest, highest-readiness relationships (Palm Island, Tennant Creek, Alice Homelands) rather than spreading thin; pause new-community expansion until cash and the proven cost support it.</w:t>
            </w:r>
          </w:p>
        </w:tc>
      </w:tr>
    </w:tbl>
    <w:p>
      <w:pPr>
        <w:pStyle w:val="Heading2"/>
      </w:pPr>
      <w:bookmarkStart w:id="107" w:name="the-risk-half-of-this-area"/>
      <w:r>
        <w:t xml:space="preserve">The risk half of this area</w:t>
      </w:r>
      <w:bookmarkEnd w:id="107"/>
    </w:p>
    <w:p>
      <w:pPr>
        <w:pStyle w:val="FirstParagraph"/>
      </w:pPr>
      <w:r>
        <w:t xml:space="preserve">The scored risk register — 14 risks, likelihood × consequence, named owners, shareability, the</w:t>
      </w:r>
      <w:r>
        <w:t xml:space="preserve"> </w:t>
      </w:r>
      <w:r>
        <w:t xml:space="preserve">“</w:t>
      </w:r>
      <w:r>
        <w:t xml:space="preserve">do no harm</w:t>
      </w:r>
      <w:r>
        <w:t xml:space="preserve">”</w:t>
      </w:r>
      <w:r>
        <w:t xml:space="preserve"> </w:t>
      </w:r>
      <w:r>
        <w:t xml:space="preserve">frame, and the review cadence — is in</w:t>
      </w:r>
      <w:r>
        <w:t xml:space="preserve"> </w:t>
      </w:r>
      <w:r>
        <w:rPr>
          <w:rStyle w:val="VerbatimChar"/>
        </w:rPr>
        <w:t xml:space="preserve">06-risk-register.md</w:t>
      </w:r>
      <w:r>
        <w:t xml:space="preserve">. It is the companion to this plan; Area 05 is the two documents together.</w:t>
      </w:r>
    </w:p>
    <w:p>
      <w:r>
        <w:br w:type="page"/>
      </w:r>
    </w:p>
    <w:p>
      <w:pPr>
        <w:pStyle w:val="Heading1"/>
      </w:pPr>
      <w:bookmarkStart w:id="108" w:name="area-5-risk-register"/>
      <w:r>
        <w:t xml:space="preserve">Area 5 · Risk Register</w:t>
      </w:r>
      <w:bookmarkEnd w:id="108"/>
    </w:p>
    <w:p>
      <w:pPr>
        <w:pStyle w:val="Heading1"/>
      </w:pPr>
      <w:bookmarkStart w:id="109" w:name="scored-risk-register"/>
      <w:r>
        <w:t xml:space="preserve">Scored risk register</w:t>
      </w:r>
      <w:bookmarkEnd w:id="109"/>
    </w:p>
    <w:p>
      <w:pPr>
        <w:pStyle w:val="BlockText"/>
      </w:pPr>
      <w:r>
        <w:rPr>
          <w:b/>
        </w:rPr>
        <w:t xml:space="preserve">What this is.</w:t>
      </w:r>
      <w:r>
        <w:t xml:space="preserve"> </w:t>
      </w:r>
      <w:r>
        <w:t xml:space="preserve">The working risk picture from the strategy synthesis, converted into a scored register with a defined likelihood × consequence scale, named owners, and a shareability decision on every line. It exists so the same risks get reviewed every month against the same scale, and so we know — before anything leaves the building — which lines are safe to put in front of QBE and which stay with the founders, the accountant, and legal.</w:t>
      </w:r>
    </w:p>
    <w:p>
      <w:pPr>
        <w:pStyle w:val="BlockText"/>
      </w:pPr>
      <w:r>
        <w:rPr>
          <w:b/>
        </w:rPr>
        <w:t xml:space="preserve">It is not audited.</w:t>
      </w:r>
      <w:r>
        <w:t xml:space="preserve"> </w:t>
      </w:r>
      <w:r>
        <w:t xml:space="preserve">This is a founder-review draft. The scores are judgement calls anchored to the evidence in the master alignment map, not an independent assessment. Several of the highest-scoring risks concern things that are explicitly</w:t>
      </w:r>
      <w:r>
        <w:t xml:space="preserve"> </w:t>
      </w:r>
      <w:r>
        <w:rPr>
          <w:i/>
        </w:rPr>
        <w:t xml:space="preserve">unsettled</w:t>
      </w:r>
      <w:r>
        <w:t xml:space="preserve"> </w:t>
      </w:r>
      <w:r>
        <w:t xml:space="preserve">— the entity, the QBE match, capital decisions, and the community-production model. Those are marked Internal-only or worded for external use, per the pack’s public-copy rule: nothing unresolved gets presented as settled.</w:t>
      </w:r>
    </w:p>
    <w:p>
      <w:r>
        <w:pict>
          <v:rect style="width:0;height:1.5pt" o:hralign="center" o:hrstd="t" o:hr="t"/>
        </w:pict>
      </w:r>
    </w:p>
    <w:p>
      <w:pPr>
        <w:pStyle w:val="Heading2"/>
      </w:pPr>
      <w:bookmarkStart w:id="110" w:name="how-to-read-this-the-scoring-key"/>
      <w:r>
        <w:t xml:space="preserve">How to read this — the scoring key</w:t>
      </w:r>
      <w:bookmarkEnd w:id="110"/>
    </w:p>
    <w:p>
      <w:pPr>
        <w:pStyle w:val="FirstParagraph"/>
      </w:pPr>
      <w:r>
        <w:t xml:space="preserve">Each risk is scored on two 1–5 scales. The score is</w:t>
      </w:r>
      <w:r>
        <w:t xml:space="preserve"> </w:t>
      </w:r>
      <w:r>
        <w:rPr>
          <w:b/>
        </w:rPr>
        <w:t xml:space="preserve">Likelihood × Consequence</w:t>
      </w:r>
      <w:r>
        <w:t xml:space="preserve"> </w:t>
      </w:r>
      <w:r>
        <w:t xml:space="preserve">(range 1–25), bucketed into four bands.</w:t>
      </w:r>
    </w:p>
    <w:p>
      <w:pPr>
        <w:pStyle w:val="BodyText"/>
      </w:pPr>
      <w:r>
        <w:rPr>
          <w:b/>
        </w:rPr>
        <w:t xml:space="preserve">Likelihood (L) — how probable in the next 12 months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w:t>
            </w:r>
          </w:p>
        </w:tc>
        <w:tc>
          <w:tcPr>
            <w:tcBorders>
              <w:bottom w:val="single"/>
            </w:tcBorders>
            <w:vAlign w:val="bottom"/>
          </w:tcPr>
          <w:p>
            <w:pPr>
              <w:pStyle w:val="Compact"/>
              <w:jc w:val="left"/>
            </w:pPr>
            <w:r>
              <w:t xml:space="preserve">Meaning</w:t>
            </w:r>
          </w:p>
        </w:tc>
      </w:tr>
      <w:tr>
        <w:tc>
          <w:p>
            <w:pPr>
              <w:pStyle w:val="Compact"/>
              <w:jc w:val="left"/>
            </w:pPr>
            <w:r>
              <w:t xml:space="preserve">1</w:t>
            </w:r>
          </w:p>
        </w:tc>
        <w:tc>
          <w:p>
            <w:pPr>
              <w:pStyle w:val="Compact"/>
              <w:jc w:val="left"/>
            </w:pPr>
            <w:r>
              <w:t xml:space="preserve">Rare — would be a surprise</w:t>
            </w:r>
          </w:p>
        </w:tc>
      </w:tr>
      <w:tr>
        <w:tc>
          <w:p>
            <w:pPr>
              <w:pStyle w:val="Compact"/>
              <w:jc w:val="left"/>
            </w:pPr>
            <w:r>
              <w:t xml:space="preserve">2</w:t>
            </w:r>
          </w:p>
        </w:tc>
        <w:tc>
          <w:p>
            <w:pPr>
              <w:pStyle w:val="Compact"/>
              <w:jc w:val="left"/>
            </w:pPr>
            <w:r>
              <w:t xml:space="preserve">Unlikely — possible but not expected</w:t>
            </w:r>
          </w:p>
        </w:tc>
      </w:tr>
      <w:tr>
        <w:tc>
          <w:p>
            <w:pPr>
              <w:pStyle w:val="Compact"/>
              <w:jc w:val="left"/>
            </w:pPr>
            <w:r>
              <w:t xml:space="preserve">3</w:t>
            </w:r>
          </w:p>
        </w:tc>
        <w:tc>
          <w:p>
            <w:pPr>
              <w:pStyle w:val="Compact"/>
              <w:jc w:val="left"/>
            </w:pPr>
            <w:r>
              <w:t xml:space="preserve">Possible — even odds over the period</w:t>
            </w:r>
          </w:p>
        </w:tc>
      </w:tr>
      <w:tr>
        <w:tc>
          <w:p>
            <w:pPr>
              <w:pStyle w:val="Compact"/>
              <w:jc w:val="left"/>
            </w:pPr>
            <w:r>
              <w:t xml:space="preserve">4</w:t>
            </w:r>
          </w:p>
        </w:tc>
        <w:tc>
          <w:p>
            <w:pPr>
              <w:pStyle w:val="Compact"/>
              <w:jc w:val="left"/>
            </w:pPr>
            <w:r>
              <w:t xml:space="preserve">Likely — expected unless something changes</w:t>
            </w:r>
          </w:p>
        </w:tc>
      </w:tr>
      <w:tr>
        <w:tc>
          <w:p>
            <w:pPr>
              <w:pStyle w:val="Compact"/>
              <w:jc w:val="left"/>
            </w:pPr>
            <w:r>
              <w:t xml:space="preserve">5</w:t>
            </w:r>
          </w:p>
        </w:tc>
        <w:tc>
          <w:p>
            <w:pPr>
              <w:pStyle w:val="Compact"/>
              <w:jc w:val="left"/>
            </w:pPr>
            <w:r>
              <w:t xml:space="preserve">Almost certain / already happening</w:t>
            </w:r>
          </w:p>
        </w:tc>
      </w:tr>
    </w:tbl>
    <w:p>
      <w:pPr>
        <w:pStyle w:val="BodyText"/>
      </w:pPr>
      <w:r>
        <w:rPr>
          <w:b/>
        </w:rPr>
        <w:t xml:space="preserve">Consequence (C) — severity if it occurs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w:t>
            </w:r>
          </w:p>
        </w:tc>
        <w:tc>
          <w:tcPr>
            <w:tcBorders>
              <w:bottom w:val="single"/>
            </w:tcBorders>
            <w:vAlign w:val="bottom"/>
          </w:tcPr>
          <w:p>
            <w:pPr>
              <w:pStyle w:val="Compact"/>
              <w:jc w:val="left"/>
            </w:pPr>
            <w:r>
              <w:t xml:space="preserve">Meaning</w:t>
            </w:r>
          </w:p>
        </w:tc>
      </w:tr>
      <w:tr>
        <w:tc>
          <w:p>
            <w:pPr>
              <w:pStyle w:val="Compact"/>
              <w:jc w:val="left"/>
            </w:pPr>
            <w:r>
              <w:t xml:space="preserve">1</w:t>
            </w:r>
          </w:p>
        </w:tc>
        <w:tc>
          <w:p>
            <w:pPr>
              <w:pStyle w:val="Compact"/>
              <w:jc w:val="left"/>
            </w:pPr>
            <w:r>
              <w:t xml:space="preserve">Minor — absorbed in normal operations</w:t>
            </w:r>
          </w:p>
        </w:tc>
      </w:tr>
      <w:tr>
        <w:tc>
          <w:p>
            <w:pPr>
              <w:pStyle w:val="Compact"/>
              <w:jc w:val="left"/>
            </w:pPr>
            <w:r>
              <w:t xml:space="preserve">2</w:t>
            </w:r>
          </w:p>
        </w:tc>
        <w:tc>
          <w:p>
            <w:pPr>
              <w:pStyle w:val="Compact"/>
              <w:jc w:val="left"/>
            </w:pPr>
            <w:r>
              <w:t xml:space="preserve">Moderate — a setback, recoverable in weeks</w:t>
            </w:r>
          </w:p>
        </w:tc>
      </w:tr>
      <w:tr>
        <w:tc>
          <w:p>
            <w:pPr>
              <w:pStyle w:val="Compact"/>
              <w:jc w:val="left"/>
            </w:pPr>
            <w:r>
              <w:t xml:space="preserve">3</w:t>
            </w:r>
          </w:p>
        </w:tc>
        <w:tc>
          <w:p>
            <w:pPr>
              <w:pStyle w:val="Compact"/>
              <w:jc w:val="left"/>
            </w:pPr>
            <w:r>
              <w:t xml:space="preserve">Serious — sets the plan back a quarter or damages a relationship</w:t>
            </w:r>
          </w:p>
        </w:tc>
      </w:tr>
      <w:tr>
        <w:tc>
          <w:p>
            <w:pPr>
              <w:pStyle w:val="Compact"/>
              <w:jc w:val="left"/>
            </w:pPr>
            <w:r>
              <w:t xml:space="preserve">4</w:t>
            </w:r>
          </w:p>
        </w:tc>
        <w:tc>
          <w:p>
            <w:pPr>
              <w:pStyle w:val="Compact"/>
              <w:jc w:val="left"/>
            </w:pPr>
            <w:r>
              <w:t xml:space="preserve">Major — threatens the raise, a community relationship, or safety</w:t>
            </w:r>
          </w:p>
        </w:tc>
      </w:tr>
      <w:tr>
        <w:tc>
          <w:p>
            <w:pPr>
              <w:pStyle w:val="Compact"/>
              <w:jc w:val="left"/>
            </w:pPr>
            <w:r>
              <w:t xml:space="preserve">5</w:t>
            </w:r>
          </w:p>
        </w:tc>
        <w:tc>
          <w:p>
            <w:pPr>
              <w:pStyle w:val="Compact"/>
              <w:jc w:val="left"/>
            </w:pPr>
            <w:r>
              <w:t xml:space="preserve">Severe — physical harm, loss of community trust at scale, or organisation-ending</w:t>
            </w:r>
          </w:p>
        </w:tc>
      </w:tr>
    </w:tbl>
    <w:p>
      <w:pPr>
        <w:pStyle w:val="BodyText"/>
      </w:pPr>
      <w:r>
        <w:rPr>
          <w:b/>
        </w:rPr>
        <w:t xml:space="preserve">Score bands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Score (L×C)</w:t>
            </w:r>
          </w:p>
        </w:tc>
        <w:tc>
          <w:tcPr>
            <w:tcBorders>
              <w:bottom w:val="single"/>
            </w:tcBorders>
            <w:vAlign w:val="bottom"/>
          </w:tcPr>
          <w:p>
            <w:pPr>
              <w:pStyle w:val="Compact"/>
              <w:jc w:val="left"/>
            </w:pPr>
            <w:r>
              <w:t xml:space="preserve">Meaning</w:t>
            </w:r>
          </w:p>
        </w:tc>
      </w:tr>
      <w:tr>
        <w:tc>
          <w:p>
            <w:pPr>
              <w:pStyle w:val="Compact"/>
              <w:jc w:val="left"/>
            </w:pPr>
            <w:r>
              <w:rPr>
                <w:b/>
              </w:rPr>
              <w:t xml:space="preserve">Critical</w:t>
            </w:r>
          </w:p>
        </w:tc>
        <w:tc>
          <w:p>
            <w:pPr>
              <w:pStyle w:val="Compact"/>
              <w:jc w:val="left"/>
            </w:pPr>
            <w:r>
              <w:t xml:space="preserve">20–25</w:t>
            </w:r>
          </w:p>
        </w:tc>
        <w:tc>
          <w:p>
            <w:pPr>
              <w:pStyle w:val="Compact"/>
              <w:jc w:val="left"/>
            </w:pPr>
            <w:r>
              <w:t xml:space="preserve">Act now; carry to every founder and governance review</w:t>
            </w:r>
          </w:p>
        </w:tc>
      </w:tr>
      <w:tr>
        <w:tc>
          <w:p>
            <w:pPr>
              <w:pStyle w:val="Compact"/>
              <w:jc w:val="left"/>
            </w:pPr>
            <w:r>
              <w:rPr>
                <w:b/>
              </w:rPr>
              <w:t xml:space="preserve">High</w:t>
            </w:r>
          </w:p>
        </w:tc>
        <w:tc>
          <w:p>
            <w:pPr>
              <w:pStyle w:val="Compact"/>
              <w:jc w:val="left"/>
            </w:pPr>
            <w:r>
              <w:t xml:space="preserve">12–19</w:t>
            </w:r>
          </w:p>
        </w:tc>
        <w:tc>
          <w:p>
            <w:pPr>
              <w:pStyle w:val="Compact"/>
              <w:jc w:val="left"/>
            </w:pPr>
            <w:r>
              <w:t xml:space="preserve">Active mitigation with a named owner and a next action</w:t>
            </w:r>
          </w:p>
        </w:tc>
      </w:tr>
      <w:tr>
        <w:tc>
          <w:p>
            <w:pPr>
              <w:pStyle w:val="Compact"/>
              <w:jc w:val="left"/>
            </w:pPr>
            <w:r>
              <w:rPr>
                <w:b/>
              </w:rPr>
              <w:t xml:space="preserve">Medium</w:t>
            </w:r>
          </w:p>
        </w:tc>
        <w:tc>
          <w:p>
            <w:pPr>
              <w:pStyle w:val="Compact"/>
              <w:jc w:val="left"/>
            </w:pPr>
            <w:r>
              <w:t xml:space="preserve">6–11</w:t>
            </w:r>
          </w:p>
        </w:tc>
        <w:tc>
          <w:p>
            <w:pPr>
              <w:pStyle w:val="Compact"/>
              <w:jc w:val="left"/>
            </w:pPr>
            <w:r>
              <w:t xml:space="preserve">Managed; review monthly</w:t>
            </w:r>
          </w:p>
        </w:tc>
      </w:tr>
      <w:tr>
        <w:tc>
          <w:p>
            <w:pPr>
              <w:pStyle w:val="Compact"/>
              <w:jc w:val="left"/>
            </w:pPr>
            <w:r>
              <w:rPr>
                <w:b/>
              </w:rPr>
              <w:t xml:space="preserve">Low</w:t>
            </w:r>
          </w:p>
        </w:tc>
        <w:tc>
          <w:p>
            <w:pPr>
              <w:pStyle w:val="Compact"/>
              <w:jc w:val="left"/>
            </w:pPr>
            <w:r>
              <w:t xml:space="preserve">1–5</w:t>
            </w:r>
          </w:p>
        </w:tc>
        <w:tc>
          <w:p>
            <w:pPr>
              <w:pStyle w:val="Compact"/>
              <w:jc w:val="left"/>
            </w:pPr>
            <w:r>
              <w:t xml:space="preserve">Monitor; review quarterly</w:t>
            </w:r>
          </w:p>
        </w:tc>
      </w:tr>
    </w:tbl>
    <w:p>
      <w:pPr>
        <w:pStyle w:val="BodyText"/>
      </w:pPr>
      <w:r>
        <w:rPr>
          <w:b/>
        </w:rPr>
        <w:t xml:space="preserve">Shareability</w:t>
      </w:r>
      <w:r>
        <w:t xml:space="preserve"> </w:t>
      </w:r>
      <w:r>
        <w:t xml:space="preserve">—</w:t>
      </w:r>
      <w:r>
        <w:t xml:space="preserve"> </w:t>
      </w:r>
      <w:r>
        <w:rPr>
          <w:rStyle w:val="VerbatimChar"/>
        </w:rPr>
        <w:t xml:space="preserve">QBE-shareable</w:t>
      </w:r>
      <w:r>
        <w:t xml:space="preserve"> </w:t>
      </w:r>
      <w:r>
        <w:t xml:space="preserve">(safe to put in front of QBE / catalytic funders as worded) or</w:t>
      </w:r>
      <w:r>
        <w:t xml:space="preserve"> </w:t>
      </w:r>
      <w:r>
        <w:rPr>
          <w:rStyle w:val="VerbatimChar"/>
        </w:rPr>
        <w:t xml:space="preserve">Internal only</w:t>
      </w:r>
      <w:r>
        <w:t xml:space="preserve"> </w:t>
      </w:r>
      <w:r>
        <w:t xml:space="preserve">(founder / accountant / legal — concerns an unsettled entity, the QBE match, a capital decision, or the community-ownership model, and must not be presented externally as settled).</w:t>
      </w:r>
    </w:p>
    <w:p>
      <w:pPr>
        <w:pStyle w:val="BodyText"/>
      </w:pPr>
      <w:r>
        <w:rPr>
          <w:b/>
        </w:rPr>
        <w:t xml:space="preserve">Owner</w:t>
      </w:r>
      <w:r>
        <w:t xml:space="preserve"> </w:t>
      </w:r>
      <w:r>
        <w:t xml:space="preserve">— single accountable person, even where work is shared.</w:t>
      </w:r>
      <w:r>
        <w:t xml:space="preserve"> </w:t>
      </w:r>
      <w:r>
        <w:rPr>
          <w:rStyle w:val="VerbatimChar"/>
        </w:rPr>
        <w:t xml:space="preserve">Added by analysis</w:t>
      </w:r>
      <w:r>
        <w:t xml:space="preserve"> </w:t>
      </w:r>
      <w:r>
        <w:t xml:space="preserve">marks risks reasoned in beyond the synthesis list.</w:t>
      </w:r>
    </w:p>
    <w:p>
      <w:r>
        <w:pict>
          <v:rect style="width:0;height:1.5pt" o:hralign="center" o:hrstd="t" o:hr="t"/>
        </w:pict>
      </w:r>
    </w:p>
    <w:p>
      <w:pPr>
        <w:pStyle w:val="Heading2"/>
      </w:pPr>
      <w:bookmarkStart w:id="111" w:name="X7682b3f6a32cd20ffa1cd446c5f170049c7c35a"/>
      <w:r>
        <w:t xml:space="preserve">The register (ordered by score, highest first)</w:t>
      </w:r>
      <w:bookmarkEnd w:id="111"/>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L</w:t>
            </w:r>
          </w:p>
        </w:tc>
        <w:tc>
          <w:tcPr>
            <w:tcBorders>
              <w:bottom w:val="single"/>
            </w:tcBorders>
            <w:vAlign w:val="bottom"/>
          </w:tcPr>
          <w:p>
            <w:pPr>
              <w:pStyle w:val="Compact"/>
              <w:jc w:val="left"/>
            </w:pPr>
            <w:r>
              <w:t xml:space="preserve">C</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Current status</w:t>
            </w:r>
          </w:p>
        </w:tc>
        <w:tc>
          <w:tcPr>
            <w:tcBorders>
              <w:bottom w:val="single"/>
            </w:tcBorders>
            <w:vAlign w:val="bottom"/>
          </w:tcPr>
          <w:p>
            <w:pPr>
              <w:pStyle w:val="Compact"/>
              <w:jc w:val="left"/>
            </w:pPr>
            <w:r>
              <w:t xml:space="preserve">Mitigation / next control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Shareability</w:t>
            </w:r>
          </w:p>
        </w:tc>
      </w:tr>
      <w:tr>
        <w:tc>
          <w:p>
            <w:pPr>
              <w:pStyle w:val="Compact"/>
              <w:jc w:val="left"/>
            </w:pPr>
            <w:r>
              <w:t xml:space="preserve">R1</w:t>
            </w:r>
          </w:p>
        </w:tc>
        <w:tc>
          <w:p>
            <w:pPr>
              <w:pStyle w:val="Compact"/>
              <w:jc w:val="left"/>
            </w:pPr>
            <w:r>
              <w:rPr>
                <w:b/>
              </w:rPr>
              <w:t xml:space="preserve">Key-person / founder bottleneck</w:t>
            </w:r>
            <w:r>
              <w:t xml:space="preserve"> </w:t>
            </w:r>
            <w:r>
              <w:t xml:space="preserve">— two FTE founders hold every buyer, funder, production and community thread.</w:t>
            </w:r>
          </w:p>
        </w:tc>
        <w:tc>
          <w:p>
            <w:pPr>
              <w:pStyle w:val="Compact"/>
              <w:jc w:val="left"/>
            </w:pPr>
            <w:r>
              <w:t xml:space="preserve">People</w:t>
            </w:r>
          </w:p>
        </w:tc>
        <w:tc>
          <w:p>
            <w:pPr>
              <w:pStyle w:val="Compact"/>
              <w:jc w:val="left"/>
            </w:pPr>
            <w:r>
              <w:t xml:space="preserve">5</w:t>
            </w:r>
          </w:p>
        </w:tc>
        <w:tc>
          <w:p>
            <w:pPr>
              <w:pStyle w:val="Compact"/>
              <w:jc w:val="left"/>
            </w:pPr>
            <w:r>
              <w:t xml:space="preserve">4</w:t>
            </w:r>
          </w:p>
        </w:tc>
        <w:tc>
          <w:p>
            <w:pPr>
              <w:pStyle w:val="Compact"/>
              <w:jc w:val="left"/>
            </w:pPr>
            <w:r>
              <w:rPr>
                <w:b/>
              </w:rPr>
              <w:t xml:space="preserve">20</w:t>
            </w:r>
          </w:p>
        </w:tc>
        <w:tc>
          <w:p>
            <w:pPr>
              <w:pStyle w:val="Compact"/>
              <w:jc w:val="left"/>
            </w:pPr>
            <w:r>
              <w:t xml:space="preserve">Critical</w:t>
            </w:r>
          </w:p>
        </w:tc>
        <w:tc>
          <w:p>
            <w:pPr>
              <w:pStyle w:val="Compact"/>
              <w:jc w:val="left"/>
            </w:pPr>
            <w:r>
              <w:t xml:space="preserve">Already happening. Two priority hires (GM + BD lead) identified; interim cover via QBE skilled-volunteering + 6-session PIN mentoring.</w:t>
            </w:r>
          </w:p>
        </w:tc>
        <w:tc>
          <w:p>
            <w:pPr>
              <w:pStyle w:val="Compact"/>
              <w:jc w:val="left"/>
            </w:pPr>
            <w:r>
              <w:t xml:space="preserve">Delegation map; document what has become teachable vs founder-only; sequence the GM hire against the raise.</w:t>
            </w:r>
          </w:p>
        </w:tc>
        <w:tc>
          <w:p>
            <w:pPr>
              <w:pStyle w:val="Compact"/>
              <w:jc w:val="left"/>
            </w:pPr>
            <w:r>
              <w:t xml:space="preserve">Ben</w:t>
            </w:r>
          </w:p>
        </w:tc>
        <w:tc>
          <w:p>
            <w:pPr>
              <w:pStyle w:val="Compact"/>
              <w:jc w:val="left"/>
            </w:pPr>
            <w:r>
              <w:t xml:space="preserve">QBE-shareable (worded as a known constraint with a hiring plan, not a crisis)</w:t>
            </w:r>
          </w:p>
        </w:tc>
      </w:tr>
      <w:tr>
        <w:tc>
          <w:p>
            <w:pPr>
              <w:pStyle w:val="Compact"/>
              <w:jc w:val="left"/>
            </w:pPr>
            <w:r>
              <w:t xml:space="preserve">R2</w:t>
            </w:r>
          </w:p>
        </w:tc>
        <w:tc>
          <w:p>
            <w:pPr>
              <w:pStyle w:val="Compact"/>
              <w:jc w:val="left"/>
            </w:pPr>
            <w:r>
              <w:rPr>
                <w:b/>
              </w:rPr>
              <w:t xml:space="preserve">Story / data consent</w:t>
            </w:r>
            <w:r>
              <w:t xml:space="preserve"> </w:t>
            </w:r>
            <w:r>
              <w:t xml:space="preserve">— a transcript, image, name or CRM/product record is used or shared without the person’s control.</w:t>
            </w:r>
          </w:p>
        </w:tc>
        <w:tc>
          <w:p>
            <w:pPr>
              <w:pStyle w:val="Compact"/>
              <w:jc w:val="left"/>
            </w:pPr>
            <w:r>
              <w:t xml:space="preserve">Consent / data sovereignty</w:t>
            </w:r>
          </w:p>
        </w:tc>
        <w:tc>
          <w:p>
            <w:pPr>
              <w:pStyle w:val="Compact"/>
              <w:jc w:val="left"/>
            </w:pPr>
            <w:r>
              <w:t xml:space="preserve">4</w:t>
            </w:r>
          </w:p>
        </w:tc>
        <w:tc>
          <w:p>
            <w:pPr>
              <w:pStyle w:val="Compact"/>
              <w:jc w:val="left"/>
            </w:pPr>
            <w:r>
              <w:t xml:space="preserve">5</w:t>
            </w:r>
          </w:p>
        </w:tc>
        <w:tc>
          <w:p>
            <w:pPr>
              <w:pStyle w:val="Compact"/>
              <w:jc w:val="left"/>
            </w:pPr>
            <w:r>
              <w:rPr>
                <w:b/>
              </w:rPr>
              <w:t xml:space="preserve">20</w:t>
            </w:r>
          </w:p>
        </w:tc>
        <w:tc>
          <w:p>
            <w:pPr>
              <w:pStyle w:val="Compact"/>
              <w:jc w:val="left"/>
            </w:pPr>
            <w:r>
              <w:t xml:space="preserve">Critical</w:t>
            </w:r>
          </w:p>
        </w:tc>
        <w:tc>
          <w:p>
            <w:pPr>
              <w:pStyle w:val="Compact"/>
              <w:jc w:val="left"/>
            </w:pPr>
            <w:r>
              <w:t xml:space="preserve">Consent practice in place; 12 consented stories syndicated; only Ivy Johnson + Dianne Stokes headshots cleared for external use, others consent-pending. Plaintext passwords still in Notion (open item).</w:t>
            </w:r>
          </w:p>
        </w:tc>
        <w:tc>
          <w:p>
            <w:pPr>
              <w:pStyle w:val="Compact"/>
              <w:jc w:val="left"/>
            </w:pPr>
            <w:r>
              <w:t xml:space="preserve">Consent-led source review before any external use; redacted/de-identified examples only; rotate plaintext passwords out of Notion; run the consent gate before publishing anything.</w:t>
            </w:r>
          </w:p>
        </w:tc>
        <w:tc>
          <w:p>
            <w:pPr>
              <w:pStyle w:val="Compact"/>
              <w:jc w:val="left"/>
            </w:pPr>
            <w:r>
              <w:t xml:space="preserve">Ben</w:t>
            </w:r>
          </w:p>
        </w:tc>
        <w:tc>
          <w:p>
            <w:pPr>
              <w:pStyle w:val="Compact"/>
              <w:jc w:val="left"/>
            </w:pPr>
            <w:r>
              <w:t xml:space="preserve">Internal only (the</w:t>
            </w:r>
            <w:r>
              <w:t xml:space="preserve"> </w:t>
            </w:r>
            <w:r>
              <w:rPr>
                <w:i/>
              </w:rPr>
              <w:t xml:space="preserve">practice</w:t>
            </w:r>
            <w:r>
              <w:t xml:space="preserve"> </w:t>
            </w:r>
            <w:r>
              <w:t xml:space="preserve">is QBE-shareable; the specific gaps and the pending-consent list are not)</w:t>
            </w:r>
          </w:p>
        </w:tc>
      </w:tr>
      <w:tr>
        <w:tc>
          <w:p>
            <w:pPr>
              <w:pStyle w:val="Compact"/>
              <w:jc w:val="left"/>
            </w:pPr>
            <w:r>
              <w:t xml:space="preserve">R3</w:t>
            </w:r>
          </w:p>
        </w:tc>
        <w:tc>
          <w:p>
            <w:pPr>
              <w:pStyle w:val="Compact"/>
              <w:jc w:val="left"/>
            </w:pPr>
            <w:r>
              <w:rPr>
                <w:b/>
              </w:rPr>
              <w:t xml:space="preserve">Cashflow</w:t>
            </w:r>
            <w:r>
              <w:t xml:space="preserve"> </w:t>
            </w:r>
            <w:r>
              <w:t xml:space="preserve">— costs land before grant, customer or partner payments arrive.</w:t>
            </w:r>
          </w:p>
        </w:tc>
        <w:tc>
          <w:p>
            <w:pPr>
              <w:pStyle w:val="Compact"/>
              <w:jc w:val="left"/>
            </w:pPr>
            <w:r>
              <w:t xml:space="preserve">Financial</w:t>
            </w:r>
          </w:p>
        </w:tc>
        <w:tc>
          <w:p>
            <w:pPr>
              <w:pStyle w:val="Compact"/>
              <w:jc w:val="left"/>
            </w:pPr>
            <w:r>
              <w:t xml:space="preserve">4</w:t>
            </w:r>
          </w:p>
        </w:tc>
        <w:tc>
          <w:p>
            <w:pPr>
              <w:pStyle w:val="Compact"/>
              <w:jc w:val="left"/>
            </w:pPr>
            <w:r>
              <w:t xml:space="preserve">4</w:t>
            </w:r>
          </w:p>
        </w:tc>
        <w:tc>
          <w:p>
            <w:pPr>
              <w:pStyle w:val="Compact"/>
              <w:jc w:val="left"/>
            </w:pPr>
            <w:r>
              <w:rPr>
                <w:b/>
              </w:rPr>
              <w:t xml:space="preserve">16</w:t>
            </w:r>
          </w:p>
        </w:tc>
        <w:tc>
          <w:p>
            <w:pPr>
              <w:pStyle w:val="Compact"/>
              <w:jc w:val="left"/>
            </w:pPr>
            <w:r>
              <w:t xml:space="preserve">High</w:t>
            </w:r>
          </w:p>
        </w:tc>
        <w:tc>
          <w:p>
            <w:pPr>
              <w:pStyle w:val="Compact"/>
              <w:jc w:val="left"/>
            </w:pPr>
            <w:r>
              <w:t xml:space="preserve">High likelihood by design — ~89% grant-funded, lumpy receipts; collection rate 88.8% [WORKPAPER]. No cashflow-buffer policy yet.</w:t>
            </w:r>
          </w:p>
        </w:tc>
        <w:tc>
          <w:p>
            <w:pPr>
              <w:pStyle w:val="Compact"/>
              <w:jc w:val="left"/>
            </w:pPr>
            <w:r>
              <w:t xml:space="preserve">Working-capital model with payment-milestone rules; set a buffer policy; do not build inventory or deploy plant ahead of payment timing.</w:t>
            </w:r>
          </w:p>
        </w:tc>
        <w:tc>
          <w:p>
            <w:pPr>
              <w:pStyle w:val="Compact"/>
              <w:jc w:val="left"/>
            </w:pPr>
            <w:r>
              <w:t xml:space="preserve">Nic</w:t>
            </w:r>
          </w:p>
        </w:tc>
        <w:tc>
          <w:p>
            <w:pPr>
              <w:pStyle w:val="Compact"/>
              <w:jc w:val="left"/>
            </w:pPr>
            <w:r>
              <w:t xml:space="preserve">Internal only (cash timing and the absence of a buffer policy stay with founders/accountant; the working-capital discipline can be described to QBE)</w:t>
            </w:r>
          </w:p>
        </w:tc>
      </w:tr>
      <w:tr>
        <w:tc>
          <w:p>
            <w:pPr>
              <w:pStyle w:val="Compact"/>
              <w:jc w:val="left"/>
            </w:pPr>
            <w:r>
              <w:t xml:space="preserve">R4</w:t>
            </w:r>
          </w:p>
        </w:tc>
        <w:tc>
          <w:p>
            <w:pPr>
              <w:pStyle w:val="Compact"/>
              <w:jc w:val="left"/>
            </w:pPr>
            <w:r>
              <w:rPr>
                <w:b/>
              </w:rPr>
              <w:t xml:space="preserve">Capital-raise / QBE-match miss</w:t>
            </w:r>
            <w:r>
              <w:t xml:space="preserve"> </w:t>
            </w:r>
            <w:r>
              <w:rPr>
                <w:i/>
              </w:rPr>
              <w:t xml:space="preserve">(added by analysis)</w:t>
            </w:r>
            <w:r>
              <w:t xml:space="preserve"> </w:t>
            </w:r>
            <w:r>
              <w:t xml:space="preserve">— the first ~AU$400K of signed, match-eligible capital does not close by 31 Aug 2026, so the QBE match cannot trigger.</w:t>
            </w:r>
          </w:p>
        </w:tc>
        <w:tc>
          <w:p>
            <w:pPr>
              <w:pStyle w:val="Compact"/>
              <w:jc w:val="left"/>
            </w:pPr>
            <w:r>
              <w:t xml:space="preserve">Capital / strategic</w:t>
            </w:r>
          </w:p>
        </w:tc>
        <w:tc>
          <w:p>
            <w:pPr>
              <w:pStyle w:val="Compact"/>
              <w:jc w:val="left"/>
            </w:pPr>
            <w:r>
              <w:t xml:space="preserve">4</w:t>
            </w:r>
          </w:p>
        </w:tc>
        <w:tc>
          <w:p>
            <w:pPr>
              <w:pStyle w:val="Compact"/>
              <w:jc w:val="left"/>
            </w:pPr>
            <w:r>
              <w:t xml:space="preserve">4</w:t>
            </w:r>
          </w:p>
        </w:tc>
        <w:tc>
          <w:p>
            <w:pPr>
              <w:pStyle w:val="Compact"/>
              <w:jc w:val="left"/>
            </w:pPr>
            <w:r>
              <w:rPr>
                <w:b/>
              </w:rPr>
              <w:t xml:space="preserve">16</w:t>
            </w:r>
          </w:p>
        </w:tc>
        <w:tc>
          <w:p>
            <w:pPr>
              <w:pStyle w:val="Compact"/>
              <w:jc w:val="left"/>
            </w:pPr>
            <w:r>
              <w:t xml:space="preserve">High</w:t>
            </w:r>
          </w:p>
        </w:tc>
        <w:tc>
          <w:p>
            <w:pPr>
              <w:pStyle w:val="Compact"/>
              <w:jc w:val="left"/>
            </w:pPr>
            <w:r>
              <w:t xml:space="preserve">Signed match-eligible LOIs today:</w:t>
            </w:r>
            <w:r>
              <w:t xml:space="preserve"> </w:t>
            </w:r>
            <w:r>
              <w:rPr>
                <w:b/>
              </w:rPr>
              <w:t xml:space="preserve">0</w:t>
            </w:r>
            <w:r>
              <w:t xml:space="preserve">. QBE match is contingent on money raised first; cap unconfirmed in writing (model at $200K). Framed internally as</w:t>
            </w:r>
            <w:r>
              <w:t xml:space="preserve"> </w:t>
            </w:r>
            <w:r>
              <w:t xml:space="preserve">“</w:t>
            </w:r>
            <w:r>
              <w:t xml:space="preserve">a conversation problem, not a discovery problem.</w:t>
            </w:r>
            <w:r>
              <w:t xml:space="preserve">”</w:t>
            </w:r>
          </w:p>
        </w:tc>
        <w:tc>
          <w:p>
            <w:pPr>
              <w:pStyle w:val="Compact"/>
              <w:jc w:val="left"/>
            </w:pPr>
            <w:r>
              <w:t xml:space="preserve">Convert one procurement/offtake LOI (fixes both the match gate and weak commercial paperwork); maintain the live commitment register (CivicGraph Match Campaign tab); if missed, trigger the</w:t>
            </w:r>
            <w:r>
              <w:t xml:space="preserve"> </w:t>
            </w:r>
            <w:r>
              <w:t xml:space="preserve">“</w:t>
            </w:r>
            <w:r>
              <w:t xml:space="preserve">capital late</w:t>
            </w:r>
            <w:r>
              <w:t xml:space="preserve">”</w:t>
            </w:r>
            <w:r>
              <w:t xml:space="preserve"> </w:t>
            </w:r>
            <w:r>
              <w:t xml:space="preserve">scenario (slow plant, keep funded batches, avoid bridging debt).</w:t>
            </w:r>
          </w:p>
        </w:tc>
        <w:tc>
          <w:p>
            <w:pPr>
              <w:pStyle w:val="Compact"/>
              <w:jc w:val="left"/>
            </w:pPr>
            <w:r>
              <w:t xml:space="preserve">Ben</w:t>
            </w:r>
          </w:p>
        </w:tc>
        <w:tc>
          <w:p>
            <w:pPr>
              <w:pStyle w:val="Compact"/>
              <w:jc w:val="left"/>
            </w:pPr>
            <w:r>
              <w:t xml:space="preserve">Internal only — the match mechanics, the $200K/$400K uncertainty, and the 0-LOI position must NOT be presented externally as settled</w:t>
            </w:r>
          </w:p>
        </w:tc>
      </w:tr>
      <w:tr>
        <w:tc>
          <w:p>
            <w:pPr>
              <w:pStyle w:val="Compact"/>
              <w:jc w:val="left"/>
            </w:pPr>
            <w:r>
              <w:t xml:space="preserve">R5</w:t>
            </w:r>
          </w:p>
        </w:tc>
        <w:tc>
          <w:p>
            <w:pPr>
              <w:pStyle w:val="Compact"/>
              <w:jc w:val="left"/>
            </w:pPr>
            <w:r>
              <w:rPr>
                <w:b/>
              </w:rPr>
              <w:t xml:space="preserve">Legal-structure / entity decision delay</w:t>
            </w:r>
            <w:r>
              <w:t xml:space="preserve"> </w:t>
            </w:r>
            <w:r>
              <w:rPr>
                <w:i/>
              </w:rPr>
              <w:t xml:space="preserve">(added by analysis)</w:t>
            </w:r>
            <w:r>
              <w:t xml:space="preserve"> </w:t>
            </w:r>
            <w:r>
              <w:t xml:space="preserve">— subsidiary/CLG/hybrid form and the 51%+ First Nations-owned operating entity stay undecided.</w:t>
            </w:r>
          </w:p>
        </w:tc>
        <w:tc>
          <w:p>
            <w:pPr>
              <w:pStyle w:val="Compact"/>
              <w:jc w:val="left"/>
            </w:pPr>
            <w:r>
              <w:t xml:space="preserve">Governance / legal</w:t>
            </w:r>
          </w:p>
        </w:tc>
        <w:tc>
          <w:p>
            <w:pPr>
              <w:pStyle w:val="Compact"/>
              <w:jc w:val="left"/>
            </w:pPr>
            <w:r>
              <w:t xml:space="preserve">4</w:t>
            </w:r>
          </w:p>
        </w:tc>
        <w:tc>
          <w:p>
            <w:pPr>
              <w:pStyle w:val="Compact"/>
              <w:jc w:val="left"/>
            </w:pPr>
            <w:r>
              <w:t xml:space="preserve">4</w:t>
            </w:r>
          </w:p>
        </w:tc>
        <w:tc>
          <w:p>
            <w:pPr>
              <w:pStyle w:val="Compact"/>
              <w:jc w:val="left"/>
            </w:pPr>
            <w:r>
              <w:rPr>
                <w:b/>
              </w:rPr>
              <w:t xml:space="preserve">16</w:t>
            </w:r>
          </w:p>
        </w:tc>
        <w:tc>
          <w:p>
            <w:pPr>
              <w:pStyle w:val="Compact"/>
              <w:jc w:val="left"/>
            </w:pPr>
            <w:r>
              <w:t xml:space="preserve">High</w:t>
            </w:r>
          </w:p>
        </w:tc>
        <w:tc>
          <w:p>
            <w:pPr>
              <w:pStyle w:val="Compact"/>
              <w:jc w:val="left"/>
            </w:pPr>
            <w:r>
              <w:t xml:space="preserve">Keystone gap, 0 artifacts. Blocks Supply Nation 51% certification (IPP threshold tightens 1 July 2026) and FAC/IBA eligibility. MinterEllison (Keith Rovers) engaged on structure.</w:t>
            </w:r>
          </w:p>
        </w:tc>
        <w:tc>
          <w:p>
            <w:pPr>
              <w:pStyle w:val="Compact"/>
              <w:jc w:val="left"/>
            </w:pPr>
            <w:r>
              <w:t xml:space="preserve">Approve one entity-wording block + a decided transition path (Nic sole trader → A Curious Tractor Pty Ltd t/a Goods on Country); set the Indigenous-ownership decision against the 1-July threshold.</w:t>
            </w:r>
          </w:p>
        </w:tc>
        <w:tc>
          <w:p>
            <w:pPr>
              <w:pStyle w:val="Compact"/>
              <w:jc w:val="left"/>
            </w:pPr>
            <w:r>
              <w:t xml:space="preserve">Ben</w:t>
            </w:r>
          </w:p>
        </w:tc>
        <w:tc>
          <w:p>
            <w:pPr>
              <w:pStyle w:val="Compact"/>
              <w:jc w:val="left"/>
            </w:pPr>
            <w:r>
              <w:t xml:space="preserve">Internal only — entity form is unsettled; describe direction only, never as decided</w:t>
            </w:r>
          </w:p>
        </w:tc>
      </w:tr>
      <w:tr>
        <w:tc>
          <w:p>
            <w:pPr>
              <w:pStyle w:val="Compact"/>
              <w:jc w:val="left"/>
            </w:pPr>
            <w:r>
              <w:t xml:space="preserve">R6</w:t>
            </w:r>
          </w:p>
        </w:tc>
        <w:tc>
          <w:p>
            <w:pPr>
              <w:pStyle w:val="Compact"/>
              <w:jc w:val="left"/>
            </w:pPr>
            <w:r>
              <w:rPr>
                <w:b/>
              </w:rPr>
              <w:t xml:space="preserve">Debt taken before the model can service it</w:t>
            </w:r>
            <w:r>
              <w:t xml:space="preserve"> </w:t>
            </w:r>
            <w:r>
              <w:t xml:space="preserve">— repayable capital (e.g. SEFA $300K working-capital line) is drawn before there is credible revenue to service it.</w:t>
            </w:r>
          </w:p>
        </w:tc>
        <w:tc>
          <w:p>
            <w:pPr>
              <w:pStyle w:val="Compact"/>
              <w:jc w:val="left"/>
            </w:pPr>
            <w:r>
              <w:t xml:space="preserve">Financial / capital</w:t>
            </w:r>
          </w:p>
        </w:tc>
        <w:tc>
          <w:p>
            <w:pPr>
              <w:pStyle w:val="Compact"/>
              <w:jc w:val="left"/>
            </w:pPr>
            <w:r>
              <w:t xml:space="preserve">3</w:t>
            </w:r>
          </w:p>
        </w:tc>
        <w:tc>
          <w:p>
            <w:pPr>
              <w:pStyle w:val="Compact"/>
              <w:jc w:val="left"/>
            </w:pPr>
            <w:r>
              <w:t xml:space="preserve">5</w:t>
            </w:r>
          </w:p>
        </w:tc>
        <w:tc>
          <w:p>
            <w:pPr>
              <w:pStyle w:val="Compact"/>
              <w:jc w:val="left"/>
            </w:pPr>
            <w:r>
              <w:rPr>
                <w:b/>
              </w:rPr>
              <w:t xml:space="preserve">15</w:t>
            </w:r>
          </w:p>
        </w:tc>
        <w:tc>
          <w:p>
            <w:pPr>
              <w:pStyle w:val="Compact"/>
              <w:jc w:val="left"/>
            </w:pPr>
            <w:r>
              <w:t xml:space="preserve">High</w:t>
            </w:r>
          </w:p>
        </w:tc>
        <w:tc>
          <w:p>
            <w:pPr>
              <w:pStyle w:val="Compact"/>
              <w:jc w:val="left"/>
            </w:pPr>
            <w:r>
              <w:t xml:space="preserve">Future risk. SEFA line ~70% modelled, gated on the financial model + independent-director majority + a revenue covenant. Unit economics are 100% modelled (0 beds in-house).</w:t>
            </w:r>
          </w:p>
        </w:tc>
        <w:tc>
          <w:p>
            <w:pPr>
              <w:pStyle w:val="Compact"/>
              <w:jc w:val="left"/>
            </w:pPr>
            <w:r>
              <w:t xml:space="preserve">Debt gate: credible revenue, stress test, repayment reserve, governance approval before drawdown; debt only against matched demand, never to cover general operating pressure.</w:t>
            </w:r>
          </w:p>
        </w:tc>
        <w:tc>
          <w:p>
            <w:pPr>
              <w:pStyle w:val="Compact"/>
              <w:jc w:val="left"/>
            </w:pPr>
            <w:r>
              <w:t xml:space="preserve">Nic</w:t>
            </w:r>
          </w:p>
        </w:tc>
        <w:tc>
          <w:p>
            <w:pPr>
              <w:pStyle w:val="Compact"/>
              <w:jc w:val="left"/>
            </w:pPr>
            <w:r>
              <w:t xml:space="preserve">Internal only — debt terms and serviceability are founder/accountant/legal; do not present the debt layer externally as secured</w:t>
            </w:r>
          </w:p>
        </w:tc>
      </w:tr>
      <w:tr>
        <w:tc>
          <w:p>
            <w:pPr>
              <w:pStyle w:val="Compact"/>
              <w:jc w:val="left"/>
            </w:pPr>
            <w:r>
              <w:t xml:space="preserve">R7</w:t>
            </w:r>
          </w:p>
        </w:tc>
        <w:tc>
          <w:p>
            <w:pPr>
              <w:pStyle w:val="Compact"/>
              <w:jc w:val="left"/>
            </w:pPr>
            <w:r>
              <w:rPr>
                <w:b/>
              </w:rPr>
              <w:t xml:space="preserve">Governance lagging investor needs</w:t>
            </w:r>
            <w:r>
              <w:t xml:space="preserve"> </w:t>
            </w:r>
            <w:r>
              <w:t xml:space="preserve">— advisory board has no fiduciary authority when capital and debt arrive.</w:t>
            </w:r>
          </w:p>
        </w:tc>
        <w:tc>
          <w:p>
            <w:pPr>
              <w:pStyle w:val="Compact"/>
              <w:jc w:val="left"/>
            </w:pPr>
            <w:r>
              <w:t xml:space="preserve">Governance</w:t>
            </w:r>
          </w:p>
        </w:tc>
        <w:tc>
          <w:p>
            <w:pPr>
              <w:pStyle w:val="Compact"/>
              <w:jc w:val="left"/>
            </w:pPr>
            <w:r>
              <w:t xml:space="preserve">4</w:t>
            </w:r>
          </w:p>
        </w:tc>
        <w:tc>
          <w:p>
            <w:pPr>
              <w:pStyle w:val="Compact"/>
              <w:jc w:val="left"/>
            </w:pPr>
            <w:r>
              <w:t xml:space="preserve">4</w:t>
            </w:r>
          </w:p>
        </w:tc>
        <w:tc>
          <w:p>
            <w:pPr>
              <w:pStyle w:val="Compact"/>
              <w:jc w:val="left"/>
            </w:pPr>
            <w:r>
              <w:rPr>
                <w:b/>
              </w:rPr>
              <w:t xml:space="preserve">16</w:t>
            </w:r>
          </w:p>
        </w:tc>
        <w:tc>
          <w:p>
            <w:pPr>
              <w:pStyle w:val="Compact"/>
              <w:jc w:val="left"/>
            </w:pPr>
            <w:r>
              <w:t xml:space="preserve">High</w:t>
            </w:r>
          </w:p>
        </w:tc>
        <w:tc>
          <w:p>
            <w:pPr>
              <w:pStyle w:val="Compact"/>
              <w:jc w:val="left"/>
            </w:pPr>
            <w:r>
              <w:t xml:space="preserve">11-member advisory board (named), explicitly advisory not fiduciary. SEFA’s $300K gated on an independent-majority fiduciary board; reports not audited.</w:t>
            </w:r>
          </w:p>
        </w:tc>
        <w:tc>
          <w:p>
            <w:pPr>
              <w:pStyle w:val="Compact"/>
              <w:jc w:val="left"/>
            </w:pPr>
            <w:r>
              <w:t xml:space="preserve">Stand up a minimum viable board: 1–2 independent directors with commercial/scale-up experience; define reporting capacity; tie board readiness to the capital-acceptance gate.</w:t>
            </w:r>
          </w:p>
        </w:tc>
        <w:tc>
          <w:p>
            <w:pPr>
              <w:pStyle w:val="Compact"/>
              <w:jc w:val="left"/>
            </w:pPr>
            <w:r>
              <w:t xml:space="preserve">Ben</w:t>
            </w:r>
          </w:p>
        </w:tc>
        <w:tc>
          <w:p>
            <w:pPr>
              <w:pStyle w:val="Compact"/>
              <w:jc w:val="left"/>
            </w:pPr>
            <w:r>
              <w:t xml:space="preserve">QBE-shareable (worded as a planned governance step the capital funds)</w:t>
            </w:r>
          </w:p>
        </w:tc>
      </w:tr>
      <w:tr>
        <w:tc>
          <w:p>
            <w:pPr>
              <w:pStyle w:val="Compact"/>
              <w:jc w:val="left"/>
            </w:pPr>
            <w:r>
              <w:t xml:space="preserve">R8</w:t>
            </w:r>
          </w:p>
        </w:tc>
        <w:tc>
          <w:p>
            <w:pPr>
              <w:pStyle w:val="Compact"/>
              <w:jc w:val="left"/>
            </w:pPr>
            <w:r>
              <w:rPr>
                <w:b/>
              </w:rPr>
              <w:t xml:space="preserve">Community-ownership model risk</w:t>
            </w:r>
            <w:r>
              <w:t xml:space="preserve"> </w:t>
            </w:r>
            <w:r>
              <w:t xml:space="preserve">— the local entity carries labour and risk while ACT holds value, data, brand and decisions (value/risk asymmetry).</w:t>
            </w:r>
          </w:p>
        </w:tc>
        <w:tc>
          <w:p>
            <w:pPr>
              <w:pStyle w:val="Compact"/>
              <w:jc w:val="left"/>
            </w:pPr>
            <w:r>
              <w:t xml:space="preserve">Mission / governance</w:t>
            </w:r>
          </w:p>
        </w:tc>
        <w:tc>
          <w:p>
            <w:pPr>
              <w:pStyle w:val="Compact"/>
              <w:jc w:val="left"/>
            </w:pPr>
            <w:r>
              <w:t xml:space="preserve">3</w:t>
            </w:r>
          </w:p>
        </w:tc>
        <w:tc>
          <w:p>
            <w:pPr>
              <w:pStyle w:val="Compact"/>
              <w:jc w:val="left"/>
            </w:pPr>
            <w:r>
              <w:t xml:space="preserve">5</w:t>
            </w:r>
          </w:p>
        </w:tc>
        <w:tc>
          <w:p>
            <w:pPr>
              <w:pStyle w:val="Compact"/>
              <w:jc w:val="left"/>
            </w:pPr>
            <w:r>
              <w:rPr>
                <w:b/>
              </w:rPr>
              <w:t xml:space="preserve">15</w:t>
            </w:r>
          </w:p>
        </w:tc>
        <w:tc>
          <w:p>
            <w:pPr>
              <w:pStyle w:val="Compact"/>
              <w:jc w:val="left"/>
            </w:pPr>
            <w:r>
              <w:t xml:space="preserve">High</w:t>
            </w:r>
          </w:p>
        </w:tc>
        <w:tc>
          <w:p>
            <w:pPr>
              <w:pStyle w:val="Compact"/>
              <w:jc w:val="left"/>
            </w:pPr>
            <w:r>
              <w:t xml:space="preserve">Live design tension. Nicholas’s guiding test:</w:t>
            </w:r>
            <w:r>
              <w:t xml:space="preserve"> </w:t>
            </w:r>
            <w:r>
              <w:t xml:space="preserve">“</w:t>
            </w:r>
            <w:r>
              <w:t xml:space="preserve">do not centralise value in ACT while talking about community ownership.</w:t>
            </w:r>
            <w:r>
              <w:t xml:space="preserve">”</w:t>
            </w:r>
            <w:r>
              <w:t xml:space="preserve"> </w:t>
            </w:r>
            <w:r>
              <w:t xml:space="preserve">40% community profit share is a placeholder concept — principle settled, mechanism not. Mission lock (asset-lock / community-ownership deed) not yet in place.</w:t>
            </w:r>
          </w:p>
        </w:tc>
        <w:tc>
          <w:p>
            <w:pPr>
              <w:pStyle w:val="Compact"/>
              <w:jc w:val="left"/>
            </w:pPr>
            <w:r>
              <w:t xml:space="preserve">Community-ownership options paper; place-by-place governance review; resolve the mechanism before scaling production; protect against the asymmetry in the entity design.</w:t>
            </w:r>
          </w:p>
        </w:tc>
        <w:tc>
          <w:p>
            <w:pPr>
              <w:pStyle w:val="Compact"/>
              <w:jc w:val="left"/>
            </w:pPr>
            <w:r>
              <w:t xml:space="preserve">Nic</w:t>
            </w:r>
          </w:p>
        </w:tc>
        <w:tc>
          <w:p>
            <w:pPr>
              <w:pStyle w:val="Compact"/>
              <w:jc w:val="left"/>
            </w:pPr>
            <w:r>
              <w:t xml:space="preserve">Internal only — community ownership is the pathway/north star, not current state; the profit-share mechanism is uncommitted and must not be presented as settled</w:t>
            </w:r>
          </w:p>
        </w:tc>
      </w:tr>
      <w:tr>
        <w:tc>
          <w:p>
            <w:pPr>
              <w:pStyle w:val="Compact"/>
              <w:jc w:val="left"/>
            </w:pPr>
            <w:r>
              <w:t xml:space="preserve">R9</w:t>
            </w:r>
          </w:p>
        </w:tc>
        <w:tc>
          <w:p>
            <w:pPr>
              <w:pStyle w:val="Compact"/>
              <w:jc w:val="left"/>
            </w:pPr>
            <w:r>
              <w:rPr>
                <w:b/>
              </w:rPr>
              <w:t xml:space="preserve">Environmental</w:t>
            </w:r>
            <w:r>
              <w:t xml:space="preserve"> </w:t>
            </w:r>
            <w:r>
              <w:t xml:space="preserve">— Goods accidentally adds to the waste problem it is trying to solve (unrepaired product, unusable plastic, unmanaged offcuts, no end-of-life pathway).</w:t>
            </w:r>
          </w:p>
        </w:tc>
        <w:tc>
          <w:p>
            <w:pPr>
              <w:pStyle w:val="Compact"/>
              <w:jc w:val="left"/>
            </w:pPr>
            <w:r>
              <w:t xml:space="preserve">Environmental</w:t>
            </w:r>
          </w:p>
        </w:tc>
        <w:tc>
          <w:p>
            <w:pPr>
              <w:pStyle w:val="Compact"/>
              <w:jc w:val="left"/>
            </w:pPr>
            <w:r>
              <w:t xml:space="preserve">4</w:t>
            </w:r>
          </w:p>
        </w:tc>
        <w:tc>
          <w:p>
            <w:pPr>
              <w:pStyle w:val="Compact"/>
              <w:jc w:val="left"/>
            </w:pPr>
            <w:r>
              <w:t xml:space="preserve">3</w:t>
            </w:r>
          </w:p>
        </w:tc>
        <w:tc>
          <w:p>
            <w:pPr>
              <w:pStyle w:val="Compact"/>
              <w:jc w:val="left"/>
            </w:pPr>
            <w:r>
              <w:rPr>
                <w:b/>
              </w:rPr>
              <w:t xml:space="preserve">12</w:t>
            </w:r>
          </w:p>
        </w:tc>
        <w:tc>
          <w:p>
            <w:pPr>
              <w:pStyle w:val="Compact"/>
              <w:jc w:val="left"/>
            </w:pPr>
            <w:r>
              <w:t xml:space="preserve">High</w:t>
            </w:r>
          </w:p>
        </w:tc>
        <w:tc>
          <w:p>
            <w:pPr>
              <w:pStyle w:val="Compact"/>
              <w:jc w:val="left"/>
            </w:pPr>
            <w:r>
              <w:t xml:space="preserve">Medium-to-high likelihood. End-of-life pathway, offcut handling and repair loops not yet fully defined; circular-economy claim depends on usable local material.</w:t>
            </w:r>
          </w:p>
        </w:tc>
        <w:tc>
          <w:p>
            <w:pPr>
              <w:pStyle w:val="Compact"/>
              <w:jc w:val="left"/>
            </w:pPr>
            <w:r>
              <w:t xml:space="preserve">Environmental risk line with explicit repair, reuse, offcut and end-of-life controls; do not claim circular economy until the loop is closed; verify local plastic is usable before a plant commitment.</w:t>
            </w:r>
          </w:p>
        </w:tc>
        <w:tc>
          <w:p>
            <w:pPr>
              <w:pStyle w:val="Compact"/>
              <w:jc w:val="left"/>
            </w:pPr>
            <w:r>
              <w:t xml:space="preserve">Nic</w:t>
            </w:r>
          </w:p>
        </w:tc>
        <w:tc>
          <w:p>
            <w:pPr>
              <w:pStyle w:val="Compact"/>
              <w:jc w:val="left"/>
            </w:pPr>
            <w:r>
              <w:t xml:space="preserve">QBE-shareable (named honestly as a risk being actively controlled — strengthens credibility)</w:t>
            </w:r>
          </w:p>
        </w:tc>
      </w:tr>
      <w:tr>
        <w:tc>
          <w:p>
            <w:pPr>
              <w:pStyle w:val="Compact"/>
              <w:jc w:val="left"/>
            </w:pPr>
            <w:r>
              <w:t xml:space="preserve">R10</w:t>
            </w:r>
          </w:p>
        </w:tc>
        <w:tc>
          <w:p>
            <w:pPr>
              <w:pStyle w:val="Compact"/>
              <w:jc w:val="left"/>
            </w:pPr>
            <w:r>
              <w:rPr>
                <w:b/>
              </w:rPr>
              <w:t xml:space="preserve">Community trust</w:t>
            </w:r>
            <w:r>
              <w:t xml:space="preserve"> </w:t>
            </w:r>
            <w:r>
              <w:t xml:space="preserve">— poor follow-through (overpromising, slow comms, unclear partner role) damages a relationship.</w:t>
            </w:r>
          </w:p>
        </w:tc>
        <w:tc>
          <w:p>
            <w:pPr>
              <w:pStyle w:val="Compact"/>
              <w:jc w:val="left"/>
            </w:pPr>
            <w:r>
              <w:t xml:space="preserve">Community / relational</w:t>
            </w:r>
          </w:p>
        </w:tc>
        <w:tc>
          <w:p>
            <w:pPr>
              <w:pStyle w:val="Compact"/>
              <w:jc w:val="left"/>
            </w:pPr>
            <w:r>
              <w:t xml:space="preserve">4</w:t>
            </w:r>
          </w:p>
        </w:tc>
        <w:tc>
          <w:p>
            <w:pPr>
              <w:pStyle w:val="Compact"/>
              <w:jc w:val="left"/>
            </w:pPr>
            <w:r>
              <w:t xml:space="preserve">3</w:t>
            </w:r>
          </w:p>
        </w:tc>
        <w:tc>
          <w:p>
            <w:pPr>
              <w:pStyle w:val="Compact"/>
              <w:jc w:val="left"/>
            </w:pPr>
            <w:r>
              <w:rPr>
                <w:b/>
              </w:rPr>
              <w:t xml:space="preserve">12</w:t>
            </w:r>
          </w:p>
        </w:tc>
        <w:tc>
          <w:p>
            <w:pPr>
              <w:pStyle w:val="Compact"/>
              <w:jc w:val="left"/>
            </w:pPr>
            <w:r>
              <w:t xml:space="preserve">High</w:t>
            </w:r>
          </w:p>
        </w:tc>
        <w:tc>
          <w:p>
            <w:pPr>
              <w:pStyle w:val="Compact"/>
              <w:jc w:val="left"/>
            </w:pPr>
            <w:r>
              <w:t xml:space="preserve">Always live. Standing demand exceeds current delivery capacity; relationships span 9 communities.</w:t>
            </w:r>
          </w:p>
        </w:tc>
        <w:tc>
          <w:p>
            <w:pPr>
              <w:pStyle w:val="Compact"/>
              <w:jc w:val="left"/>
            </w:pPr>
            <w:r>
              <w:t xml:space="preserve">Partner check-in cadence; a decision record per place; transparent waitlists; quality over rushed delivery when demand spikes.</w:t>
            </w:r>
          </w:p>
        </w:tc>
        <w:tc>
          <w:p>
            <w:pPr>
              <w:pStyle w:val="Compact"/>
              <w:jc w:val="left"/>
            </w:pPr>
            <w:r>
              <w:t xml:space="preserve">Nic</w:t>
            </w:r>
          </w:p>
        </w:tc>
        <w:tc>
          <w:p>
            <w:pPr>
              <w:pStyle w:val="Compact"/>
              <w:jc w:val="left"/>
            </w:pPr>
            <w:r>
              <w:t xml:space="preserve">QBE-shareable (the discipline is shareable; specific at-risk relationships are not)</w:t>
            </w:r>
          </w:p>
        </w:tc>
      </w:tr>
      <w:tr>
        <w:tc>
          <w:p>
            <w:pPr>
              <w:pStyle w:val="Compact"/>
              <w:jc w:val="left"/>
            </w:pPr>
            <w:r>
              <w:t xml:space="preserve">R11</w:t>
            </w:r>
          </w:p>
        </w:tc>
        <w:tc>
          <w:p>
            <w:pPr>
              <w:pStyle w:val="Compact"/>
              <w:jc w:val="left"/>
            </w:pPr>
            <w:r>
              <w:rPr>
                <w:b/>
              </w:rPr>
              <w:t xml:space="preserve">Production / delivery</w:t>
            </w:r>
            <w:r>
              <w:t xml:space="preserve"> </w:t>
            </w:r>
            <w:r>
              <w:t xml:space="preserve">— machinery, material, labour or quality issues delay delivery, or a plant is sited before it is ready.</w:t>
            </w:r>
          </w:p>
        </w:tc>
        <w:tc>
          <w:p>
            <w:pPr>
              <w:pStyle w:val="Compact"/>
              <w:jc w:val="left"/>
            </w:pPr>
            <w:r>
              <w:t xml:space="preserve">Operational</w:t>
            </w:r>
          </w:p>
        </w:tc>
        <w:tc>
          <w:p>
            <w:pPr>
              <w:pStyle w:val="Compact"/>
              <w:jc w:val="left"/>
            </w:pPr>
            <w:r>
              <w:t xml:space="preserve">3</w:t>
            </w:r>
          </w:p>
        </w:tc>
        <w:tc>
          <w:p>
            <w:pPr>
              <w:pStyle w:val="Compact"/>
              <w:jc w:val="left"/>
            </w:pPr>
            <w:r>
              <w:t xml:space="preserve">4</w:t>
            </w:r>
          </w:p>
        </w:tc>
        <w:tc>
          <w:p>
            <w:pPr>
              <w:pStyle w:val="Compact"/>
              <w:jc w:val="left"/>
            </w:pPr>
            <w:r>
              <w:rPr>
                <w:b/>
              </w:rPr>
              <w:t xml:space="preserve">12</w:t>
            </w:r>
          </w:p>
        </w:tc>
        <w:tc>
          <w:p>
            <w:pPr>
              <w:pStyle w:val="Compact"/>
              <w:jc w:val="left"/>
            </w:pPr>
            <w:r>
              <w:t xml:space="preserve">High</w:t>
            </w:r>
          </w:p>
        </w:tc>
        <w:tc>
          <w:p>
            <w:pPr>
              <w:pStyle w:val="Compact"/>
              <w:jc w:val="left"/>
            </w:pPr>
            <w:r>
              <w:t xml:space="preserve">Medium likelihood, medium-to-high consequence. No beds assembled in-house yet; in-source 50-bed proof run (~$60–80K) is the gating experiment. Plant location not finalised.</w:t>
            </w:r>
          </w:p>
        </w:tc>
        <w:tc>
          <w:p>
            <w:pPr>
              <w:pStyle w:val="Compact"/>
              <w:jc w:val="left"/>
            </w:pPr>
            <w:r>
              <w:t xml:space="preserve">Facility readiness checklist + SOPs; place-readiness gate (demand, partner, plastic, power, freight, WHS) before machinery; run the 50-bed proof before scaling.</w:t>
            </w:r>
          </w:p>
        </w:tc>
        <w:tc>
          <w:p>
            <w:pPr>
              <w:pStyle w:val="Compact"/>
              <w:jc w:val="left"/>
            </w:pPr>
            <w:r>
              <w:t xml:space="preserve">Nic</w:t>
            </w:r>
          </w:p>
        </w:tc>
        <w:tc>
          <w:p>
            <w:pPr>
              <w:pStyle w:val="Compact"/>
              <w:jc w:val="left"/>
            </w:pPr>
            <w:r>
              <w:t xml:space="preserve">Internal only (the readiness</w:t>
            </w:r>
            <w:r>
              <w:t xml:space="preserve"> </w:t>
            </w:r>
            <w:r>
              <w:rPr>
                <w:i/>
              </w:rPr>
              <w:t xml:space="preserve">process</w:t>
            </w:r>
            <w:r>
              <w:t xml:space="preserve"> </w:t>
            </w:r>
            <w:r>
              <w:t xml:space="preserve">is QBE-shareable; the unsettled site/plant-timing detail is not — August is a target tied to gates, not a committed date)</w:t>
            </w:r>
          </w:p>
        </w:tc>
      </w:tr>
      <w:tr>
        <w:tc>
          <w:p>
            <w:pPr>
              <w:pStyle w:val="Compact"/>
              <w:jc w:val="left"/>
            </w:pPr>
            <w:r>
              <w:t xml:space="preserve">R12</w:t>
            </w:r>
          </w:p>
        </w:tc>
        <w:tc>
          <w:p>
            <w:pPr>
              <w:pStyle w:val="Compact"/>
              <w:jc w:val="left"/>
            </w:pPr>
            <w:r>
              <w:rPr>
                <w:b/>
              </w:rPr>
              <w:t xml:space="preserve">Single-supplier dependency</w:t>
            </w:r>
            <w:r>
              <w:t xml:space="preserve"> </w:t>
            </w:r>
            <w:r>
              <w:rPr>
                <w:i/>
              </w:rPr>
              <w:t xml:space="preserve">(added by analysis)</w:t>
            </w:r>
            <w:r>
              <w:t xml:space="preserve"> </w:t>
            </w:r>
            <w:r>
              <w:t xml:space="preserve">— reliance on Defy for outsourced HDPE legs (the 8.6× markup input).</w:t>
            </w:r>
          </w:p>
        </w:tc>
        <w:tc>
          <w:p>
            <w:pPr>
              <w:pStyle w:val="Compact"/>
              <w:jc w:val="left"/>
            </w:pPr>
            <w:r>
              <w:t xml:space="preserve">Supply chain</w:t>
            </w:r>
          </w:p>
        </w:tc>
        <w:tc>
          <w:p>
            <w:pPr>
              <w:pStyle w:val="Compact"/>
              <w:jc w:val="left"/>
            </w:pPr>
            <w:r>
              <w:t xml:space="preserve">3</w:t>
            </w:r>
          </w:p>
        </w:tc>
        <w:tc>
          <w:p>
            <w:pPr>
              <w:pStyle w:val="Compact"/>
              <w:jc w:val="left"/>
            </w:pPr>
            <w:r>
              <w:t xml:space="preserve">4</w:t>
            </w:r>
          </w:p>
        </w:tc>
        <w:tc>
          <w:p>
            <w:pPr>
              <w:pStyle w:val="Compact"/>
              <w:jc w:val="left"/>
            </w:pPr>
            <w:r>
              <w:rPr>
                <w:b/>
              </w:rPr>
              <w:t xml:space="preserve">12</w:t>
            </w:r>
          </w:p>
        </w:tc>
        <w:tc>
          <w:p>
            <w:pPr>
              <w:pStyle w:val="Compact"/>
              <w:jc w:val="left"/>
            </w:pPr>
            <w:r>
              <w:t xml:space="preserve">High</w:t>
            </w:r>
          </w:p>
        </w:tc>
        <w:tc>
          <w:p>
            <w:pPr>
              <w:pStyle w:val="Compact"/>
              <w:jc w:val="left"/>
            </w:pPr>
            <w:r>
              <w:t xml:space="preserve">Verified 8.6×</w:t>
            </w:r>
            <w:r>
              <w:t xml:space="preserve"> </w:t>
            </w:r>
            <w:r>
              <w:t xml:space="preserve">“</w:t>
            </w:r>
            <w:r>
              <w:t xml:space="preserve">idiot index</w:t>
            </w:r>
            <w:r>
              <w:t xml:space="preserve">”</w:t>
            </w:r>
            <w:r>
              <w:t xml:space="preserve"> </w:t>
            </w:r>
            <w:r>
              <w:t xml:space="preserve">markup on Defy HDPE legs is the core in-source cost case, but until in-sourcing is proven the supply is a single point of dependency.</w:t>
            </w:r>
          </w:p>
        </w:tc>
        <w:tc>
          <w:p>
            <w:pPr>
              <w:pStyle w:val="Compact"/>
              <w:jc w:val="left"/>
            </w:pPr>
            <w:r>
              <w:t xml:space="preserve">The 50-bed in-source proof run is itself the primary mitigation (removes the dependency if cost confirms); identify a backup supplier for the interim.</w:t>
            </w:r>
          </w:p>
        </w:tc>
        <w:tc>
          <w:p>
            <w:pPr>
              <w:pStyle w:val="Compact"/>
              <w:jc w:val="left"/>
            </w:pPr>
            <w:r>
              <w:t xml:space="preserve">Nic</w:t>
            </w:r>
          </w:p>
        </w:tc>
        <w:tc>
          <w:p>
            <w:pPr>
              <w:pStyle w:val="Compact"/>
              <w:jc w:val="left"/>
            </w:pPr>
            <w:r>
              <w:t xml:space="preserve">QBE-shareable (the markup is verified and is the investment case; word as the reason to in-source)</w:t>
            </w:r>
          </w:p>
        </w:tc>
      </w:tr>
      <w:tr>
        <w:tc>
          <w:p>
            <w:pPr>
              <w:pStyle w:val="Compact"/>
              <w:jc w:val="left"/>
            </w:pPr>
            <w:r>
              <w:t xml:space="preserve">R13</w:t>
            </w:r>
          </w:p>
        </w:tc>
        <w:tc>
          <w:p>
            <w:pPr>
              <w:pStyle w:val="Compact"/>
              <w:jc w:val="left"/>
            </w:pPr>
            <w:r>
              <w:rPr>
                <w:b/>
              </w:rPr>
              <w:t xml:space="preserve">Product safety</w:t>
            </w:r>
            <w:r>
              <w:t xml:space="preserve"> </w:t>
            </w:r>
            <w:r>
              <w:t xml:space="preserve">— a bed, washing machine or plant process harms someone.</w:t>
            </w:r>
          </w:p>
        </w:tc>
        <w:tc>
          <w:p>
            <w:pPr>
              <w:pStyle w:val="Compact"/>
              <w:jc w:val="left"/>
            </w:pPr>
            <w:r>
              <w:t xml:space="preserve">Safety</w:t>
            </w:r>
          </w:p>
        </w:tc>
        <w:tc>
          <w:p>
            <w:pPr>
              <w:pStyle w:val="Compact"/>
              <w:jc w:val="left"/>
            </w:pPr>
            <w:r>
              <w:t xml:space="preserve">2</w:t>
            </w:r>
          </w:p>
        </w:tc>
        <w:tc>
          <w:p>
            <w:pPr>
              <w:pStyle w:val="Compact"/>
              <w:jc w:val="left"/>
            </w:pPr>
            <w:r>
              <w:t xml:space="preserve">5</w:t>
            </w:r>
          </w:p>
        </w:tc>
        <w:tc>
          <w:p>
            <w:pPr>
              <w:pStyle w:val="Compact"/>
              <w:jc w:val="left"/>
            </w:pPr>
            <w:r>
              <w:rPr>
                <w:b/>
              </w:rPr>
              <w:t xml:space="preserve">10</w:t>
            </w:r>
          </w:p>
        </w:tc>
        <w:tc>
          <w:p>
            <w:pPr>
              <w:pStyle w:val="Compact"/>
              <w:jc w:val="left"/>
            </w:pPr>
            <w:r>
              <w:t xml:space="preserve">Medium</w:t>
            </w:r>
          </w:p>
        </w:tc>
        <w:tc>
          <w:p>
            <w:pPr>
              <w:pStyle w:val="Compact"/>
              <w:jc w:val="left"/>
            </w:pPr>
            <w:r>
              <w:t xml:space="preserve">Low-to-medium likelihood, high consequence. Stretch Bed has 200kg capacity, 5-year warranty; plant processes (shred/melt/press) are the higher-exposure point.</w:t>
            </w:r>
          </w:p>
        </w:tc>
        <w:tc>
          <w:p>
            <w:pPr>
              <w:pStyle w:val="Compact"/>
              <w:jc w:val="left"/>
            </w:pPr>
            <w:r>
              <w:t xml:space="preserve">Product QA checklist; warranty/service pathway; incident-response process; production sign-off and operator training before any in-house run.</w:t>
            </w:r>
          </w:p>
        </w:tc>
        <w:tc>
          <w:p>
            <w:pPr>
              <w:pStyle w:val="Compact"/>
              <w:jc w:val="left"/>
            </w:pPr>
            <w:r>
              <w:t xml:space="preserve">Nic</w:t>
            </w:r>
          </w:p>
        </w:tc>
        <w:tc>
          <w:p>
            <w:pPr>
              <w:pStyle w:val="Compact"/>
              <w:jc w:val="left"/>
            </w:pPr>
            <w:r>
              <w:t xml:space="preserve">QBE-shareable (worded as standard safety controls in place / being built)</w:t>
            </w:r>
          </w:p>
        </w:tc>
      </w:tr>
      <w:tr>
        <w:tc>
          <w:p>
            <w:pPr>
              <w:pStyle w:val="Compact"/>
              <w:jc w:val="left"/>
            </w:pPr>
            <w:r>
              <w:t xml:space="preserve">R14</w:t>
            </w:r>
          </w:p>
        </w:tc>
        <w:tc>
          <w:p>
            <w:pPr>
              <w:pStyle w:val="Compact"/>
              <w:jc w:val="left"/>
            </w:pPr>
            <w:r>
              <w:rPr>
                <w:b/>
              </w:rPr>
              <w:t xml:space="preserve">Public-copy / overclaim risk</w:t>
            </w:r>
            <w:r>
              <w:t xml:space="preserve"> </w:t>
            </w:r>
            <w:r>
              <w:rPr>
                <w:i/>
              </w:rPr>
              <w:t xml:space="preserve">(added by analysis)</w:t>
            </w:r>
            <w:r>
              <w:t xml:space="preserve"> </w:t>
            </w:r>
            <w:r>
              <w:t xml:space="preserve">— verified, workpaper, modelled and target figures get blended in external materials (e.g. </w:t>
            </w:r>
            <w:r>
              <w:t xml:space="preserve">“</w:t>
            </w:r>
            <w:r>
              <w:t xml:space="preserve">audited revenue</w:t>
            </w:r>
            <w:r>
              <w:t xml:space="preserve">”</w:t>
            </w:r>
            <w:r>
              <w:t xml:space="preserve">, overstated plastic/bed counts, settled entity).</w:t>
            </w:r>
          </w:p>
        </w:tc>
        <w:tc>
          <w:p>
            <w:pPr>
              <w:pStyle w:val="Compact"/>
              <w:jc w:val="left"/>
            </w:pPr>
            <w:r>
              <w:t xml:space="preserve">Reputational / governance</w:t>
            </w:r>
          </w:p>
        </w:tc>
        <w:tc>
          <w:p>
            <w:pPr>
              <w:pStyle w:val="Compact"/>
              <w:jc w:val="left"/>
            </w:pPr>
            <w:r>
              <w:t xml:space="preserve">3</w:t>
            </w:r>
          </w:p>
        </w:tc>
        <w:tc>
          <w:p>
            <w:pPr>
              <w:pStyle w:val="Compact"/>
              <w:jc w:val="left"/>
            </w:pPr>
            <w:r>
              <w:t xml:space="preserve">4</w:t>
            </w:r>
          </w:p>
        </w:tc>
        <w:tc>
          <w:p>
            <w:pPr>
              <w:pStyle w:val="Compact"/>
              <w:jc w:val="left"/>
            </w:pPr>
            <w:r>
              <w:rPr>
                <w:b/>
              </w:rPr>
              <w:t xml:space="preserve">12</w:t>
            </w:r>
          </w:p>
        </w:tc>
        <w:tc>
          <w:p>
            <w:pPr>
              <w:pStyle w:val="Compact"/>
              <w:jc w:val="left"/>
            </w:pPr>
            <w:r>
              <w:t xml:space="preserve">High</w:t>
            </w:r>
          </w:p>
        </w:tc>
        <w:tc>
          <w:p>
            <w:pPr>
              <w:pStyle w:val="Compact"/>
              <w:jc w:val="left"/>
            </w:pPr>
            <w:r>
              <w:t xml:space="preserve">Active control in this pack: every external number is labelled; known retired figures (9,920kg plastic,</w:t>
            </w:r>
            <w:r>
              <w:t xml:space="preserve"> </w:t>
            </w:r>
            <w:r>
              <w:t xml:space="preserve">“</w:t>
            </w:r>
            <w:r>
              <w:t xml:space="preserve">600+ shipped</w:t>
            </w:r>
            <w:r>
              <w:t xml:space="preserve">”</w:t>
            </w:r>
            <w:r>
              <w:t xml:space="preserve">,</w:t>
            </w:r>
            <w:r>
              <w:t xml:space="preserve"> </w:t>
            </w:r>
            <w:r>
              <w:t xml:space="preserve">“</w:t>
            </w:r>
            <w:r>
              <w:t xml:space="preserve">$445K</w:t>
            </w:r>
            <w:r>
              <w:t xml:space="preserve">”</w:t>
            </w:r>
            <w:r>
              <w:t xml:space="preserve">,</w:t>
            </w:r>
            <w:r>
              <w:t xml:space="preserve"> </w:t>
            </w:r>
            <w:r>
              <w:t xml:space="preserve">“</w:t>
            </w:r>
            <w:r>
              <w:t xml:space="preserve">audited revenue</w:t>
            </w:r>
            <w:r>
              <w:t xml:space="preserve">”</w:t>
            </w:r>
            <w:r>
              <w:t xml:space="preserve">) flagged. Risk recurs each time material is produced.</w:t>
            </w:r>
          </w:p>
        </w:tc>
        <w:tc>
          <w:p>
            <w:pPr>
              <w:pStyle w:val="Compact"/>
              <w:jc w:val="left"/>
            </w:pPr>
            <w:r>
              <w:t xml:space="preserve">Pre-send checklist: a team member audits and can defend every external number; re-pull Xero before sending; separate verified from modelled on every metric; consent-cleared voices only.</w:t>
            </w:r>
          </w:p>
        </w:tc>
        <w:tc>
          <w:p>
            <w:pPr>
              <w:pStyle w:val="Compact"/>
              <w:jc w:val="left"/>
            </w:pPr>
            <w:r>
              <w:t xml:space="preserve">Ben</w:t>
            </w:r>
          </w:p>
        </w:tc>
        <w:tc>
          <w:p>
            <w:pPr>
              <w:pStyle w:val="Compact"/>
              <w:jc w:val="left"/>
            </w:pPr>
            <w:r>
              <w:t xml:space="preserve">QBE-shareable (demonstrates the evidence discipline; do not enumerate the specific past overclaims externally)</w:t>
            </w:r>
          </w:p>
        </w:tc>
      </w:tr>
    </w:tbl>
    <w:p>
      <w:r>
        <w:pict>
          <v:rect style="width:0;height:1.5pt" o:hralign="center" o:hrstd="t" o:hr="t"/>
        </w:pict>
      </w:r>
    </w:p>
    <w:p>
      <w:pPr>
        <w:pStyle w:val="Heading2"/>
      </w:pPr>
      <w:bookmarkStart w:id="112" w:name="score-summary"/>
      <w:r>
        <w:t xml:space="preserve">Score summary</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Risk IDs</w:t>
            </w:r>
          </w:p>
        </w:tc>
      </w:tr>
      <w:tr>
        <w:tc>
          <w:p>
            <w:pPr>
              <w:pStyle w:val="Compact"/>
              <w:jc w:val="left"/>
            </w:pPr>
            <w:r>
              <w:rPr>
                <w:b/>
              </w:rPr>
              <w:t xml:space="preserve">Critical (20–25)</w:t>
            </w:r>
          </w:p>
        </w:tc>
        <w:tc>
          <w:p>
            <w:pPr>
              <w:pStyle w:val="Compact"/>
              <w:jc w:val="left"/>
            </w:pPr>
            <w:r>
              <w:t xml:space="preserve">2</w:t>
            </w:r>
          </w:p>
        </w:tc>
        <w:tc>
          <w:p>
            <w:pPr>
              <w:pStyle w:val="Compact"/>
              <w:jc w:val="left"/>
            </w:pPr>
            <w:r>
              <w:t xml:space="preserve">R1, R2</w:t>
            </w:r>
          </w:p>
        </w:tc>
      </w:tr>
      <w:tr>
        <w:tc>
          <w:p>
            <w:pPr>
              <w:pStyle w:val="Compact"/>
              <w:jc w:val="left"/>
            </w:pPr>
            <w:r>
              <w:rPr>
                <w:b/>
              </w:rPr>
              <w:t xml:space="preserve">High (12–19)</w:t>
            </w:r>
          </w:p>
        </w:tc>
        <w:tc>
          <w:p>
            <w:pPr>
              <w:pStyle w:val="Compact"/>
              <w:jc w:val="left"/>
            </w:pPr>
            <w:r>
              <w:t xml:space="preserve">10</w:t>
            </w:r>
          </w:p>
        </w:tc>
        <w:tc>
          <w:p>
            <w:pPr>
              <w:pStyle w:val="Compact"/>
              <w:jc w:val="left"/>
            </w:pPr>
            <w:r>
              <w:t xml:space="preserve">R3, R4, R5, R6, R7, R8, R9, R10, R11, R12, R14</w:t>
            </w:r>
          </w:p>
        </w:tc>
      </w:tr>
      <w:tr>
        <w:tc>
          <w:p>
            <w:pPr>
              <w:pStyle w:val="Compact"/>
              <w:jc w:val="left"/>
            </w:pPr>
            <w:r>
              <w:rPr>
                <w:b/>
              </w:rPr>
              <w:t xml:space="preserve">Medium (6–11)</w:t>
            </w:r>
          </w:p>
        </w:tc>
        <w:tc>
          <w:p>
            <w:pPr>
              <w:pStyle w:val="Compact"/>
              <w:jc w:val="left"/>
            </w:pPr>
            <w:r>
              <w:t xml:space="preserve">1</w:t>
            </w:r>
          </w:p>
        </w:tc>
        <w:tc>
          <w:p>
            <w:pPr>
              <w:pStyle w:val="Compact"/>
              <w:jc w:val="left"/>
            </w:pPr>
            <w:r>
              <w:t xml:space="preserve">R13</w:t>
            </w:r>
          </w:p>
        </w:tc>
      </w:tr>
      <w:tr>
        <w:tc>
          <w:p>
            <w:pPr>
              <w:pStyle w:val="Compact"/>
              <w:jc w:val="left"/>
            </w:pPr>
            <w:r>
              <w:rPr>
                <w:b/>
              </w:rPr>
              <w:t xml:space="preserve">Low (1–5)</w:t>
            </w:r>
          </w:p>
        </w:tc>
        <w:tc>
          <w:p>
            <w:pPr>
              <w:pStyle w:val="Compact"/>
              <w:jc w:val="left"/>
            </w:pPr>
            <w:r>
              <w:t xml:space="preserve">0</w:t>
            </w:r>
          </w:p>
        </w:tc>
        <w:tc>
          <w:p>
            <w:pPr>
              <w:pStyle w:val="Compact"/>
              <w:jc w:val="left"/>
            </w:pPr>
            <w:r>
              <w:t xml:space="preserve">—</w:t>
            </w:r>
          </w:p>
        </w:tc>
      </w:tr>
    </w:tbl>
    <w:p>
      <w:pPr>
        <w:pStyle w:val="BodyText"/>
      </w:pPr>
      <w:r>
        <w:rPr>
          <w:i/>
        </w:rPr>
        <w:t xml:space="preserve">(R14 sits at 12 — top of the High band. Eleven of fourteen risks score High or Critical, which is consistent with a pre-revenue venture at the point of taking on capital and standing up production. The shape of the register — clustered High, nothing yet de-escalated to Low — is itself the message: this is a de-risking round.)</w:t>
      </w:r>
    </w:p>
    <w:p>
      <w:pPr>
        <w:pStyle w:val="BodyText"/>
      </w:pPr>
      <w:r>
        <w:rPr>
          <w:b/>
        </w:rPr>
        <w:t xml:space="preserve">Shareability split:</w:t>
      </w:r>
      <w:r>
        <w:t xml:space="preserve"> </w:t>
      </w:r>
      <w:r>
        <w:t xml:space="preserve">7 QBE-shareable as worded (R1, R7, R9, R10, R12, R13, R14) and 7 Internal-only (R2, R3, R4, R5, R6, R8, R11) — the Internal-only set is dominated by the four sensitive themes the public-copy rule names: unsettled entity, the QBE match, capital/debt decisions, and community-owned production.</w:t>
      </w:r>
    </w:p>
    <w:p>
      <w:r>
        <w:pict>
          <v:rect style="width:0;height:1.5pt" o:hralign="center" o:hrstd="t" o:hr="t"/>
        </w:pict>
      </w:r>
    </w:p>
    <w:p>
      <w:pPr>
        <w:pStyle w:val="Heading2"/>
      </w:pPr>
      <w:bookmarkStart w:id="113" w:name="X59eb187e233473facedbdd40bef1f7e9deac2db"/>
      <w:r>
        <w:t xml:space="preserve">Top 5 risks — narrative, mitigation, next action</w:t>
      </w:r>
      <w:bookmarkEnd w:id="113"/>
    </w:p>
    <w:p>
      <w:pPr>
        <w:pStyle w:val="Heading3"/>
      </w:pPr>
      <w:bookmarkStart w:id="114" w:name="X307cb3e23cc4e826859de2a6c8584e3a93ee8d7"/>
      <w:r>
        <w:t xml:space="preserve">1. Key-person / founder bottleneck (R1, score 20 — Critical)</w:t>
      </w:r>
      <w:bookmarkEnd w:id="114"/>
    </w:p>
    <w:p>
      <w:pPr>
        <w:pStyle w:val="FirstParagraph"/>
      </w:pPr>
      <w:r>
        <w:t xml:space="preserve">Two founders hold everything: every buyer, funder, production and community relationship routes back through Ben or Nic. This is not a future risk — it is the current operating state, and it caps how much capital and demand the organisation can absorb.</w:t>
      </w:r>
      <w:r>
        <w:t xml:space="preserve"> </w:t>
      </w:r>
      <w:r>
        <w:rPr>
          <w:b/>
        </w:rPr>
        <w:t xml:space="preserve">Mitigation:</w:t>
      </w:r>
      <w:r>
        <w:t xml:space="preserve"> </w:t>
      </w:r>
      <w:r>
        <w:t xml:space="preserve">the two named priority hires (General Manager and Business Development lead), with interim cover from QBE skilled-volunteering and the 6-session PIN mentoring.</w:t>
      </w:r>
      <w:r>
        <w:t xml:space="preserve"> </w:t>
      </w:r>
      <w:r>
        <w:rPr>
          <w:b/>
        </w:rPr>
        <w:t xml:space="preserve">Next action:</w:t>
      </w:r>
      <w:r>
        <w:t xml:space="preserve"> </w:t>
      </w:r>
      <w:r>
        <w:t xml:space="preserve">build the delegation map — write down what has actually become teachable versus what is still founder-only — and sequence the GM hire to land alongside the capital, so there is someone to absorb it.</w:t>
      </w:r>
      <w:r>
        <w:t xml:space="preserve"> </w:t>
      </w:r>
      <w:r>
        <w:rPr>
          <w:i/>
        </w:rPr>
        <w:t xml:space="preserve">Shareable with QBE as a recognised constraint with a credible hiring plan.</w:t>
      </w:r>
    </w:p>
    <w:p>
      <w:pPr>
        <w:pStyle w:val="Heading3"/>
      </w:pPr>
      <w:bookmarkStart w:id="115" w:name="story-data-consent-r2-score-20-critical"/>
      <w:r>
        <w:t xml:space="preserve">2. Story / data consent (R2, score 20 — Critical)</w:t>
      </w:r>
      <w:bookmarkEnd w:id="115"/>
    </w:p>
    <w:p>
      <w:pPr>
        <w:pStyle w:val="FirstParagraph"/>
      </w:pPr>
      <w:r>
        <w:t xml:space="preserve">Goods works at the join between household hardware and people’s health and dignity, which means it holds raw transcripts, images, names and CRM records. If any of that is used or shared without the person’s control, the consequence is severe and not recoverable — it breaks the relationship and the model’s foundation. Only two storytellers (Ivy Johnson, Dianne Stokes) are cleared for external use; the rest are consent-pending, and plaintext passwords still sit in Notion.</w:t>
      </w:r>
      <w:r>
        <w:t xml:space="preserve"> </w:t>
      </w:r>
      <w:r>
        <w:rPr>
          <w:b/>
        </w:rPr>
        <w:t xml:space="preserve">Mitigation:</w:t>
      </w:r>
      <w:r>
        <w:t xml:space="preserve"> </w:t>
      </w:r>
      <w:r>
        <w:t xml:space="preserve">consent-led review before any external use, de-identified examples only, and the consent gate run before anything is published.</w:t>
      </w:r>
      <w:r>
        <w:t xml:space="preserve"> </w:t>
      </w:r>
      <w:r>
        <w:rPr>
          <w:b/>
        </w:rPr>
        <w:t xml:space="preserve">Next action:</w:t>
      </w:r>
      <w:r>
        <w:t xml:space="preserve"> </w:t>
      </w:r>
      <w:r>
        <w:t xml:space="preserve">rotate the plaintext passwords out of Notion and lock the consent-cleared list before the pack goes anywhere.</w:t>
      </w:r>
      <w:r>
        <w:t xml:space="preserve"> </w:t>
      </w:r>
      <w:r>
        <w:rPr>
          <w:i/>
        </w:rPr>
        <w:t xml:space="preserve">The consent practice is shareable; the specific gaps and the pending list are not.</w:t>
      </w:r>
    </w:p>
    <w:p>
      <w:pPr>
        <w:pStyle w:val="Heading3"/>
      </w:pPr>
      <w:bookmarkStart w:id="116" w:name="cashflow-r3-score-16-high"/>
      <w:r>
        <w:t xml:space="preserve">3. Cashflow (R3, score 16 — High)</w:t>
      </w:r>
      <w:bookmarkEnd w:id="116"/>
    </w:p>
    <w:p>
      <w:pPr>
        <w:pStyle w:val="FirstParagraph"/>
      </w:pPr>
      <w:r>
        <w:t xml:space="preserve">About 89% of money in is grant-funded by design, and grant and customer receipts are lumpy — costs routinely land before the cash does, and there is no buffer policy yet. This is the risk most likely to force a bad decision (taking bridging debt, or building inventory the cash cannot support).</w:t>
      </w:r>
      <w:r>
        <w:t xml:space="preserve"> </w:t>
      </w:r>
      <w:r>
        <w:rPr>
          <w:b/>
        </w:rPr>
        <w:t xml:space="preserve">Mitigation:</w:t>
      </w:r>
      <w:r>
        <w:t xml:space="preserve"> </w:t>
      </w:r>
      <w:r>
        <w:t xml:space="preserve">a working-capital model with payment-milestone rules and a defined cash buffer.</w:t>
      </w:r>
      <w:r>
        <w:t xml:space="preserve"> </w:t>
      </w:r>
      <w:r>
        <w:rPr>
          <w:b/>
        </w:rPr>
        <w:t xml:space="preserve">Next action:</w:t>
      </w:r>
      <w:r>
        <w:t xml:space="preserve"> </w:t>
      </w:r>
      <w:r>
        <w:t xml:space="preserve">set the buffer policy and the milestone rules before any inventory build or plant spend, so timing discipline exists before the capital arrives.</w:t>
      </w:r>
      <w:r>
        <w:t xml:space="preserve"> </w:t>
      </w:r>
      <w:r>
        <w:rPr>
          <w:i/>
        </w:rPr>
        <w:t xml:space="preserve">Internal-only: cash timing and the missing buffer policy stay with founders and the accountant; the working-capital discipline can be described to QBE.</w:t>
      </w:r>
    </w:p>
    <w:p>
      <w:pPr>
        <w:pStyle w:val="Heading3"/>
      </w:pPr>
      <w:bookmarkStart w:id="117" w:name="X300542f665d1aec756474763f87abc98d651c11"/>
      <w:r>
        <w:t xml:space="preserve">4. Capital-raise / QBE-match miss (R4, score 16 — High, added by analysis)</w:t>
      </w:r>
      <w:bookmarkEnd w:id="117"/>
    </w:p>
    <w:p>
      <w:pPr>
        <w:pStyle w:val="FirstParagraph"/>
      </w:pPr>
      <w:r>
        <w:t xml:space="preserve">The headline ask depends on closing roughly AU$400K of signed, match-eligible capital by 31 August 2026 — and the QBE match is an</w:t>
      </w:r>
      <w:r>
        <w:t xml:space="preserve"> </w:t>
      </w:r>
      <w:r>
        <w:rPr>
          <w:i/>
        </w:rPr>
        <w:t xml:space="preserve">output</w:t>
      </w:r>
      <w:r>
        <w:t xml:space="preserve"> </w:t>
      </w:r>
      <w:r>
        <w:t xml:space="preserve">of money raised first, not an input. Signed match-eligible LOIs today: zero. The synthesis is right that this is</w:t>
      </w:r>
      <w:r>
        <w:t xml:space="preserve"> </w:t>
      </w:r>
      <w:r>
        <w:t xml:space="preserve">“</w:t>
      </w:r>
      <w:r>
        <w:t xml:space="preserve">a conversation problem, not a discovery problem,</w:t>
      </w:r>
      <w:r>
        <w:t xml:space="preserve">”</w:t>
      </w:r>
      <w:r>
        <w:t xml:space="preserve"> </w:t>
      </w:r>
      <w:r>
        <w:t xml:space="preserve">but the deadline is real and the match cap is unconfirmed in writing.</w:t>
      </w:r>
      <w:r>
        <w:t xml:space="preserve"> </w:t>
      </w:r>
      <w:r>
        <w:rPr>
          <w:b/>
        </w:rPr>
        <w:t xml:space="preserve">Mitigation:</w:t>
      </w:r>
      <w:r>
        <w:t xml:space="preserve"> </w:t>
      </w:r>
      <w:r>
        <w:t xml:space="preserve">convert one procurement or offtake LOI — that single signature fixes both the match gate and the weak commercial-paperwork gap — and keep the live commitment register current.</w:t>
      </w:r>
      <w:r>
        <w:t xml:space="preserve"> </w:t>
      </w:r>
      <w:r>
        <w:rPr>
          <w:b/>
        </w:rPr>
        <w:t xml:space="preserve">Next action:</w:t>
      </w:r>
      <w:r>
        <w:t xml:space="preserve"> </w:t>
      </w:r>
      <w:r>
        <w:t xml:space="preserve">drive the highest-probability LOI to signature; if it slips, trigger the</w:t>
      </w:r>
      <w:r>
        <w:t xml:space="preserve"> </w:t>
      </w:r>
      <w:r>
        <w:t xml:space="preserve">“</w:t>
      </w:r>
      <w:r>
        <w:t xml:space="preserve">capital late</w:t>
      </w:r>
      <w:r>
        <w:t xml:space="preserve">”</w:t>
      </w:r>
      <w:r>
        <w:t xml:space="preserve"> </w:t>
      </w:r>
      <w:r>
        <w:t xml:space="preserve">scenario (slow the plant, keep funded batches moving, avoid bridging debt).</w:t>
      </w:r>
      <w:r>
        <w:t xml:space="preserve"> </w:t>
      </w:r>
      <w:r>
        <w:rPr>
          <w:i/>
        </w:rPr>
        <w:t xml:space="preserve">Internal-only: the 0-LOI position, the match mechanics and the $200K/$400K uncertainty must never be presented externally as settled.</w:t>
      </w:r>
    </w:p>
    <w:p>
      <w:pPr>
        <w:pStyle w:val="Heading3"/>
      </w:pPr>
      <w:bookmarkStart w:id="118" w:name="X67a7f8a4ec0adff06165f3972f960fb120de666"/>
      <w:r>
        <w:t xml:space="preserve">5. Legal-structure / entity decision delay (R5, score 16 — High, added by analysis)</w:t>
      </w:r>
      <w:bookmarkEnd w:id="118"/>
    </w:p>
    <w:p>
      <w:pPr>
        <w:pStyle w:val="FirstParagraph"/>
      </w:pPr>
      <w:r>
        <w:t xml:space="preserve">The entity question is the keystone gap with zero artifacts: the form beneath ACT and the 51%+ First Nations-owned operating entity are both undecided, and that decision gates Supply Nation certification (the IPP threshold tightens 1 July 2026) and IBA/FAC eligibility — four of eight market pipes depend on it.</w:t>
      </w:r>
      <w:r>
        <w:t xml:space="preserve"> </w:t>
      </w:r>
      <w:r>
        <w:rPr>
          <w:b/>
        </w:rPr>
        <w:t xml:space="preserve">Mitigation:</w:t>
      </w:r>
      <w:r>
        <w:t xml:space="preserve"> </w:t>
      </w:r>
      <w:r>
        <w:t xml:space="preserve">approve one entity-wording block and a decided transition path, with MinterEllison’s input.</w:t>
      </w:r>
      <w:r>
        <w:t xml:space="preserve"> </w:t>
      </w:r>
      <w:r>
        <w:rPr>
          <w:b/>
        </w:rPr>
        <w:t xml:space="preserve">Next action:</w:t>
      </w:r>
      <w:r>
        <w:t xml:space="preserve"> </w:t>
      </w:r>
      <w:r>
        <w:t xml:space="preserve">make the Indigenous-ownership-structure decision against the 1-July threshold rather than letting it drift past it.</w:t>
      </w:r>
      <w:r>
        <w:t xml:space="preserve"> </w:t>
      </w:r>
      <w:r>
        <w:rPr>
          <w:i/>
        </w:rPr>
        <w:t xml:space="preserve">Internal-only: the entity form is unsettled and must be described as direction, never as decided.</w:t>
      </w:r>
    </w:p>
    <w:p>
      <w:pPr>
        <w:pStyle w:val="BlockText"/>
      </w:pPr>
      <w:r>
        <w:rPr>
          <w:b/>
        </w:rPr>
        <w:t xml:space="preserve">A note on the next tier.</w:t>
      </w:r>
      <w:r>
        <w:t xml:space="preserve"> </w:t>
      </w:r>
      <w:r>
        <w:t xml:space="preserve">R6 (debt before serviceability), R7 (governance lagging investor needs) and R8 (community-ownership value/risk asymmetry) all score High (15–16) and are tightly coupled to the top five — debt and governance are the same gate, and the community-ownership asymmetry is the mission risk that the whole structure decision has to protect against. Treat the top five and this tier as one connected cluster, not eight separate items.</w:t>
      </w:r>
    </w:p>
    <w:p>
      <w:r>
        <w:pict>
          <v:rect style="width:0;height:1.5pt" o:hralign="center" o:hrstd="t" o:hr="t"/>
        </w:pict>
      </w:r>
    </w:p>
    <w:p>
      <w:pPr>
        <w:pStyle w:val="Heading2"/>
      </w:pPr>
      <w:bookmarkStart w:id="119" w:name="X57e0f5c2e37b23b56c110e0e7a183e3bc380f8d"/>
      <w:r>
        <w:t xml:space="preserve">The</w:t>
      </w:r>
      <w:r>
        <w:t xml:space="preserve"> </w:t>
      </w:r>
      <w:r>
        <w:t xml:space="preserve">“</w:t>
      </w:r>
      <w:r>
        <w:t xml:space="preserve">do no harm</w:t>
      </w:r>
      <w:r>
        <w:t xml:space="preserve">”</w:t>
      </w:r>
      <w:r>
        <w:t xml:space="preserve"> </w:t>
      </w:r>
      <w:r>
        <w:t xml:space="preserve">test (the risk frame behind the scores)</w:t>
      </w:r>
      <w:bookmarkEnd w:id="119"/>
    </w:p>
    <w:p>
      <w:pPr>
        <w:pStyle w:val="FirstParagraph"/>
      </w:pPr>
      <w:r>
        <w:t xml:space="preserve">Nicholas named the governing test:</w:t>
      </w:r>
      <w:r>
        <w:t xml:space="preserve"> </w:t>
      </w:r>
      <w:r>
        <w:rPr>
          <w:b/>
        </w:rPr>
        <w:t xml:space="preserve">do no harm.</w:t>
      </w:r>
      <w:r>
        <w:t xml:space="preserve"> </w:t>
      </w:r>
      <w:r>
        <w:t xml:space="preserve">Every risk above maps to one of these practical commitments:</w:t>
      </w:r>
    </w:p>
    <w:p>
      <w:pPr>
        <w:numPr>
          <w:ilvl w:val="0"/>
          <w:numId w:val="1021"/>
        </w:numPr>
        <w:pStyle w:val="Compact"/>
      </w:pPr>
      <w:r>
        <w:t xml:space="preserve">Do not put unsafe products into houses.</w:t>
      </w:r>
      <w:r>
        <w:t xml:space="preserve"> </w:t>
      </w:r>
      <w:r>
        <w:rPr>
          <w:i/>
        </w:rPr>
        <w:t xml:space="preserve">(R13)</w:t>
      </w:r>
    </w:p>
    <w:p>
      <w:pPr>
        <w:numPr>
          <w:ilvl w:val="0"/>
          <w:numId w:val="1021"/>
        </w:numPr>
        <w:pStyle w:val="Compact"/>
      </w:pPr>
      <w:r>
        <w:t xml:space="preserve">Do not put unsafe equipment into community production.</w:t>
      </w:r>
      <w:r>
        <w:t xml:space="preserve"> </w:t>
      </w:r>
      <w:r>
        <w:rPr>
          <w:i/>
        </w:rPr>
        <w:t xml:space="preserve">(R13, R11)</w:t>
      </w:r>
    </w:p>
    <w:p>
      <w:pPr>
        <w:numPr>
          <w:ilvl w:val="0"/>
          <w:numId w:val="1021"/>
        </w:numPr>
        <w:pStyle w:val="Compact"/>
      </w:pPr>
      <w:r>
        <w:t xml:space="preserve">Do not use stories in ways people cannot control.</w:t>
      </w:r>
      <w:r>
        <w:t xml:space="preserve"> </w:t>
      </w:r>
      <w:r>
        <w:rPr>
          <w:i/>
        </w:rPr>
        <w:t xml:space="preserve">(R2)</w:t>
      </w:r>
    </w:p>
    <w:p>
      <w:pPr>
        <w:numPr>
          <w:ilvl w:val="0"/>
          <w:numId w:val="1021"/>
        </w:numPr>
        <w:pStyle w:val="Compact"/>
      </w:pPr>
      <w:r>
        <w:t xml:space="preserve">Do not claim circular economy while creating a new waste problem.</w:t>
      </w:r>
      <w:r>
        <w:t xml:space="preserve"> </w:t>
      </w:r>
      <w:r>
        <w:rPr>
          <w:i/>
        </w:rPr>
        <w:t xml:space="preserve">(R9, R14)</w:t>
      </w:r>
    </w:p>
    <w:p>
      <w:pPr>
        <w:numPr>
          <w:ilvl w:val="0"/>
          <w:numId w:val="1021"/>
        </w:numPr>
        <w:pStyle w:val="Compact"/>
      </w:pPr>
      <w:r>
        <w:t xml:space="preserve">Do not take debt that forces bad product or bad community decisions.</w:t>
      </w:r>
      <w:r>
        <w:t xml:space="preserve"> </w:t>
      </w:r>
      <w:r>
        <w:rPr>
          <w:i/>
        </w:rPr>
        <w:t xml:space="preserve">(R6, R3)</w:t>
      </w:r>
    </w:p>
    <w:p>
      <w:pPr>
        <w:numPr>
          <w:ilvl w:val="0"/>
          <w:numId w:val="1021"/>
        </w:numPr>
        <w:pStyle w:val="Compact"/>
      </w:pPr>
      <w:r>
        <w:t xml:space="preserve">Do not let funder timelines override community readiness.</w:t>
      </w:r>
      <w:r>
        <w:t xml:space="preserve"> </w:t>
      </w:r>
      <w:r>
        <w:rPr>
          <w:i/>
        </w:rPr>
        <w:t xml:space="preserve">(R10, R11, R4)</w:t>
      </w:r>
    </w:p>
    <w:p>
      <w:pPr>
        <w:numPr>
          <w:ilvl w:val="0"/>
          <w:numId w:val="1021"/>
        </w:numPr>
        <w:pStyle w:val="Compact"/>
      </w:pPr>
      <w:r>
        <w:t xml:space="preserve">Do not centralise value in ACT while talking about community ownership.</w:t>
      </w:r>
      <w:r>
        <w:t xml:space="preserve"> </w:t>
      </w:r>
      <w:r>
        <w:rPr>
          <w:i/>
        </w:rPr>
        <w:t xml:space="preserve">(R8)</w:t>
      </w:r>
    </w:p>
    <w:p>
      <w:r>
        <w:pict>
          <v:rect style="width:0;height:1.5pt" o:hralign="center" o:hrstd="t" o:hr="t"/>
        </w:pict>
      </w:r>
    </w:p>
    <w:p>
      <w:pPr>
        <w:pStyle w:val="Heading2"/>
      </w:pPr>
      <w:bookmarkStart w:id="120" w:name="scenario-responses-pre-agreed-moves"/>
      <w:r>
        <w:t xml:space="preserve">Scenario responses (pre-agreed moves)</w:t>
      </w:r>
      <w:bookmarkEnd w:id="12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Response</w:t>
            </w:r>
          </w:p>
        </w:tc>
        <w:tc>
          <w:tcPr>
            <w:tcBorders>
              <w:bottom w:val="single"/>
            </w:tcBorders>
            <w:vAlign w:val="bottom"/>
          </w:tcPr>
          <w:p>
            <w:pPr>
              <w:pStyle w:val="Compact"/>
              <w:jc w:val="left"/>
            </w:pPr>
            <w:r>
              <w:t xml:space="preserve">Related risk</w:t>
            </w:r>
          </w:p>
        </w:tc>
      </w:tr>
      <w:tr>
        <w:tc>
          <w:p>
            <w:pPr>
              <w:pStyle w:val="Compact"/>
              <w:jc w:val="left"/>
            </w:pPr>
            <w:r>
              <w:t xml:space="preserve">QBE match or a key grant is missed</w:t>
            </w:r>
          </w:p>
        </w:tc>
        <w:tc>
          <w:p>
            <w:pPr>
              <w:pStyle w:val="Compact"/>
              <w:jc w:val="left"/>
            </w:pPr>
            <w:r>
              <w:t xml:space="preserve">Slow the plant rollout, keep smaller funded batches moving, protect trust, avoid debt taken just to maintain momentum.</w:t>
            </w:r>
          </w:p>
        </w:tc>
        <w:tc>
          <w:p>
            <w:pPr>
              <w:pStyle w:val="Compact"/>
              <w:jc w:val="left"/>
            </w:pPr>
            <w:r>
              <w:t xml:space="preserve">R4, R6</w:t>
            </w:r>
          </w:p>
        </w:tc>
      </w:tr>
      <w:tr>
        <w:tc>
          <w:p>
            <w:pPr>
              <w:pStyle w:val="Compact"/>
              <w:jc w:val="left"/>
            </w:pPr>
            <w:r>
              <w:t xml:space="preserve">Capital lands faster than expected</w:t>
            </w:r>
          </w:p>
        </w:tc>
        <w:tc>
          <w:p>
            <w:pPr>
              <w:pStyle w:val="Compact"/>
              <w:jc w:val="left"/>
            </w:pPr>
            <w:r>
              <w:t xml:space="preserve">Resist central over-hiring. Direct money to inventory, production readiness, local roles, finance controls, repair/service loops.</w:t>
            </w:r>
          </w:p>
        </w:tc>
        <w:tc>
          <w:p>
            <w:pPr>
              <w:pStyle w:val="Compact"/>
              <w:jc w:val="left"/>
            </w:pPr>
            <w:r>
              <w:t xml:space="preserve">R1, R3</w:t>
            </w:r>
          </w:p>
        </w:tc>
      </w:tr>
      <w:tr>
        <w:tc>
          <w:p>
            <w:pPr>
              <w:pStyle w:val="Compact"/>
              <w:jc w:val="left"/>
            </w:pPr>
            <w:r>
              <w:t xml:space="preserve">Resident purchasing is slower than hoped</w:t>
            </w:r>
          </w:p>
        </w:tc>
        <w:tc>
          <w:p>
            <w:pPr>
              <w:pStyle w:val="Compact"/>
              <w:jc w:val="left"/>
            </w:pPr>
            <w:r>
              <w:t xml:space="preserve">Keep institutional and philanthropic channels open while improving affordability, desirability and local proof.</w:t>
            </w:r>
          </w:p>
        </w:tc>
        <w:tc>
          <w:p>
            <w:pPr>
              <w:pStyle w:val="Compact"/>
              <w:jc w:val="left"/>
            </w:pPr>
            <w:r>
              <w:t xml:space="preserve">R3, R4</w:t>
            </w:r>
          </w:p>
        </w:tc>
      </w:tr>
      <w:tr>
        <w:tc>
          <w:p>
            <w:pPr>
              <w:pStyle w:val="Compact"/>
              <w:jc w:val="left"/>
            </w:pPr>
            <w:r>
              <w:t xml:space="preserve">Plant partner is ready but capital is late</w:t>
            </w:r>
          </w:p>
        </w:tc>
        <w:tc>
          <w:p>
            <w:pPr>
              <w:pStyle w:val="Compact"/>
              <w:jc w:val="left"/>
            </w:pPr>
            <w:r>
              <w:t xml:space="preserve">Staged readiness pathway: training, source material, orders, facility design, partner governance before any machinery commitment.</w:t>
            </w:r>
          </w:p>
        </w:tc>
        <w:tc>
          <w:p>
            <w:pPr>
              <w:pStyle w:val="Compact"/>
              <w:jc w:val="left"/>
            </w:pPr>
            <w:r>
              <w:t xml:space="preserve">R11</w:t>
            </w:r>
          </w:p>
        </w:tc>
      </w:tr>
      <w:tr>
        <w:tc>
          <w:p>
            <w:pPr>
              <w:pStyle w:val="Compact"/>
              <w:jc w:val="left"/>
            </w:pPr>
            <w:r>
              <w:t xml:space="preserve">Demand spikes before supply is ready</w:t>
            </w:r>
          </w:p>
        </w:tc>
        <w:tc>
          <w:p>
            <w:pPr>
              <w:pStyle w:val="Compact"/>
              <w:jc w:val="left"/>
            </w:pPr>
            <w:r>
              <w:t xml:space="preserve">Transparent waitlists, buyer communication, quality over rushed production.</w:t>
            </w:r>
          </w:p>
        </w:tc>
        <w:tc>
          <w:p>
            <w:pPr>
              <w:pStyle w:val="Compact"/>
              <w:jc w:val="left"/>
            </w:pPr>
            <w:r>
              <w:t xml:space="preserve">R10, R11</w:t>
            </w:r>
          </w:p>
        </w:tc>
      </w:tr>
      <w:tr>
        <w:tc>
          <w:p>
            <w:pPr>
              <w:pStyle w:val="Compact"/>
              <w:jc w:val="left"/>
            </w:pPr>
            <w:r>
              <w:t xml:space="preserve">Story or data consent is unclear</w:t>
            </w:r>
          </w:p>
        </w:tc>
        <w:tc>
          <w:p>
            <w:pPr>
              <w:pStyle w:val="Compact"/>
              <w:jc w:val="left"/>
            </w:pPr>
            <w:r>
              <w:t xml:space="preserve">Do not publish or send externally. Move to the review queue; use de-identified pattern evidence only.</w:t>
            </w:r>
          </w:p>
        </w:tc>
        <w:tc>
          <w:p>
            <w:pPr>
              <w:pStyle w:val="Compact"/>
              <w:jc w:val="left"/>
            </w:pPr>
            <w:r>
              <w:t xml:space="preserve">R2</w:t>
            </w:r>
          </w:p>
        </w:tc>
      </w:tr>
    </w:tbl>
    <w:p>
      <w:r>
        <w:pict>
          <v:rect style="width:0;height:1.5pt" o:hralign="center" o:hrstd="t" o:hr="t"/>
        </w:pict>
      </w:r>
    </w:p>
    <w:p>
      <w:pPr>
        <w:pStyle w:val="Heading2"/>
      </w:pPr>
      <w:bookmarkStart w:id="121" w:name="X6af84286e1244df8dc2218dadb72e8c6b59783b"/>
      <w:r>
        <w:t xml:space="preserve">Review cadence (so the register gets used, not filed)</w:t>
      </w:r>
      <w:bookmarkEnd w:id="1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Rhythm</w:t>
            </w:r>
          </w:p>
        </w:tc>
        <w:tc>
          <w:tcPr>
            <w:tcBorders>
              <w:bottom w:val="single"/>
            </w:tcBorders>
            <w:vAlign w:val="bottom"/>
          </w:tcPr>
          <w:p>
            <w:pPr>
              <w:pStyle w:val="Compact"/>
              <w:jc w:val="left"/>
            </w:pPr>
            <w:r>
              <w:t xml:space="preserve">What gets reviewed</w:t>
            </w:r>
          </w:p>
        </w:tc>
        <w:tc>
          <w:tcPr>
            <w:tcBorders>
              <w:bottom w:val="single"/>
            </w:tcBorders>
            <w:vAlign w:val="bottom"/>
          </w:tcPr>
          <w:p>
            <w:pPr>
              <w:pStyle w:val="Compact"/>
              <w:jc w:val="left"/>
            </w:pPr>
            <w:r>
              <w:t xml:space="preserve">Owner</w:t>
            </w:r>
          </w:p>
        </w:tc>
      </w:tr>
      <w:tr>
        <w:tc>
          <w:p>
            <w:pPr>
              <w:pStyle w:val="Compact"/>
              <w:jc w:val="left"/>
            </w:pPr>
            <w:r>
              <w:t xml:space="preserve">Weekly</w:t>
            </w:r>
          </w:p>
        </w:tc>
        <w:tc>
          <w:p>
            <w:pPr>
              <w:pStyle w:val="Compact"/>
              <w:jc w:val="left"/>
            </w:pPr>
            <w:r>
              <w:t xml:space="preserve">Live blockers on R1, R3, R4 (hires, cash, LOIs)</w:t>
            </w:r>
          </w:p>
        </w:tc>
        <w:tc>
          <w:p>
            <w:pPr>
              <w:pStyle w:val="Compact"/>
              <w:jc w:val="left"/>
            </w:pPr>
            <w:r>
              <w:t xml:space="preserve">Ben / Nic</w:t>
            </w:r>
          </w:p>
        </w:tc>
      </w:tr>
      <w:tr>
        <w:tc>
          <w:p>
            <w:pPr>
              <w:pStyle w:val="Compact"/>
              <w:jc w:val="left"/>
            </w:pPr>
            <w:r>
              <w:t xml:space="preserve">Monthly</w:t>
            </w:r>
          </w:p>
        </w:tc>
        <w:tc>
          <w:p>
            <w:pPr>
              <w:pStyle w:val="Compact"/>
              <w:jc w:val="left"/>
            </w:pPr>
            <w:r>
              <w:t xml:space="preserve">Full register re-scored; cashflow, capital pipeline, plant readiness</w:t>
            </w:r>
          </w:p>
        </w:tc>
        <w:tc>
          <w:p>
            <w:pPr>
              <w:pStyle w:val="Compact"/>
              <w:jc w:val="left"/>
            </w:pPr>
            <w:r>
              <w:t xml:space="preserve">Ben (into governance/advisory pack)</w:t>
            </w:r>
          </w:p>
        </w:tc>
      </w:tr>
      <w:tr>
        <w:tc>
          <w:p>
            <w:pPr>
              <w:pStyle w:val="Compact"/>
              <w:jc w:val="left"/>
            </w:pPr>
            <w:r>
              <w:t xml:space="preserve">Before accepting capital</w:t>
            </w:r>
          </w:p>
        </w:tc>
        <w:tc>
          <w:p>
            <w:pPr>
              <w:pStyle w:val="Compact"/>
              <w:jc w:val="left"/>
            </w:pPr>
            <w:r>
              <w:t xml:space="preserve">R3, R4, R6, R7 — debt service, use of funds, legal vehicle, reporting capacity, risk owners</w:t>
            </w:r>
          </w:p>
        </w:tc>
        <w:tc>
          <w:p>
            <w:pPr>
              <w:pStyle w:val="Compact"/>
              <w:jc w:val="left"/>
            </w:pPr>
            <w:r>
              <w:t xml:space="preserve">Ben + advisory</w:t>
            </w:r>
          </w:p>
        </w:tc>
      </w:tr>
      <w:tr>
        <w:tc>
          <w:p>
            <w:pPr>
              <w:pStyle w:val="Compact"/>
              <w:jc w:val="left"/>
            </w:pPr>
            <w:r>
              <w:t xml:space="preserve">Before choosing a plant</w:t>
            </w:r>
          </w:p>
        </w:tc>
        <w:tc>
          <w:p>
            <w:pPr>
              <w:pStyle w:val="Compact"/>
              <w:jc w:val="left"/>
            </w:pPr>
            <w:r>
              <w:t xml:space="preserve">R9, R10, R11 — partner readiness, consent, plastic, power, freight, WHS, delivery</w:t>
            </w:r>
          </w:p>
        </w:tc>
        <w:tc>
          <w:p>
            <w:pPr>
              <w:pStyle w:val="Compact"/>
              <w:jc w:val="left"/>
            </w:pPr>
            <w:r>
              <w:t xml:space="preserve">Nic</w:t>
            </w:r>
          </w:p>
        </w:tc>
      </w:tr>
      <w:tr>
        <w:tc>
          <w:p>
            <w:pPr>
              <w:pStyle w:val="Compact"/>
              <w:jc w:val="left"/>
            </w:pPr>
            <w:r>
              <w:t xml:space="preserve">Before any external send</w:t>
            </w:r>
          </w:p>
        </w:tc>
        <w:tc>
          <w:p>
            <w:pPr>
              <w:pStyle w:val="Compact"/>
              <w:jc w:val="left"/>
            </w:pPr>
            <w:r>
              <w:t xml:space="preserve">R2, R14 — consent clearance and number audit (pre-send checklist)</w:t>
            </w:r>
          </w:p>
        </w:tc>
        <w:tc>
          <w:p>
            <w:pPr>
              <w:pStyle w:val="Compact"/>
              <w:jc w:val="left"/>
            </w:pPr>
            <w:r>
              <w:t xml:space="preserve">Ben</w:t>
            </w:r>
          </w:p>
        </w:tc>
      </w:tr>
    </w:tbl>
    <w:p>
      <w:r>
        <w:pict>
          <v:rect style="width:0;height:1.5pt" o:hralign="center" o:hrstd="t" o:hr="t"/>
        </w:pict>
      </w:r>
    </w:p>
    <w:p>
      <w:pPr>
        <w:pStyle w:val="Heading2"/>
      </w:pPr>
      <w:bookmarkStart w:id="122" w:name="provenance-and-limits"/>
      <w:r>
        <w:t xml:space="preserve">Provenance and limits</w:t>
      </w:r>
      <w:bookmarkEnd w:id="122"/>
    </w:p>
    <w:p>
      <w:pPr>
        <w:numPr>
          <w:ilvl w:val="0"/>
          <w:numId w:val="1022"/>
        </w:numPr>
        <w:pStyle w:val="Compact"/>
      </w:pPr>
      <w:r>
        <w:rPr>
          <w:b/>
        </w:rPr>
        <w:t xml:space="preserve">Sources:</w:t>
      </w:r>
      <w:r>
        <w:t xml:space="preserve"> </w:t>
      </w:r>
      <w:r>
        <w:rPr>
          <w:rStyle w:val="VerbatimChar"/>
        </w:rPr>
        <w:t xml:space="preserve">00-master-alignment-map.md</w:t>
      </w:r>
      <w:r>
        <w:t xml:space="preserve"> </w:t>
      </w:r>
      <w:r>
        <w:t xml:space="preserve">(§7–10),</w:t>
      </w:r>
      <w:r>
        <w:t xml:space="preserve"> </w:t>
      </w:r>
      <w:r>
        <w:rPr>
          <w:rStyle w:val="VerbatimChar"/>
        </w:rPr>
        <w:t xml:space="preserve">wiki/articles/enterprise/05-strategic-planning-risk.md</w:t>
      </w:r>
      <w:r>
        <w:t xml:space="preserve">,</w:t>
      </w:r>
      <w:r>
        <w:t xml:space="preserve"> </w:t>
      </w:r>
      <w:r>
        <w:rPr>
          <w:rStyle w:val="VerbatimChar"/>
        </w:rPr>
        <w:t xml:space="preserve">wiki/articles/governance/risk-register.md</w:t>
      </w:r>
      <w:r>
        <w:t xml:space="preserve">. The two source articles are consistent with each other and with the master map; no conflicts required flagging.</w:t>
      </w:r>
    </w:p>
    <w:p>
      <w:pPr>
        <w:numPr>
          <w:ilvl w:val="0"/>
          <w:numId w:val="1022"/>
        </w:numPr>
        <w:pStyle w:val="Compact"/>
      </w:pPr>
      <w:r>
        <w:rPr>
          <w:b/>
        </w:rPr>
        <w:t xml:space="preserve">Risks added by analysis</w:t>
      </w:r>
      <w:r>
        <w:t xml:space="preserve"> </w:t>
      </w:r>
      <w:r>
        <w:t xml:space="preserve">(labelled in-line): R4 capital/match miss, R5 entity decision delay, R12 single-supplier dependency, R14 public-copy/overclaim. Each is reasoned from material already in the synthesis (the 31 Aug deadline, the keystone entity gap, the Defy 8.6× input, the labelling discipline), not invented.</w:t>
      </w:r>
    </w:p>
    <w:p>
      <w:pPr>
        <w:numPr>
          <w:ilvl w:val="0"/>
          <w:numId w:val="1022"/>
        </w:numPr>
        <w:pStyle w:val="Compact"/>
      </w:pPr>
      <w:r>
        <w:rPr>
          <w:b/>
        </w:rPr>
        <w:t xml:space="preserve">Scores are judgement, not assessment.</w:t>
      </w:r>
      <w:r>
        <w:t xml:space="preserve"> </w:t>
      </w:r>
      <w:r>
        <w:t xml:space="preserve">Likelihood and consequence are founder-review estimates anchored to the master map’s evidence labels, not an independent risk audit. Re-score at the monthly review.</w:t>
      </w:r>
    </w:p>
    <w:p>
      <w:pPr>
        <w:numPr>
          <w:ilvl w:val="0"/>
          <w:numId w:val="1022"/>
        </w:numPr>
        <w:pStyle w:val="Compact"/>
      </w:pPr>
      <w:r>
        <w:rPr>
          <w:b/>
        </w:rPr>
        <w:t xml:space="preserve">This is a working register for founder review, not an audited document.</w:t>
      </w:r>
      <w:r>
        <w:t xml:space="preserve"> </w:t>
      </w:r>
      <w:r>
        <w:t xml:space="preserve">Do not present it externally as a completed compliance artifact, and apply the shareability column before any line is shown to QBE.</w:t>
      </w:r>
    </w:p>
    <w:p>
      <w:r>
        <w:br w:type="page"/>
      </w:r>
    </w:p>
    <w:p>
      <w:pPr>
        <w:pStyle w:val="Heading1"/>
      </w:pPr>
      <w:bookmarkStart w:id="123" w:name="area-6-operating-model-owner-map"/>
      <w:r>
        <w:t xml:space="preserve">Area 6 · Operating Model &amp; Owner Map</w:t>
      </w:r>
      <w:bookmarkEnd w:id="123"/>
    </w:p>
    <w:p>
      <w:pPr>
        <w:pStyle w:val="Heading1"/>
      </w:pPr>
      <w:bookmarkStart w:id="124" w:name="operating-model-and-owner-map"/>
      <w:r>
        <w:t xml:space="preserve">Operating model and owner map</w:t>
      </w:r>
      <w:bookmarkEnd w:id="124"/>
    </w:p>
    <w:p>
      <w:pPr>
        <w:pStyle w:val="BlockText"/>
      </w:pPr>
      <w:r>
        <w:rPr>
          <w:b/>
        </w:rPr>
        <w:t xml:space="preserve">What this is.</w:t>
      </w:r>
      <w:r>
        <w:t xml:space="preserve"> </w:t>
      </w:r>
      <w:r>
        <w:t xml:space="preserve">A plain map of how Goods runs: the flow from order to feedback, the systems that hold the truth, who owns what, the production SOP we still need to write, and the rule that keeps AI a tool rather than an author. The diagnostic’s verdict on this area was that the architecture is thoughtful but the daily operating discipline still needs human verification and the processes still live in two founders’ heads. This document is the start of moving them onto the page.</w:t>
      </w:r>
    </w:p>
    <w:p>
      <w:pPr>
        <w:pStyle w:val="BlockText"/>
      </w:pPr>
      <w:r>
        <w:rPr>
          <w:b/>
        </w:rPr>
        <w:t xml:space="preserve">The honest framing.</w:t>
      </w:r>
      <w:r>
        <w:t xml:space="preserve"> </w:t>
      </w:r>
      <w:r>
        <w:t xml:space="preserve">Strong systems, emerging operating system. Several things are genuinely live — the Stretch Bed ecommerce path, the Supabase truth layer, the QR asset register, GHL integration. Other things are documented-but-manual or still founder-carried — production tracking, repair follow-up, washing-machine telemetry as a reliable feed. We mark each one rather than imply the whole machine is humming. The founder bottleneck is the #1 risk in the register, and it is</w:t>
      </w:r>
      <w:r>
        <w:t xml:space="preserve"> </w:t>
      </w:r>
      <w:r>
        <w:t xml:space="preserve">“</w:t>
      </w:r>
      <w:r>
        <w:t xml:space="preserve">already happening</w:t>
      </w:r>
      <w:r>
        <w:t xml:space="preserve">”</w:t>
      </w:r>
      <w:r>
        <w:t xml:space="preserve">; this document exists partly to reduce it.</w:t>
      </w:r>
    </w:p>
    <w:p>
      <w:r>
        <w:pict>
          <v:rect style="width:0;height:1.5pt" o:hralign="center" o:hrstd="t" o:hr="t"/>
        </w:pict>
      </w:r>
    </w:p>
    <w:p>
      <w:pPr>
        <w:pStyle w:val="Heading2"/>
      </w:pPr>
      <w:bookmarkStart w:id="125" w:name="the-operating-flow"/>
      <w:r>
        <w:t xml:space="preserve">1. The operating flow</w:t>
      </w:r>
      <w:bookmarkEnd w:id="125"/>
    </w:p>
    <w:p>
      <w:pPr>
        <w:pStyle w:val="FirstParagraph"/>
      </w:pPr>
      <w:r>
        <w:t xml:space="preserve">This is the path a bed takes from someone wanting one to us learning whether it worked. The point of writing it down is so a third person — a new hire, a mentor, a community operator — can see the whole loop without a founder narrating it.</w:t>
      </w:r>
    </w:p>
    <w:p>
      <w:pPr>
        <w:pStyle w:val="SourceCode"/>
      </w:pPr>
      <w:r>
        <w:rPr>
          <w:rStyle w:val="VerbatimChar"/>
        </w:rPr>
        <w:t xml:space="preserve">  DEMAND / ORDER          ON-COUNTRY MANUFACTURE              QR-TAG &amp; REGISTER        DELIVERY            FEEDBACK / TELEMETRY</w:t>
      </w:r>
      <w:r>
        <w:br/>
      </w:r>
      <w:r>
        <w:rPr>
          <w:rStyle w:val="VerbatimChar"/>
        </w:rPr>
        <w:t xml:space="preserve">  --------------          ---------------------              -----------------        --------            --------------------</w:t>
      </w:r>
      <w:r>
        <w:br/>
      </w:r>
      <w:r>
        <w:rPr>
          <w:rStyle w:val="VerbatimChar"/>
        </w:rPr>
        <w:t xml:space="preserve">  Shop order (Stripe)     collect HDPE  -&gt;  shred  -&gt;  press  Unique ID / QR on        Freight or hand     QR scan -&gt; support /</w:t>
      </w:r>
      <w:r>
        <w:br/>
      </w:r>
      <w:r>
        <w:rPr>
          <w:rStyle w:val="VerbatimChar"/>
        </w:rPr>
        <w:t xml:space="preserve">  or institutional   --&gt;  sheet  -&gt;  cut parts  -&gt;  assemble  each unit; recorded  --&gt;  delivery to    --&gt;  repair / feedback;</w:t>
      </w:r>
      <w:r>
        <w:br/>
      </w:r>
      <w:r>
        <w:rPr>
          <w:rStyle w:val="VerbatimChar"/>
        </w:rPr>
        <w:t xml:space="preserve">  request / grant         with steel poles + canvas           in the asset register    community            washing-machine</w:t>
      </w:r>
      <w:r>
        <w:br/>
      </w:r>
      <w:r>
        <w:rPr>
          <w:rStyle w:val="VerbatimChar"/>
        </w:rPr>
        <w:t xml:space="preserve">  -funded batch           (~5 min final assembly, no tools)   (Supabase)                                    telemetry (IoT)</w:t>
      </w:r>
      <w:r>
        <w:br/>
      </w:r>
      <w:r>
        <w:rPr>
          <w:rStyle w:val="VerbatimChar"/>
        </w:rPr>
        <w:t xml:space="preserve">        |                          |                                 |                     |                       |</w:t>
      </w:r>
      <w:r>
        <w:br/>
      </w:r>
      <w:r>
        <w:rPr>
          <w:rStyle w:val="VerbatimChar"/>
        </w:rPr>
        <w:t xml:space="preserve">   [ SYSTEMISED ]          [ FOUNDER-DEPENDENT ]            [ SYSTEMISED ]         [ FOUNDER-DEPENDENT ] [ PARTLY SYSTEMISED ]</w:t>
      </w:r>
      <w:r>
        <w:br/>
      </w:r>
      <w:r>
        <w:rPr>
          <w:rStyle w:val="VerbatimChar"/>
        </w:rPr>
        <w:t xml:space="preserve">   shop path is live;      manufacture is run by             register is live      logistics are         QR + register exist;</w:t>
      </w:r>
      <w:r>
        <w:br/>
      </w:r>
      <w:r>
        <w:rPr>
          <w:rStyle w:val="VerbatimChar"/>
        </w:rPr>
        <w:t xml:space="preserve">   institutional orders    the founders by hand;             and the strongest     coordinated by        telemetry and repair</w:t>
      </w:r>
      <w:r>
        <w:br/>
      </w:r>
      <w:r>
        <w:rPr>
          <w:rStyle w:val="VerbatimChar"/>
        </w:rPr>
        <w:t xml:space="preserve">   are relationship-led    0 beds assembled in-house         single piece of       hand, relationship    follow-up are not yet</w:t>
      </w:r>
      <w:r>
        <w:br/>
      </w:r>
      <w:r>
        <w:rPr>
          <w:rStyle w:val="VerbatimChar"/>
        </w:rPr>
        <w:t xml:space="preserve">   and manual              in-house yet [MODELLED]           operating evidence    by relationship       a reliable feed</w:t>
      </w:r>
    </w:p>
    <w:p>
      <w:pPr>
        <w:pStyle w:val="FirstParagraph"/>
      </w:pPr>
      <w:r>
        <w:rPr>
          <w:b/>
        </w:rPr>
        <w:t xml:space="preserve">What is automated / systematised</w:t>
      </w:r>
      <w:r>
        <w:t xml:space="preserve"> </w:t>
      </w:r>
      <w:r>
        <w:t xml:space="preserve">-</w:t>
      </w:r>
      <w:r>
        <w:t xml:space="preserve"> </w:t>
      </w:r>
      <w:r>
        <w:rPr>
          <w:b/>
        </w:rPr>
        <w:t xml:space="preserve">Order intake for the Stretch Bed.</w:t>
      </w:r>
      <w:r>
        <w:t xml:space="preserve"> </w:t>
      </w:r>
      <w:r>
        <w:t xml:space="preserve">The shop and Stripe path is live and works end to end. Commercial revenue through it is AU$90 across three orders [WORKPAPER] — proof the pipe works, not proof of a market.</w:t>
      </w:r>
      <w:r>
        <w:t xml:space="preserve"> </w:t>
      </w:r>
      <w:r>
        <w:t xml:space="preserve">-</w:t>
      </w:r>
      <w:r>
        <w:t xml:space="preserve"> </w:t>
      </w:r>
      <w:r>
        <w:rPr>
          <w:b/>
        </w:rPr>
        <w:t xml:space="preserve">The QR asset register.</w:t>
      </w:r>
      <w:r>
        <w:t xml:space="preserve"> </w:t>
      </w:r>
      <w:r>
        <w:t xml:space="preserve">Every deployed unit gets a unique ID and is recorded. 496 beds are tracked across 9 communities [VERIFIED, 29 May 2026]. This is the single most credible piece of operating evidence Goods has — a stranger can scan a code and find a real, registered unit (e.g. Ray Nelson’s bed, GB0-156-96).</w:t>
      </w:r>
      <w:r>
        <w:t xml:space="preserve"> </w:t>
      </w:r>
      <w:r>
        <w:t xml:space="preserve">-</w:t>
      </w:r>
      <w:r>
        <w:t xml:space="preserve"> </w:t>
      </w:r>
      <w:r>
        <w:rPr>
          <w:b/>
        </w:rPr>
        <w:t xml:space="preserve">The truth layer underneath.</w:t>
      </w:r>
      <w:r>
        <w:t xml:space="preserve"> </w:t>
      </w:r>
      <w:r>
        <w:t xml:space="preserve">Products, orders, assets, and CRM/deal data sit in Supabase. The data model exists; raw asset data is sensitive and must be redacted before external use.</w:t>
      </w:r>
    </w:p>
    <w:p>
      <w:pPr>
        <w:pStyle w:val="BodyText"/>
      </w:pPr>
      <w:r>
        <w:rPr>
          <w:b/>
        </w:rPr>
        <w:t xml:space="preserve">What is still founder-dependent</w:t>
      </w:r>
      <w:r>
        <w:t xml:space="preserve"> </w:t>
      </w:r>
      <w:r>
        <w:t xml:space="preserve">-</w:t>
      </w:r>
      <w:r>
        <w:t xml:space="preserve"> </w:t>
      </w:r>
      <w:r>
        <w:rPr>
          <w:b/>
        </w:rPr>
        <w:t xml:space="preserve">Manufacture itself.</w:t>
      </w:r>
      <w:r>
        <w:t xml:space="preserve"> </w:t>
      </w:r>
      <w:r>
        <w:t xml:space="preserve">The production steps below are documented, but the work is done by the two founders. Critically,</w:t>
      </w:r>
      <w:r>
        <w:t xml:space="preserve"> </w:t>
      </w:r>
      <w:r>
        <w:rPr>
          <w:b/>
        </w:rPr>
        <w:t xml:space="preserve">0 beds have been assembled in-house</w:t>
      </w:r>
      <w:r>
        <w:t xml:space="preserve"> </w:t>
      </w:r>
      <w:r>
        <w:t xml:space="preserve">— the on-country in-source run is the gating experiment the raise funds, not a current operating reality [MODELLED]. Today’s beds are built with outsourced HDPE legs.</w:t>
      </w:r>
      <w:r>
        <w:t xml:space="preserve"> </w:t>
      </w:r>
      <w:r>
        <w:t xml:space="preserve">-</w:t>
      </w:r>
      <w:r>
        <w:t xml:space="preserve"> </w:t>
      </w:r>
      <w:r>
        <w:rPr>
          <w:b/>
        </w:rPr>
        <w:t xml:space="preserve">Institutional orders and delivery.</w:t>
      </w:r>
      <w:r>
        <w:t xml:space="preserve"> </w:t>
      </w:r>
      <w:r>
        <w:t xml:space="preserve">Demand from communities, ACCHOs, and procurement bodies is relationship-led and coordinated by hand. Logistics to remote communities are arranged per order. None of this is systematised yet, and it sits almost entirely with the founders.</w:t>
      </w:r>
      <w:r>
        <w:t xml:space="preserve"> </w:t>
      </w:r>
      <w:r>
        <w:t xml:space="preserve">-</w:t>
      </w:r>
      <w:r>
        <w:t xml:space="preserve"> </w:t>
      </w:r>
      <w:r>
        <w:rPr>
          <w:b/>
        </w:rPr>
        <w:t xml:space="preserve">Repair and feedback follow-up.</w:t>
      </w:r>
      <w:r>
        <w:t xml:space="preserve"> </w:t>
      </w:r>
      <w:r>
        <w:t xml:space="preserve">The QR scan can in principle trigger a support, repair, or feedback path, but who acts on it, and within what time, is not yet an owned, time-bound process.</w:t>
      </w:r>
    </w:p>
    <w:p>
      <w:pPr>
        <w:pStyle w:val="BodyText"/>
      </w:pPr>
      <w:r>
        <w:rPr>
          <w:b/>
        </w:rPr>
        <w:t xml:space="preserve">Partly systematised</w:t>
      </w:r>
      <w:r>
        <w:t xml:space="preserve"> </w:t>
      </w:r>
      <w:r>
        <w:t xml:space="preserve">-</w:t>
      </w:r>
      <w:r>
        <w:t xml:space="preserve"> </w:t>
      </w:r>
      <w:r>
        <w:rPr>
          <w:b/>
        </w:rPr>
        <w:t xml:space="preserve">Washing-machine telemetry.</w:t>
      </w:r>
      <w:r>
        <w:t xml:space="preserve"> </w:t>
      </w:r>
      <w:r>
        <w:t xml:space="preserve">The IoT washing machines (Pakkimjalki Kari, on a Speed Queen base) are deployed and collecting feedback, but telemetry is not yet a reliable reporting feed. Treat it as a prototype signal, not a metric.</w:t>
      </w:r>
    </w:p>
    <w:p>
      <w:pPr>
        <w:pStyle w:val="BodyText"/>
      </w:pPr>
      <w:r>
        <w:t xml:space="preserve">The shape of the loop is right. The gap the diagnostic named is that too much of the middle — manufacture, delivery, repair — runs through two people rather than through a written process. That is what the SOP in §4 begins to fix.</w:t>
      </w:r>
    </w:p>
    <w:p>
      <w:r>
        <w:pict>
          <v:rect style="width:0;height:1.5pt" o:hralign="center" o:hrstd="t" o:hr="t"/>
        </w:pict>
      </w:r>
    </w:p>
    <w:p>
      <w:pPr>
        <w:pStyle w:val="Heading2"/>
      </w:pPr>
      <w:bookmarkStart w:id="126" w:name="systems-and-tools-map"/>
      <w:r>
        <w:t xml:space="preserve">2. Systems and tools map</w:t>
      </w:r>
      <w:bookmarkEnd w:id="126"/>
    </w:p>
    <w:p>
      <w:pPr>
        <w:pStyle w:val="FirstParagraph"/>
      </w:pPr>
      <w:r>
        <w:t xml:space="preserve">Goods runs on six systems. The discipline that matters here is</w:t>
      </w:r>
      <w:r>
        <w:t xml:space="preserve"> </w:t>
      </w:r>
      <w:r>
        <w:rPr>
          <w:b/>
        </w:rPr>
        <w:t xml:space="preserve">one source of truth per thing</w:t>
      </w:r>
      <w:r>
        <w:t xml:space="preserve"> </w:t>
      </w:r>
      <w:r>
        <w:t xml:space="preserve">— when two systems both claim to hold the same fact, they drift, and the drift shows up as a contradicted number in front of a funder. This table names, for each system, the one thing it is authoritative for, and who owns 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Source of truth for</w:t>
            </w:r>
          </w:p>
        </w:tc>
        <w:tc>
          <w:tcPr>
            <w:tcBorders>
              <w:bottom w:val="single"/>
            </w:tcBorders>
            <w:vAlign w:val="bottom"/>
          </w:tcPr>
          <w:p>
            <w:pPr>
              <w:pStyle w:val="Compact"/>
              <w:jc w:val="left"/>
            </w:pPr>
            <w:r>
              <w:t xml:space="preserve">Owner</w:t>
            </w:r>
          </w:p>
        </w:tc>
      </w:tr>
      <w:tr>
        <w:tc>
          <w:p>
            <w:pPr>
              <w:pStyle w:val="Compact"/>
              <w:jc w:val="left"/>
            </w:pPr>
            <w:r>
              <w:rPr>
                <w:b/>
              </w:rPr>
              <w:t xml:space="preserve">Website / app — Supabase</w:t>
            </w:r>
            <w:r>
              <w:t xml:space="preserve"> </w:t>
            </w:r>
            <w:r>
              <w:t xml:space="preserve">(</w:t>
            </w:r>
            <w:r>
              <w:rPr>
                <w:rStyle w:val="VerbatimChar"/>
              </w:rPr>
              <w:t xml:space="preserve">cwsyhpiuepvdjtxaozwf</w:t>
            </w:r>
            <w:r>
              <w:t xml:space="preserve">)</w:t>
            </w:r>
          </w:p>
        </w:tc>
        <w:tc>
          <w:p>
            <w:pPr>
              <w:pStyle w:val="Compact"/>
              <w:jc w:val="left"/>
            </w:pPr>
            <w:r>
              <w:t xml:space="preserve">Products, orders, deployed-asset records, and the public storefront. Product specs themselves are canonical in code (</w:t>
            </w:r>
            <w:r>
              <w:rPr>
                <w:rStyle w:val="VerbatimChar"/>
              </w:rPr>
              <w:t xml:space="preserve">v2/src/lib/data/products.ts</w:t>
            </w:r>
            <w:r>
              <w:t xml:space="preserve">), not hand-entered.</w:t>
            </w:r>
          </w:p>
        </w:tc>
        <w:tc>
          <w:p>
            <w:pPr>
              <w:pStyle w:val="Compact"/>
              <w:jc w:val="left"/>
            </w:pPr>
            <w:r>
              <w:t xml:space="preserve">Ben Knight</w:t>
            </w:r>
          </w:p>
        </w:tc>
      </w:tr>
      <w:tr>
        <w:tc>
          <w:p>
            <w:pPr>
              <w:pStyle w:val="Compact"/>
              <w:jc w:val="left"/>
            </w:pPr>
            <w:r>
              <w:rPr>
                <w:b/>
              </w:rPr>
              <w:t xml:space="preserve">Notion</w:t>
            </w:r>
          </w:p>
        </w:tc>
        <w:tc>
          <w:p>
            <w:pPr>
              <w:pStyle w:val="Compact"/>
              <w:jc w:val="left"/>
            </w:pPr>
            <w:r>
              <w:t xml:space="preserve">The knowledge base / repository — the human review workspace, the QBE working pack, source mirrors.</w:t>
            </w:r>
            <w:r>
              <w:t xml:space="preserve"> </w:t>
            </w:r>
            <w:r>
              <w:rPr>
                <w:b/>
              </w:rPr>
              <w:t xml:space="preserve">Repository and review surface, not the system of record for live operational data.</w:t>
            </w:r>
          </w:p>
        </w:tc>
        <w:tc>
          <w:p>
            <w:pPr>
              <w:pStyle w:val="Compact"/>
              <w:jc w:val="left"/>
            </w:pPr>
            <w:r>
              <w:t xml:space="preserve">Ben Knight</w:t>
            </w:r>
          </w:p>
        </w:tc>
      </w:tr>
      <w:tr>
        <w:tc>
          <w:p>
            <w:pPr>
              <w:pStyle w:val="Compact"/>
              <w:jc w:val="left"/>
            </w:pPr>
            <w:r>
              <w:rPr>
                <w:b/>
              </w:rPr>
              <w:t xml:space="preserve">GHL / HighLevel</w:t>
            </w:r>
          </w:p>
        </w:tc>
        <w:tc>
          <w:p>
            <w:pPr>
              <w:pStyle w:val="Compact"/>
              <w:jc w:val="left"/>
            </w:pPr>
            <w:r>
              <w:t xml:space="preserve">CRM and pipeline — contacts, follow-up workflows, support tickets, partnership and buyer/capital targets. The</w:t>
            </w:r>
            <w:r>
              <w:t xml:space="preserve"> </w:t>
            </w:r>
            <w:r>
              <w:rPr>
                <w:b/>
              </w:rPr>
              <w:t xml:space="preserve">follow-up engine, not the source of truth.</w:t>
            </w:r>
            <w:r>
              <w:t xml:space="preserve"> </w:t>
            </w:r>
            <w:r>
              <w:t xml:space="preserve">API re-verified 10 Jun 2026.</w:t>
            </w:r>
          </w:p>
        </w:tc>
        <w:tc>
          <w:p>
            <w:pPr>
              <w:pStyle w:val="Compact"/>
              <w:jc w:val="left"/>
            </w:pPr>
            <w:r>
              <w:t xml:space="preserve">Ben Knight (BD lead once hired)</w:t>
            </w:r>
          </w:p>
        </w:tc>
      </w:tr>
      <w:tr>
        <w:tc>
          <w:p>
            <w:pPr>
              <w:pStyle w:val="Compact"/>
              <w:jc w:val="left"/>
            </w:pPr>
            <w:r>
              <w:rPr>
                <w:b/>
              </w:rPr>
              <w:t xml:space="preserve">Xero</w:t>
            </w:r>
          </w:p>
        </w:tc>
        <w:tc>
          <w:p>
            <w:pPr>
              <w:pStyle w:val="Compact"/>
              <w:jc w:val="left"/>
            </w:pPr>
            <w:r>
              <w:t xml:space="preserve">Finance — money in, money billed, collection. The live billing view (received AU$649,710.79 [WORKPAPER, 29 May]). Note: this org also holds non-Goods income, so it is</w:t>
            </w:r>
            <w:r>
              <w:t xml:space="preserve"> </w:t>
            </w:r>
            <w:r>
              <w:rPr>
                <w:b/>
              </w:rPr>
              <w:t xml:space="preserve">not</w:t>
            </w:r>
            <w:r>
              <w:t xml:space="preserve"> </w:t>
            </w:r>
            <w:r>
              <w:t xml:space="preserve">a Goods-only revenue figure until an accountant carves one out.</w:t>
            </w:r>
          </w:p>
        </w:tc>
        <w:tc>
          <w:p>
            <w:pPr>
              <w:pStyle w:val="Compact"/>
              <w:jc w:val="left"/>
            </w:pPr>
            <w:r>
              <w:t xml:space="preserve">Nicholas Marchesi (sole trader) → accountant</w:t>
            </w:r>
          </w:p>
        </w:tc>
      </w:tr>
      <w:tr>
        <w:tc>
          <w:p>
            <w:pPr>
              <w:pStyle w:val="Compact"/>
              <w:jc w:val="left"/>
            </w:pPr>
            <w:r>
              <w:rPr>
                <w:b/>
              </w:rPr>
              <w:t xml:space="preserve">QR asset register</w:t>
            </w:r>
            <w:r>
              <w:t xml:space="preserve"> </w:t>
            </w:r>
            <w:r>
              <w:t xml:space="preserve">(in Supabase)</w:t>
            </w:r>
          </w:p>
        </w:tc>
        <w:tc>
          <w:p>
            <w:pPr>
              <w:pStyle w:val="Compact"/>
              <w:jc w:val="left"/>
            </w:pPr>
            <w:r>
              <w:t xml:space="preserve">Deployed physical assets in the field — which unit is where, its condition, its repair/service history. 496 beds tracked [VERIFIED].</w:t>
            </w:r>
            <w:r>
              <w:t xml:space="preserve"> </w:t>
            </w:r>
            <w:r>
              <w:rPr>
                <w:b/>
              </w:rPr>
              <w:t xml:space="preserve">Care and repair infrastructure, framed as such — not surveillance.</w:t>
            </w:r>
          </w:p>
        </w:tc>
        <w:tc>
          <w:p>
            <w:pPr>
              <w:pStyle w:val="Compact"/>
              <w:jc w:val="left"/>
            </w:pPr>
            <w:r>
              <w:t xml:space="preserve">Nicholas Marchesi</w:t>
            </w:r>
          </w:p>
        </w:tc>
      </w:tr>
      <w:tr>
        <w:tc>
          <w:p>
            <w:pPr>
              <w:pStyle w:val="Compact"/>
              <w:jc w:val="left"/>
            </w:pPr>
            <w:r>
              <w:rPr>
                <w:b/>
              </w:rPr>
              <w:t xml:space="preserve">Empathy Ledger</w:t>
            </w:r>
          </w:p>
        </w:tc>
        <w:tc>
          <w:p>
            <w:pPr>
              <w:pStyle w:val="Compact"/>
              <w:jc w:val="left"/>
            </w:pPr>
            <w:r>
              <w:t xml:space="preserve">Consented community stories and the consent state attached to each. 12 stories syndicated; only Ivy Johnson + Dianne Stokes headshots are cleared for external use, others consent-pending.</w:t>
            </w:r>
          </w:p>
        </w:tc>
        <w:tc>
          <w:p>
            <w:pPr>
              <w:pStyle w:val="Compact"/>
              <w:jc w:val="left"/>
            </w:pPr>
            <w:r>
              <w:t xml:space="preserve">Ben Knight</w:t>
            </w:r>
          </w:p>
        </w:tc>
      </w:tr>
    </w:tbl>
    <w:p>
      <w:pPr>
        <w:pStyle w:val="BodyText"/>
      </w:pPr>
      <w:r>
        <w:rPr>
          <w:b/>
        </w:rPr>
        <w:t xml:space="preserve">The routing rule that keeps these honest</w:t>
      </w:r>
      <w:r>
        <w:t xml:space="preserve"> </w:t>
      </w:r>
      <w:r>
        <w:t xml:space="preserve">(from the existing Area 6 article, kept as policy):</w:t>
      </w:r>
      <w:r>
        <w:t xml:space="preserve"> </w:t>
      </w:r>
      <w:r>
        <w:t xml:space="preserve">- Discovery and matching can happen in Grantscope / CivicGraph.</w:t>
      </w:r>
      <w:r>
        <w:t xml:space="preserve"> </w:t>
      </w:r>
      <w:r>
        <w:t xml:space="preserve">-</w:t>
      </w:r>
      <w:r>
        <w:t xml:space="preserve"> </w:t>
      </w:r>
      <w:r>
        <w:rPr>
          <w:b/>
        </w:rPr>
        <w:t xml:space="preserve">Review happens in Notion.</w:t>
      </w:r>
      <w:r>
        <w:t xml:space="preserve"> </w:t>
      </w:r>
      <w:r>
        <w:t xml:space="preserve">-</w:t>
      </w:r>
      <w:r>
        <w:t xml:space="preserve"> </w:t>
      </w:r>
      <w:r>
        <w:rPr>
          <w:b/>
        </w:rPr>
        <w:t xml:space="preserve">Evidence lives in the wiki / source pages and Drive.</w:t>
      </w:r>
      <w:r>
        <w:t xml:space="preserve"> </w:t>
      </w:r>
      <w:r>
        <w:t xml:space="preserve">-</w:t>
      </w:r>
      <w:r>
        <w:t xml:space="preserve"> </w:t>
      </w:r>
      <w:r>
        <w:rPr>
          <w:b/>
        </w:rPr>
        <w:t xml:space="preserve">Only approved follow-up goes to GHL.</w:t>
      </w:r>
      <w:r>
        <w:t xml:space="preserve"> </w:t>
      </w:r>
      <w:r>
        <w:t xml:space="preserve">No raw story, household, QR, asset-level, or sensitive contact note is pushed into the CRM.</w:t>
      </w:r>
    </w:p>
    <w:p>
      <w:pPr>
        <w:pStyle w:val="BodyText"/>
      </w:pPr>
      <w:r>
        <w:t xml:space="preserve">This is the same discipline as the evidence labels: each fact has one home, and the home is named.</w:t>
      </w:r>
    </w:p>
    <w:p>
      <w:r>
        <w:pict>
          <v:rect style="width:0;height:1.5pt" o:hralign="center" o:hrstd="t" o:hr="t"/>
        </w:pict>
      </w:r>
    </w:p>
    <w:p>
      <w:pPr>
        <w:pStyle w:val="Heading2"/>
      </w:pPr>
      <w:bookmarkStart w:id="127" w:name="data-single-owner-map"/>
      <w:r>
        <w:t xml:space="preserve">3. Data / single-owner map</w:t>
      </w:r>
      <w:bookmarkEnd w:id="127"/>
    </w:p>
    <w:p>
      <w:pPr>
        <w:pStyle w:val="FirstParagraph"/>
      </w:pPr>
      <w:r>
        <w:t xml:space="preserve">Two founders is the smallest possible team, and the failure mode is not that work is undone — it is that something falls</w:t>
      </w:r>
      <w:r>
        <w:t xml:space="preserve"> </w:t>
      </w:r>
      <w:r>
        <w:rPr>
          <w:i/>
        </w:rPr>
        <w:t xml:space="preserve">between</w:t>
      </w:r>
      <w:r>
        <w:t xml:space="preserve"> </w:t>
      </w:r>
      <w:r>
        <w:t xml:space="preserve">them, owned by neither. So every domain gets exactly one accountable owner.</w:t>
      </w:r>
      <w:r>
        <w:t xml:space="preserve"> </w:t>
      </w:r>
      <w:r>
        <w:t xml:space="preserve">“</w:t>
      </w:r>
      <w:r>
        <w:t xml:space="preserve">Accountable</w:t>
      </w:r>
      <w:r>
        <w:t xml:space="preserve">”</w:t>
      </w:r>
      <w:r>
        <w:t xml:space="preserve"> </w:t>
      </w:r>
      <w:r>
        <w:t xml:space="preserve">means: this person can answer for it in a funder Q&amp;A, knows where its truth lives, and is the one who signs off before it goes out. It does not mean they do all the work — it means the buck stops in one place.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Lives in</w:t>
            </w:r>
          </w:p>
        </w:tc>
        <w:tc>
          <w:tcPr>
            <w:tcBorders>
              <w:bottom w:val="single"/>
            </w:tcBorders>
            <w:vAlign w:val="bottom"/>
          </w:tcPr>
          <w:p>
            <w:pPr>
              <w:pStyle w:val="Compact"/>
              <w:jc w:val="left"/>
            </w:pPr>
            <w:r>
              <w:t xml:space="preserve">Accountable owner</w:t>
            </w:r>
          </w:p>
        </w:tc>
        <w:tc>
          <w:tcPr>
            <w:tcBorders>
              <w:bottom w:val="single"/>
            </w:tcBorders>
            <w:vAlign w:val="bottom"/>
          </w:tcPr>
          <w:p>
            <w:pPr>
              <w:pStyle w:val="Compact"/>
              <w:jc w:val="left"/>
            </w:pPr>
            <w:r>
              <w:t xml:space="preserve">What</w:t>
            </w:r>
            <w:r>
              <w:t xml:space="preserve"> </w:t>
            </w:r>
            <w:r>
              <w:t xml:space="preserve">“</w:t>
            </w:r>
            <w:r>
              <w:t xml:space="preserve">owns it</w:t>
            </w:r>
            <w:r>
              <w:t xml:space="preserve">”</w:t>
            </w:r>
            <w:r>
              <w:t xml:space="preserve"> </w:t>
            </w:r>
            <w:r>
              <w:t xml:space="preserve">means here</w:t>
            </w:r>
          </w:p>
        </w:tc>
      </w:tr>
      <w:tr>
        <w:tc>
          <w:p>
            <w:pPr>
              <w:pStyle w:val="Compact"/>
              <w:jc w:val="left"/>
            </w:pPr>
            <w:r>
              <w:rPr>
                <w:b/>
              </w:rPr>
              <w:t xml:space="preserve">Money</w:t>
            </w:r>
          </w:p>
        </w:tc>
        <w:tc>
          <w:p>
            <w:pPr>
              <w:pStyle w:val="Compact"/>
              <w:jc w:val="left"/>
            </w:pPr>
            <w:r>
              <w:t xml:space="preserve">Xero (+ accountant)</w:t>
            </w:r>
          </w:p>
        </w:tc>
        <w:tc>
          <w:p>
            <w:pPr>
              <w:pStyle w:val="Compact"/>
              <w:jc w:val="left"/>
            </w:pPr>
            <w:r>
              <w:rPr>
                <w:b/>
              </w:rPr>
              <w:t xml:space="preserve">Nicholas Marchesi</w:t>
            </w:r>
          </w:p>
        </w:tc>
        <w:tc>
          <w:p>
            <w:pPr>
              <w:pStyle w:val="Compact"/>
              <w:jc w:val="left"/>
            </w:pPr>
            <w:r>
              <w:t xml:space="preserve">Every external dollar figure traces to a labelled source; can defend received vs billed vs grants-received; commissions the accountant carve-out (the hard Stage-2 gate).</w:t>
            </w:r>
          </w:p>
        </w:tc>
      </w:tr>
      <w:tr>
        <w:tc>
          <w:p>
            <w:pPr>
              <w:pStyle w:val="Compact"/>
              <w:jc w:val="left"/>
            </w:pPr>
            <w:r>
              <w:rPr>
                <w:b/>
              </w:rPr>
              <w:t xml:space="preserve">Pipeline</w:t>
            </w:r>
          </w:p>
        </w:tc>
        <w:tc>
          <w:p>
            <w:pPr>
              <w:pStyle w:val="Compact"/>
              <w:jc w:val="left"/>
            </w:pPr>
            <w:r>
              <w:t xml:space="preserve">GHL / HighLevel</w:t>
            </w:r>
          </w:p>
        </w:tc>
        <w:tc>
          <w:p>
            <w:pPr>
              <w:pStyle w:val="Compact"/>
              <w:jc w:val="left"/>
            </w:pPr>
            <w:r>
              <w:rPr>
                <w:b/>
              </w:rPr>
              <w:t xml:space="preserve">Ben Knight</w:t>
            </w:r>
            <w:r>
              <w:t xml:space="preserve"> </w:t>
            </w:r>
            <w:r>
              <w:t xml:space="preserve">(handing to the BD hire)</w:t>
            </w:r>
          </w:p>
        </w:tc>
        <w:tc>
          <w:p>
            <w:pPr>
              <w:pStyle w:val="Compact"/>
              <w:jc w:val="left"/>
            </w:pPr>
            <w:r>
              <w:t xml:space="preserve">Owns the state of every buyer, funder, and partner conversation; owns which become signed, match-eligible commitments. Today: 0 signed.</w:t>
            </w:r>
          </w:p>
        </w:tc>
      </w:tr>
      <w:tr>
        <w:tc>
          <w:p>
            <w:pPr>
              <w:pStyle w:val="Compact"/>
              <w:jc w:val="left"/>
            </w:pPr>
            <w:r>
              <w:rPr>
                <w:b/>
              </w:rPr>
              <w:t xml:space="preserve">Assets</w:t>
            </w:r>
          </w:p>
        </w:tc>
        <w:tc>
          <w:p>
            <w:pPr>
              <w:pStyle w:val="Compact"/>
              <w:jc w:val="left"/>
            </w:pPr>
            <w:r>
              <w:t xml:space="preserve">QR asset register (Supabase)</w:t>
            </w:r>
          </w:p>
        </w:tc>
        <w:tc>
          <w:p>
            <w:pPr>
              <w:pStyle w:val="Compact"/>
              <w:jc w:val="left"/>
            </w:pPr>
            <w:r>
              <w:rPr>
                <w:b/>
              </w:rPr>
              <w:t xml:space="preserve">Nicholas Marchesi</w:t>
            </w:r>
          </w:p>
        </w:tc>
        <w:tc>
          <w:p>
            <w:pPr>
              <w:pStyle w:val="Compact"/>
              <w:jc w:val="left"/>
            </w:pPr>
            <w:r>
              <w:t xml:space="preserve">Owns what is deployed, where, and in what condition; owns the repair/service response; owns the redacted sample that can be shown to mentors.</w:t>
            </w:r>
          </w:p>
        </w:tc>
      </w:tr>
      <w:tr>
        <w:tc>
          <w:p>
            <w:pPr>
              <w:pStyle w:val="Compact"/>
              <w:jc w:val="left"/>
            </w:pPr>
            <w:r>
              <w:rPr>
                <w:b/>
              </w:rPr>
              <w:t xml:space="preserve">Stories</w:t>
            </w:r>
          </w:p>
        </w:tc>
        <w:tc>
          <w:p>
            <w:pPr>
              <w:pStyle w:val="Compact"/>
              <w:jc w:val="left"/>
            </w:pPr>
            <w:r>
              <w:t xml:space="preserve">Empathy Ledger</w:t>
            </w:r>
          </w:p>
        </w:tc>
        <w:tc>
          <w:p>
            <w:pPr>
              <w:pStyle w:val="Compact"/>
              <w:jc w:val="left"/>
            </w:pPr>
            <w:r>
              <w:rPr>
                <w:b/>
              </w:rPr>
              <w:t xml:space="preserve">Ben Knight</w:t>
            </w:r>
          </w:p>
        </w:tc>
        <w:tc>
          <w:p>
            <w:pPr>
              <w:pStyle w:val="Compact"/>
              <w:jc w:val="left"/>
            </w:pPr>
            <w:r>
              <w:t xml:space="preserve">Owns consent state for every name, quote, and image; the OCAP gate before any community content is published externally.</w:t>
            </w:r>
          </w:p>
        </w:tc>
      </w:tr>
      <w:tr>
        <w:tc>
          <w:p>
            <w:pPr>
              <w:pStyle w:val="Compact"/>
              <w:jc w:val="left"/>
            </w:pPr>
            <w:r>
              <w:rPr>
                <w:b/>
              </w:rPr>
              <w:t xml:space="preserve">Public copy</w:t>
            </w:r>
          </w:p>
        </w:tc>
        <w:tc>
          <w:p>
            <w:pPr>
              <w:pStyle w:val="Compact"/>
              <w:jc w:val="left"/>
            </w:pPr>
            <w:r>
              <w:t xml:space="preserve">Wiki / this pack</w:t>
            </w:r>
          </w:p>
        </w:tc>
        <w:tc>
          <w:p>
            <w:pPr>
              <w:pStyle w:val="Compact"/>
              <w:jc w:val="left"/>
            </w:pPr>
            <w:r>
              <w:rPr>
                <w:b/>
              </w:rPr>
              <w:t xml:space="preserve">Ben Knight</w:t>
            </w:r>
            <w:r>
              <w:t xml:space="preserve"> </w:t>
            </w:r>
            <w:r>
              <w:t xml:space="preserve">(numbers co-signed by Nic)</w:t>
            </w:r>
          </w:p>
        </w:tc>
        <w:tc>
          <w:p>
            <w:pPr>
              <w:pStyle w:val="Compact"/>
              <w:jc w:val="left"/>
            </w:pPr>
            <w:r>
              <w:t xml:space="preserve">Owns that every external claim is labelled VERIFIED / WORKPAPER / MODELLED / TARGET and is Q&amp;A-defensible; runs the pre-send checklist.</w:t>
            </w:r>
          </w:p>
        </w:tc>
      </w:tr>
    </w:tbl>
    <w:p>
      <w:pPr>
        <w:pStyle w:val="BodyText"/>
      </w:pPr>
      <w:r>
        <w:t xml:space="preserve">Where a domain is mid-handover (pipeline to a future BD lead; finance to an accountant), that is stated rather than hidden. The principle the founders hold — Nicholas’s</w:t>
      </w:r>
      <w:r>
        <w:t xml:space="preserve"> </w:t>
      </w:r>
      <w:r>
        <w:t xml:space="preserve">“</w:t>
      </w:r>
      <w:r>
        <w:t xml:space="preserve">do no harm,</w:t>
      </w:r>
      <w:r>
        <w:t xml:space="preserve">”</w:t>
      </w:r>
      <w:r>
        <w:t xml:space="preserve"> </w:t>
      </w:r>
      <w:r>
        <w:t xml:space="preserve">including</w:t>
      </w:r>
      <w:r>
        <w:t xml:space="preserve"> </w:t>
      </w:r>
      <w:r>
        <w:t xml:space="preserve">“</w:t>
      </w:r>
      <w:r>
        <w:t xml:space="preserve">do not centralise value in ACT while talking about community ownership</w:t>
      </w:r>
      <w:r>
        <w:t xml:space="preserve">”</w:t>
      </w:r>
      <w:r>
        <w:t xml:space="preserve"> </w:t>
      </w:r>
      <w:r>
        <w:t xml:space="preserve">— applies to ownership too: as community operators come on, production and asset ownership are designed to move toward them, not stay with the founders by default.</w:t>
      </w:r>
    </w:p>
    <w:p>
      <w:r>
        <w:pict>
          <v:rect style="width:0;height:1.5pt" o:hralign="center" o:hrstd="t" o:hr="t"/>
        </w:pict>
      </w:r>
    </w:p>
    <w:p>
      <w:pPr>
        <w:pStyle w:val="Heading2"/>
      </w:pPr>
      <w:bookmarkStart w:id="128" w:name="production-sop-the-document-to-build"/>
      <w:r>
        <w:t xml:space="preserve">4. Production SOP — the document to build</w:t>
      </w:r>
      <w:bookmarkEnd w:id="128"/>
    </w:p>
    <w:p>
      <w:pPr>
        <w:pStyle w:val="FirstParagraph"/>
      </w:pPr>
      <w:r>
        <w:t xml:space="preserve">This is the operating document Goods does</w:t>
      </w:r>
      <w:r>
        <w:t xml:space="preserve"> </w:t>
      </w:r>
      <w:r>
        <w:rPr>
          <w:b/>
        </w:rPr>
        <w:t xml:space="preserve">not</w:t>
      </w:r>
      <w:r>
        <w:t xml:space="preserve"> </w:t>
      </w:r>
      <w:r>
        <w:t xml:space="preserve">yet have in a transferable form, and the one the diagnostic most pointed at. A facility guide and an operations handbook exist in draft, but they are not yet a clean, teachable SOP that a community operator could run from without a founder present. Below are the headings that SOP needs. The reason to build it is direct:</w:t>
      </w:r>
      <w:r>
        <w:t xml:space="preserve"> </w:t>
      </w:r>
      <w:r>
        <w:rPr>
          <w:b/>
        </w:rPr>
        <w:t xml:space="preserve">a written SOP is what lets the team grow without the founders being the single point of failure</w:t>
      </w:r>
      <w:r>
        <w:t xml:space="preserve"> </w:t>
      </w:r>
      <w:r>
        <w:t xml:space="preserve">— it is the concrete answer to the #1 risk in the register.</w:t>
      </w:r>
    </w:p>
    <w:p>
      <w:pPr>
        <w:pStyle w:val="BodyText"/>
      </w:pPr>
      <w:r>
        <w:rPr>
          <w:b/>
        </w:rPr>
        <w:t xml:space="preserve">Production SOP — required sections</w:t>
      </w:r>
    </w:p>
    <w:p>
      <w:pPr>
        <w:numPr>
          <w:ilvl w:val="0"/>
          <w:numId w:val="1023"/>
        </w:numPr>
        <w:pStyle w:val="Compact"/>
      </w:pPr>
      <w:r>
        <w:rPr>
          <w:b/>
        </w:rPr>
        <w:t xml:space="preserve">Intake.</w:t>
      </w:r>
      <w:r>
        <w:t xml:space="preserve"> </w:t>
      </w:r>
      <w:r>
        <w:t xml:space="preserve">What plastic is accepted; sort HDPE/PP; exclude unsafe and contaminated material; weigh and log input. (Feeds the per-bed material claim — today 20 kg HDPE diverted per bed [VERIFIED from products.ts]; current actual input per bed needs confirming against the plant.)</w:t>
      </w:r>
    </w:p>
    <w:p>
      <w:pPr>
        <w:numPr>
          <w:ilvl w:val="0"/>
          <w:numId w:val="1023"/>
        </w:numPr>
        <w:pStyle w:val="Compact"/>
      </w:pPr>
      <w:r>
        <w:rPr>
          <w:b/>
        </w:rPr>
        <w:t xml:space="preserve">Shred and press parameters.</w:t>
      </w:r>
      <w:r>
        <w:t xml:space="preserve"> </w:t>
      </w:r>
      <w:r>
        <w:t xml:space="preserve">Shred to flake; weigh flakes; fill tray; heat and press temperature/time; cool the sheet. These parameters are the heart of the transferable knowledge — they are what turns</w:t>
      </w:r>
      <w:r>
        <w:t xml:space="preserve"> </w:t>
      </w:r>
      <w:r>
        <w:t xml:space="preserve">“</w:t>
      </w:r>
      <w:r>
        <w:t xml:space="preserve">the founders know how</w:t>
      </w:r>
      <w:r>
        <w:t xml:space="preserve">”</w:t>
      </w:r>
      <w:r>
        <w:t xml:space="preserve"> </w:t>
      </w:r>
      <w:r>
        <w:t xml:space="preserve">into</w:t>
      </w:r>
      <w:r>
        <w:t xml:space="preserve"> </w:t>
      </w:r>
      <w:r>
        <w:t xml:space="preserve">“</w:t>
      </w:r>
      <w:r>
        <w:t xml:space="preserve">the plant can be taught.</w:t>
      </w:r>
      <w:r>
        <w:t xml:space="preserve">”</w:t>
      </w:r>
    </w:p>
    <w:p>
      <w:pPr>
        <w:numPr>
          <w:ilvl w:val="0"/>
          <w:numId w:val="1023"/>
        </w:numPr>
        <w:pStyle w:val="Compact"/>
      </w:pPr>
      <w:r>
        <w:rPr>
          <w:b/>
        </w:rPr>
        <w:t xml:space="preserve">Cut and assembly QA.</w:t>
      </w:r>
      <w:r>
        <w:t xml:space="preserve"> </w:t>
      </w:r>
      <w:r>
        <w:t xml:space="preserve">CNC-cut parts; edge finish; assemble with the two galvanised steel poles and canvas (X-trestle tension design — poles thread through the canvas sleeves and the HDPE X-leg holes; the canvas is structural). Define the assembly QA check: tension correct, frame stable, no sharp edges, weight/dimension within spec (26 kg, 188 × 92 × 25 cm, 200 kg capacity).</w:t>
      </w:r>
    </w:p>
    <w:p>
      <w:pPr>
        <w:numPr>
          <w:ilvl w:val="0"/>
          <w:numId w:val="1023"/>
        </w:numPr>
        <w:pStyle w:val="Compact"/>
      </w:pPr>
      <w:r>
        <w:rPr>
          <w:b/>
        </w:rPr>
        <w:t xml:space="preserve">Defect handling.</w:t>
      </w:r>
      <w:r>
        <w:t xml:space="preserve"> </w:t>
      </w:r>
      <w:r>
        <w:t xml:space="preserve">What counts as a defect; what gets reworked vs scrapped; how scrapped HDPE re-enters intake (so the process does not</w:t>
      </w:r>
      <w:r>
        <w:t xml:space="preserve"> </w:t>
      </w:r>
      <w:r>
        <w:t xml:space="preserve">“</w:t>
      </w:r>
      <w:r>
        <w:t xml:space="preserve">accidentally add to the waste problem</w:t>
      </w:r>
      <w:r>
        <w:t xml:space="preserve">”</w:t>
      </w:r>
      <w:r>
        <w:t xml:space="preserve"> </w:t>
      </w:r>
      <w:r>
        <w:t xml:space="preserve">— a named environmental risk); who signs off a unit as pass.</w:t>
      </w:r>
    </w:p>
    <w:p>
      <w:pPr>
        <w:numPr>
          <w:ilvl w:val="0"/>
          <w:numId w:val="1023"/>
        </w:numPr>
        <w:pStyle w:val="Compact"/>
      </w:pPr>
      <w:r>
        <w:rPr>
          <w:b/>
        </w:rPr>
        <w:t xml:space="preserve">Dispatch.</w:t>
      </w:r>
      <w:r>
        <w:t xml:space="preserve"> </w:t>
      </w:r>
      <w:r>
        <w:t xml:space="preserve">QR-tag and register each unit before it leaves; record the destination; trigger the delivery and the post-delivery feedback path. Dispatch is the handoff from manufacture (founder-dependent today) to the asset register (systematised).</w:t>
      </w:r>
    </w:p>
    <w:p>
      <w:pPr>
        <w:pStyle w:val="FirstParagraph"/>
      </w:pPr>
      <w:r>
        <w:rPr>
          <w:b/>
        </w:rPr>
        <w:t xml:space="preserve">A note that belongs in the SOP itself:</w:t>
      </w:r>
      <w:r>
        <w:t xml:space="preserve"> </w:t>
      </w:r>
      <w:r>
        <w:t xml:space="preserve">documenting these steps is not bureaucracy — it is the mechanism by which Goods reduces founder dependency as it grows and as the first community-employed operator comes on. The SOP is also the artifact that makes the on-country plant genuinely transferable to community ownership, which is the whole point of the model. Until the 50-bed in-source run happens, the shred/press parameters are partly modelled; the run is what turns them into measured, documented settings.</w:t>
      </w:r>
    </w:p>
    <w:p>
      <w:r>
        <w:pict>
          <v:rect style="width:0;height:1.5pt" o:hralign="center" o:hrstd="t" o:hr="t"/>
        </w:pict>
      </w:r>
    </w:p>
    <w:p>
      <w:pPr>
        <w:pStyle w:val="Heading2"/>
      </w:pPr>
      <w:bookmarkStart w:id="129" w:name="the-human-in-loop-rule"/>
      <w:r>
        <w:t xml:space="preserve">5. The human-in-loop rule</w:t>
      </w:r>
      <w:bookmarkEnd w:id="129"/>
    </w:p>
    <w:p>
      <w:pPr>
        <w:pStyle w:val="FirstParagraph"/>
      </w:pPr>
      <w:r>
        <w:t xml:space="preserve">State it as policy, in one line, and hold it:</w:t>
      </w:r>
    </w:p>
    <w:p>
      <w:pPr>
        <w:pStyle w:val="BlockText"/>
      </w:pPr>
      <w:r>
        <w:rPr>
          <w:b/>
        </w:rPr>
        <w:t xml:space="preserve">AI is a repository and a drafting aid. It is never the author of record. No document leaves Goods for any external party — SIH, mentors, funders, partners, board — unless a named core team member has audited it, understands every claim in it, has edited it where needed, and can defend it in detailed live Q&amp;A.</w:t>
      </w:r>
    </w:p>
    <w:p>
      <w:pPr>
        <w:pStyle w:val="FirstParagraph"/>
      </w:pPr>
      <w:r>
        <w:t xml:space="preserve">This rule has two halves, and both matter.</w:t>
      </w:r>
    </w:p>
    <w:p>
      <w:pPr>
        <w:pStyle w:val="BodyText"/>
      </w:pPr>
      <w:r>
        <w:rPr>
          <w:b/>
        </w:rPr>
        <w:t xml:space="preserve">Distinguish AI-as-repository from AI-as-authored-content.</w:t>
      </w:r>
      <w:r>
        <w:t xml:space="preserve"> </w:t>
      </w:r>
      <w:r>
        <w:t xml:space="preserve">The systems above use AI and automation well for what automation is good at: summarising source documents, finding contradictions, building review queues, drafting first-pass pages, comparing funders to criteria, producing admin and reporting drafts. That is the repository and aggregation role, and it is genuinely a strength. What automation must</w:t>
      </w:r>
      <w:r>
        <w:t xml:space="preserve"> </w:t>
      </w:r>
      <w:r>
        <w:rPr>
          <w:b/>
        </w:rPr>
        <w:t xml:space="preserve">not</w:t>
      </w:r>
      <w:r>
        <w:t xml:space="preserve"> </w:t>
      </w:r>
      <w:r>
        <w:t xml:space="preserve">do is be the final voice on anything that carries weight — community story interpretation, external language, consent decisions, funder claims, legal and governance claims, finance numbers, and relationship judgement. A polished draft is an input to a human, not a substitute for one.</w:t>
      </w:r>
    </w:p>
    <w:p>
      <w:pPr>
        <w:pStyle w:val="BodyText"/>
      </w:pPr>
      <w:r>
        <w:rPr>
          <w:b/>
        </w:rPr>
        <w:t xml:space="preserve">Enforce the human gate before anything ships.</w:t>
      </w:r>
      <w:r>
        <w:t xml:space="preserve"> </w:t>
      </w:r>
      <w:r>
        <w:t xml:space="preserve">A draft is not a deliverable. Before any document goes to an external party, a named owner from §3 must be able to stand behind every line of it under questioning. This is exactly the discipline the rest of the pack already runs on:</w:t>
      </w:r>
    </w:p>
    <w:p>
      <w:pPr>
        <w:numPr>
          <w:ilvl w:val="0"/>
          <w:numId w:val="1024"/>
        </w:numPr>
        <w:pStyle w:val="Compact"/>
      </w:pPr>
      <w:r>
        <w:rPr>
          <w:b/>
        </w:rPr>
        <w:t xml:space="preserve">The evidence-label discipline</w:t>
      </w:r>
      <w:r>
        <w:t xml:space="preserve"> </w:t>
      </w:r>
      <w:r>
        <w:t xml:space="preserve">— every external number carries VERIFIED / WORKPAPER / MODELLED / TARGET (see</w:t>
      </w:r>
      <w:r>
        <w:t xml:space="preserve"> </w:t>
      </w:r>
      <w:r>
        <w:rPr>
          <w:rStyle w:val="VerbatimChar"/>
        </w:rPr>
        <w:t xml:space="preserve">00-master-alignment-map.md</w:t>
      </w:r>
      <w:r>
        <w:t xml:space="preserve">). A figure no owner can defend should not be in the document.</w:t>
      </w:r>
    </w:p>
    <w:p>
      <w:pPr>
        <w:numPr>
          <w:ilvl w:val="0"/>
          <w:numId w:val="1024"/>
        </w:numPr>
        <w:pStyle w:val="Compact"/>
      </w:pPr>
      <w:r>
        <w:rPr>
          <w:b/>
        </w:rPr>
        <w:t xml:space="preserve">The pre-send checklist</w:t>
      </w:r>
      <w:r>
        <w:t xml:space="preserve"> </w:t>
      </w:r>
      <w:r>
        <w:t xml:space="preserve">(</w:t>
      </w:r>
      <w:r>
        <w:rPr>
          <w:rStyle w:val="VerbatimChar"/>
        </w:rPr>
        <w:t xml:space="preserve">00-master-alignment-map.md</w:t>
      </w:r>
      <w:r>
        <w:t xml:space="preserve"> </w:t>
      </w:r>
      <w:r>
        <w:t xml:space="preserve">§11) — nothing ships until a core team member has audited each external number and can defend it in live Q&amp;A, Xero is re-pulled fresh, only consent-cleared voices/photos are used, and the legal-structure wording is approved.</w:t>
      </w:r>
    </w:p>
    <w:p>
      <w:pPr>
        <w:numPr>
          <w:ilvl w:val="0"/>
          <w:numId w:val="1024"/>
        </w:numPr>
        <w:pStyle w:val="Compact"/>
      </w:pPr>
      <w:r>
        <w:rPr>
          <w:b/>
        </w:rPr>
        <w:t xml:space="preserve">The OCAP / consent gate</w:t>
      </w:r>
      <w:r>
        <w:t xml:space="preserve"> </w:t>
      </w:r>
      <w:r>
        <w:t xml:space="preserve">— before publishing any storyteller or community content externally, the consent trail is checked first; an incomplete or unverified trail means do not publish, and names or dates are never fabricated to fill a gap.</w:t>
      </w:r>
    </w:p>
    <w:p>
      <w:pPr>
        <w:pStyle w:val="FirstParagraph"/>
      </w:pPr>
      <w:r>
        <w:t xml:space="preserve">The diagnostic’s deepest point across every area was that materials must be founder-owned, accurate, and defensible in live Q&amp;A — that the real readiness gap is signed money and audited numbers, not more collateral. The human-in-loop rule is how that point becomes a daily operating habit rather than a good intention: the technology buys the founders more time with people; it does not get to speak for them.</w:t>
      </w:r>
    </w:p>
    <w:p>
      <w:r>
        <w:pict>
          <v:rect style="width:0;height:1.5pt" o:hralign="center" o:hrstd="t" o:hr="t"/>
        </w:pict>
      </w:r>
    </w:p>
    <w:p>
      <w:pPr>
        <w:pStyle w:val="FirstParagraph"/>
      </w:pPr>
      <w:r>
        <w:rPr>
          <w:i/>
        </w:rPr>
        <w:t xml:space="preserve">Owners: money — Nicholas Marchesi; pipeline / stories / public copy — Ben Knight; assets — Nicholas Marchesi. Systems per CLAUDE.md; figures and labels per 00-master-alignment-map.md (2026-06-13). This document is the companion to</w:t>
      </w:r>
      <w:r>
        <w:rPr>
          <w:i/>
        </w:rPr>
        <w:t xml:space="preserve"> </w:t>
      </w:r>
      <w:r>
        <w:rPr>
          <w:rStyle w:val="VerbatimChar"/>
          <w:i/>
        </w:rPr>
        <w:t xml:space="preserve">11-diagnostic-closure-map.md</w:t>
      </w:r>
      <w:r>
        <w:rPr>
          <w:i/>
        </w:rPr>
        <w:t xml:space="preserve"> </w:t>
      </w:r>
      <w:r>
        <w:rPr>
          <w:i/>
        </w:rPr>
        <w:t xml:space="preserve">for Area 6 — read together: that map scores the recommendation status, this one is the operating model and owner map that closes the</w:t>
      </w:r>
      <w:r>
        <w:rPr>
          <w:i/>
        </w:rPr>
        <w:t xml:space="preserve"> </w:t>
      </w:r>
      <w:r>
        <w:rPr>
          <w:i/>
        </w:rPr>
        <w:t xml:space="preserve">“</w:t>
      </w:r>
      <w:r>
        <w:rPr>
          <w:i/>
        </w:rPr>
        <w:t xml:space="preserve">document the SOPs and the human-review rule</w:t>
      </w:r>
      <w:r>
        <w:rPr>
          <w:i/>
        </w:rPr>
        <w:t xml:space="preserve">”</w:t>
      </w:r>
      <w:r>
        <w:rPr>
          <w:i/>
        </w:rPr>
        <w:t xml:space="preserve"> </w:t>
      </w:r>
      <w:r>
        <w:rPr>
          <w:i/>
        </w:rPr>
        <w:t xml:space="preserve">recommendation.</w:t>
      </w:r>
    </w:p>
    <w:p>
      <w:r>
        <w:br w:type="page"/>
      </w:r>
    </w:p>
    <w:p>
      <w:pPr>
        <w:pStyle w:val="Heading1"/>
      </w:pPr>
      <w:bookmarkStart w:id="130" w:name="area-7-governance-data-framework"/>
      <w:r>
        <w:t xml:space="preserve">Area 7 · Governance &amp; Data Framework</w:t>
      </w:r>
      <w:bookmarkEnd w:id="130"/>
    </w:p>
    <w:p>
      <w:pPr>
        <w:pStyle w:val="Heading1"/>
      </w:pPr>
      <w:bookmarkStart w:id="131" w:name="governance-data-framework"/>
      <w:r>
        <w:t xml:space="preserve">Governance &amp; data framework</w:t>
      </w:r>
      <w:bookmarkEnd w:id="131"/>
    </w:p>
    <w:p>
      <w:pPr>
        <w:pStyle w:val="Heading2"/>
      </w:pPr>
      <w:bookmarkStart w:id="132" w:name="X7e78fb41de68f99ea5c278f3acab85d89fe1df3"/>
      <w:r>
        <w:t xml:space="preserve">QBE Diagnostic Area 07 — Governance, Data &amp; Reporting</w:t>
      </w:r>
      <w:bookmarkEnd w:id="132"/>
    </w:p>
    <w:p>
      <w:pPr>
        <w:pStyle w:val="BlockText"/>
      </w:pPr>
      <w:r>
        <w:rPr>
          <w:b/>
        </w:rPr>
        <w:t xml:space="preserve">What this is.</w:t>
      </w:r>
      <w:r>
        <w:t xml:space="preserve"> </w:t>
      </w:r>
      <w:r>
        <w:t xml:space="preserve">A plain account of what governs Goods today, what does not yet, and the few moves that close the gap. The diagnostic gave this area a 5 with a path to 8, and it was specific about why: the advisory committee is a genuine strength, and the data-sovereignty practice is a genuine strength, but there is no fiduciary board for the company the work is migrating into, the committee is light on commercial scale-up experience, and external reporting is still assembled grant-by-grant instead of once a year against one set of numbers.</w:t>
      </w:r>
    </w:p>
    <w:p>
      <w:pPr>
        <w:pStyle w:val="BlockText"/>
      </w:pPr>
      <w:r>
        <w:rPr>
          <w:b/>
        </w:rPr>
        <w:t xml:space="preserve">The honest framing.</w:t>
      </w:r>
      <w:r>
        <w:t xml:space="preserve"> </w:t>
      </w:r>
      <w:r>
        <w:t xml:space="preserve">Two of the four parts of this document describe things that work now — the advisory committee and the consent practice. Two describe things that are not yet built — the fiduciary board and the consolidated reporting cycle. We mark which is which rather than let the strengths cover for the gaps. The fiduciary board in particular is a</w:t>
      </w:r>
      <w:r>
        <w:t xml:space="preserve"> </w:t>
      </w:r>
      <w:r>
        <w:rPr>
          <w:i/>
        </w:rPr>
        <w:t xml:space="preserve">plan with a trigger</w:t>
      </w:r>
      <w:r>
        <w:t xml:space="preserve">, not a structure that exists; SEFA’s working-capital line is gated on it, so it has to be real, not aspirational.</w:t>
      </w:r>
    </w:p>
    <w:p>
      <w:r>
        <w:pict>
          <v:rect style="width:0;height:1.5pt" o:hralign="center" o:hrstd="t" o:hr="t"/>
        </w:pict>
      </w:r>
    </w:p>
    <w:p>
      <w:pPr>
        <w:pStyle w:val="Heading2"/>
      </w:pPr>
      <w:bookmarkStart w:id="133" w:name="current-state-the-advisory-committee"/>
      <w:r>
        <w:t xml:space="preserve">1. Current state — the advisory committee</w:t>
      </w:r>
      <w:bookmarkEnd w:id="133"/>
    </w:p>
    <w:p>
      <w:pPr>
        <w:pStyle w:val="FirstParagraph"/>
      </w:pPr>
      <w:r>
        <w:t xml:space="preserve">Goods has a real governance asset that many ventures at this stage do not: a standing, Goods-specific advisory committee that meets on a</w:t>
      </w:r>
      <w:r>
        <w:t xml:space="preserve"> </w:t>
      </w:r>
      <w:r>
        <w:rPr>
          <w:b/>
        </w:rPr>
        <w:t xml:space="preserve">monthly cadence</w:t>
      </w:r>
      <w:r>
        <w:t xml:space="preserve"> </w:t>
      </w:r>
      <w:r>
        <w:t xml:space="preserve">and brings First Nations leadership, manufacturing depth, social-enterprise operating experience and long-term funder judgement close to the work. It is used — it gives challenge, advice, openings and credibility, and it is part of how the founders test decisions before making them.</w:t>
      </w:r>
    </w:p>
    <w:p>
      <w:pPr>
        <w:pStyle w:val="BodyText"/>
      </w:pPr>
      <w:r>
        <w:rPr>
          <w:b/>
        </w:rPr>
        <w:t xml:space="preserve">Composition (11 members, as recorded in the March 2026 compendium):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Member</w:t>
            </w:r>
          </w:p>
        </w:tc>
        <w:tc>
          <w:tcPr>
            <w:tcBorders>
              <w:bottom w:val="single"/>
            </w:tcBorders>
            <w:vAlign w:val="bottom"/>
          </w:tcPr>
          <w:p>
            <w:pPr>
              <w:pStyle w:val="Compact"/>
              <w:jc w:val="left"/>
            </w:pPr>
            <w:r>
              <w:t xml:space="preserve">Organisation</w:t>
            </w:r>
          </w:p>
        </w:tc>
        <w:tc>
          <w:tcPr>
            <w:tcBorders>
              <w:bottom w:val="single"/>
            </w:tcBorders>
            <w:vAlign w:val="bottom"/>
          </w:tcPr>
          <w:p>
            <w:pPr>
              <w:pStyle w:val="Compact"/>
              <w:jc w:val="left"/>
            </w:pPr>
            <w:r>
              <w:t xml:space="preserve">What they bring</w:t>
            </w:r>
          </w:p>
        </w:tc>
      </w:tr>
      <w:tr>
        <w:tc>
          <w:p>
            <w:pPr>
              <w:pStyle w:val="Compact"/>
              <w:jc w:val="left"/>
            </w:pPr>
            <w:r>
              <w:t xml:space="preserve">Kristy Bloomfield</w:t>
            </w:r>
          </w:p>
        </w:tc>
        <w:tc>
          <w:p>
            <w:pPr>
              <w:pStyle w:val="Compact"/>
              <w:jc w:val="left"/>
            </w:pPr>
            <w:r>
              <w:t xml:space="preserve">Oonchiumpa (Alice Springs / Mbantua) — Director</w:t>
            </w:r>
          </w:p>
        </w:tc>
        <w:tc>
          <w:p>
            <w:pPr>
              <w:pStyle w:val="Compact"/>
              <w:jc w:val="left"/>
            </w:pPr>
            <w:r>
              <w:t xml:space="preserve">Central Australian Aboriginal leadership, cultural authority, the community-led production pathway, place-based judgement</w:t>
            </w:r>
          </w:p>
        </w:tc>
      </w:tr>
      <w:tr>
        <w:tc>
          <w:p>
            <w:pPr>
              <w:pStyle w:val="Compact"/>
              <w:jc w:val="left"/>
            </w:pPr>
            <w:r>
              <w:t xml:space="preserve">Nicholas Marchesi OAM</w:t>
            </w:r>
          </w:p>
        </w:tc>
        <w:tc>
          <w:p>
            <w:pPr>
              <w:pStyle w:val="Compact"/>
              <w:jc w:val="left"/>
            </w:pPr>
            <w:r>
              <w:t xml:space="preserve">A Curious Tractor — Founder</w:t>
            </w:r>
          </w:p>
        </w:tc>
        <w:tc>
          <w:p>
            <w:pPr>
              <w:pStyle w:val="Compact"/>
              <w:jc w:val="left"/>
            </w:pPr>
            <w:r>
              <w:t xml:space="preserve">Founder accountability, product vision, social-enterprise history</w:t>
            </w:r>
          </w:p>
        </w:tc>
      </w:tr>
      <w:tr>
        <w:tc>
          <w:p>
            <w:pPr>
              <w:pStyle w:val="Compact"/>
              <w:jc w:val="left"/>
            </w:pPr>
            <w:r>
              <w:t xml:space="preserve">Sally Grimsley-Ballard</w:t>
            </w:r>
          </w:p>
        </w:tc>
        <w:tc>
          <w:p>
            <w:pPr>
              <w:pStyle w:val="Compact"/>
              <w:jc w:val="left"/>
            </w:pPr>
            <w:r>
              <w:t xml:space="preserve">Snow Foundation</w:t>
            </w:r>
          </w:p>
        </w:tc>
        <w:tc>
          <w:p>
            <w:pPr>
              <w:pStyle w:val="Compact"/>
              <w:jc w:val="left"/>
            </w:pPr>
            <w:r>
              <w:t xml:space="preserve">Anchor-funder judgement, philanthropic partnership, capital-pathway advice</w:t>
            </w:r>
          </w:p>
        </w:tc>
      </w:tr>
      <w:tr>
        <w:tc>
          <w:p>
            <w:pPr>
              <w:pStyle w:val="Compact"/>
              <w:jc w:val="left"/>
            </w:pPr>
            <w:r>
              <w:t xml:space="preserve">Daniel Pittman</w:t>
            </w:r>
          </w:p>
        </w:tc>
        <w:tc>
          <w:p>
            <w:pPr>
              <w:pStyle w:val="Compact"/>
              <w:jc w:val="left"/>
            </w:pPr>
            <w:r>
              <w:t xml:space="preserve">Zinus — Managing Director</w:t>
            </w:r>
          </w:p>
        </w:tc>
        <w:tc>
          <w:p>
            <w:pPr>
              <w:pStyle w:val="Compact"/>
              <w:jc w:val="left"/>
            </w:pPr>
            <w:r>
              <w:t xml:space="preserve">Bedding-industry and manufacturing depth (Zinus is one of Australia’s largest bedding manufacturers)</w:t>
            </w:r>
          </w:p>
        </w:tc>
      </w:tr>
      <w:tr>
        <w:tc>
          <w:p>
            <w:pPr>
              <w:pStyle w:val="Compact"/>
              <w:jc w:val="left"/>
            </w:pPr>
            <w:r>
              <w:t xml:space="preserve">Sam Davies</w:t>
            </w:r>
          </w:p>
        </w:tc>
        <w:tc>
          <w:p>
            <w:pPr>
              <w:pStyle w:val="Compact"/>
              <w:jc w:val="left"/>
            </w:pPr>
            <w:r>
              <w:t xml:space="preserve">Defy Design</w:t>
            </w:r>
          </w:p>
        </w:tc>
        <w:tc>
          <w:p>
            <w:pPr>
              <w:pStyle w:val="Compact"/>
              <w:jc w:val="left"/>
            </w:pPr>
            <w:r>
              <w:t xml:space="preserve">Recycled-plastic manufacturing and industrial design; production training and transfer</w:t>
            </w:r>
          </w:p>
        </w:tc>
      </w:tr>
      <w:tr>
        <w:tc>
          <w:p>
            <w:pPr>
              <w:pStyle w:val="Compact"/>
              <w:jc w:val="left"/>
            </w:pPr>
            <w:r>
              <w:t xml:space="preserve">Judith Meiklejohn</w:t>
            </w:r>
          </w:p>
        </w:tc>
        <w:tc>
          <w:p>
            <w:pPr>
              <w:pStyle w:val="Compact"/>
              <w:jc w:val="left"/>
            </w:pPr>
            <w:r>
              <w:t xml:space="preserve">Orange Sky</w:t>
            </w:r>
          </w:p>
        </w:tc>
        <w:tc>
          <w:p>
            <w:pPr>
              <w:pStyle w:val="Compact"/>
              <w:jc w:val="left"/>
            </w:pPr>
            <w:r>
              <w:t xml:space="preserve">Social-enterprise operating experience; remote laundry-sector context</w:t>
            </w:r>
          </w:p>
        </w:tc>
      </w:tr>
      <w:tr>
        <w:tc>
          <w:p>
            <w:pPr>
              <w:pStyle w:val="Compact"/>
              <w:jc w:val="left"/>
            </w:pPr>
            <w:r>
              <w:t xml:space="preserve">Corey Tutt</w:t>
            </w:r>
          </w:p>
        </w:tc>
        <w:tc>
          <w:p>
            <w:pPr>
              <w:pStyle w:val="Compact"/>
              <w:jc w:val="left"/>
            </w:pPr>
            <w:r>
              <w:t xml:space="preserve">DeadlyScience — CEO</w:t>
            </w:r>
          </w:p>
        </w:tc>
        <w:tc>
          <w:p>
            <w:pPr>
              <w:pStyle w:val="Compact"/>
              <w:jc w:val="left"/>
            </w:pPr>
            <w:r>
              <w:t xml:space="preserve">First Nations social-enterprise experience, national community trust, founder judgement</w:t>
            </w:r>
          </w:p>
        </w:tc>
      </w:tr>
      <w:tr>
        <w:tc>
          <w:p>
            <w:pPr>
              <w:pStyle w:val="Compact"/>
              <w:jc w:val="left"/>
            </w:pPr>
            <w:r>
              <w:t xml:space="preserve">April Long</w:t>
            </w:r>
          </w:p>
        </w:tc>
        <w:tc>
          <w:p>
            <w:pPr>
              <w:pStyle w:val="Compact"/>
              <w:jc w:val="left"/>
            </w:pPr>
            <w:r>
              <w:t xml:space="preserve">SMART Recovery Australia</w:t>
            </w:r>
          </w:p>
        </w:tc>
        <w:tc>
          <w:p>
            <w:pPr>
              <w:pStyle w:val="Compact"/>
              <w:jc w:val="left"/>
            </w:pPr>
            <w:r>
              <w:t xml:space="preserve">Community-service, governance and program experience</w:t>
            </w:r>
          </w:p>
        </w:tc>
      </w:tr>
      <w:tr>
        <w:tc>
          <w:p>
            <w:pPr>
              <w:pStyle w:val="Compact"/>
              <w:jc w:val="left"/>
            </w:pPr>
            <w:r>
              <w:t xml:space="preserve">Susan Clear</w:t>
            </w:r>
          </w:p>
        </w:tc>
        <w:tc>
          <w:p>
            <w:pPr>
              <w:pStyle w:val="Compact"/>
              <w:jc w:val="left"/>
            </w:pPr>
            <w:r>
              <w:t xml:space="preserve">Independent</w:t>
            </w:r>
          </w:p>
        </w:tc>
        <w:tc>
          <w:p>
            <w:pPr>
              <w:pStyle w:val="Compact"/>
              <w:jc w:val="left"/>
            </w:pPr>
            <w:r>
              <w:t xml:space="preserve">Independent judgement and sector support</w:t>
            </w:r>
          </w:p>
        </w:tc>
      </w:tr>
      <w:tr>
        <w:tc>
          <w:p>
            <w:pPr>
              <w:pStyle w:val="Compact"/>
              <w:jc w:val="left"/>
            </w:pPr>
            <w:r>
              <w:t xml:space="preserve">Nina Fitzgerald</w:t>
            </w:r>
          </w:p>
        </w:tc>
        <w:tc>
          <w:p>
            <w:pPr>
              <w:pStyle w:val="Compact"/>
              <w:jc w:val="left"/>
            </w:pPr>
            <w:r>
              <w:t xml:space="preserve">Independent</w:t>
            </w:r>
          </w:p>
        </w:tc>
        <w:tc>
          <w:p>
            <w:pPr>
              <w:pStyle w:val="Compact"/>
              <w:jc w:val="left"/>
            </w:pPr>
            <w:r>
              <w:t xml:space="preserve">Independent judgement; brand, communications, enterprise support</w:t>
            </w:r>
          </w:p>
        </w:tc>
      </w:tr>
      <w:tr>
        <w:tc>
          <w:p>
            <w:pPr>
              <w:pStyle w:val="Compact"/>
              <w:jc w:val="left"/>
            </w:pPr>
            <w:r>
              <w:t xml:space="preserve">Shaun Fisher</w:t>
            </w:r>
          </w:p>
        </w:tc>
        <w:tc>
          <w:p>
            <w:pPr>
              <w:pStyle w:val="Compact"/>
              <w:jc w:val="left"/>
            </w:pPr>
            <w:r>
              <w:t xml:space="preserve">Fishers Oysters</w:t>
            </w:r>
          </w:p>
        </w:tc>
        <w:tc>
          <w:p>
            <w:pPr>
              <w:pStyle w:val="Compact"/>
              <w:jc w:val="left"/>
            </w:pPr>
            <w:r>
              <w:t xml:space="preserve">Enterprise, operations and regional-business judgement</w:t>
            </w:r>
          </w:p>
        </w:tc>
      </w:tr>
    </w:tbl>
    <w:p>
      <w:pPr>
        <w:pStyle w:val="BodyText"/>
      </w:pPr>
      <w:r>
        <w:t xml:space="preserve">Cultural and legal advisors sit alongside the committee — Fred Campbell and Daniel Pittman are also drawn on for cultural/industry input, and MinterEllison (Keith Rovers) advises on structure — but these are advisory inputs, not committee seats or governance authority.</w:t>
      </w:r>
    </w:p>
    <w:p>
      <w:pPr>
        <w:pStyle w:val="BodyText"/>
      </w:pPr>
      <w:r>
        <w:rPr>
          <w:b/>
        </w:rPr>
        <w:t xml:space="preserve">What the committee is — and what it is not.</w:t>
      </w:r>
      <w:r>
        <w:t xml:space="preserve"> </w:t>
      </w:r>
      <w:r>
        <w:t xml:space="preserve">This is the distinction the whole area turns on, so it is stated plainly:</w:t>
      </w:r>
    </w:p>
    <w:p>
      <w:pPr>
        <w:numPr>
          <w:ilvl w:val="0"/>
          <w:numId w:val="1025"/>
        </w:numPr>
        <w:pStyle w:val="Compact"/>
      </w:pPr>
      <w:r>
        <w:t xml:space="preserve">It</w:t>
      </w:r>
      <w:r>
        <w:t xml:space="preserve"> </w:t>
      </w:r>
      <w:r>
        <w:rPr>
          <w:b/>
        </w:rPr>
        <w:t xml:space="preserve">is</w:t>
      </w:r>
      <w:r>
        <w:t xml:space="preserve"> </w:t>
      </w:r>
      <w:r>
        <w:t xml:space="preserve">an advisory committee: monthly rhythm, named members, real expertise, used for challenge and openings.</w:t>
      </w:r>
    </w:p>
    <w:p>
      <w:pPr>
        <w:numPr>
          <w:ilvl w:val="0"/>
          <w:numId w:val="1025"/>
        </w:numPr>
        <w:pStyle w:val="Compact"/>
      </w:pPr>
      <w:r>
        <w:t xml:space="preserve">It is</w:t>
      </w:r>
      <w:r>
        <w:t xml:space="preserve"> </w:t>
      </w:r>
      <w:r>
        <w:rPr>
          <w:b/>
        </w:rPr>
        <w:t xml:space="preserve">not</w:t>
      </w:r>
      <w:r>
        <w:t xml:space="preserve"> </w:t>
      </w:r>
      <w:r>
        <w:t xml:space="preserve">a fiduciary board. It holds no legal duty to the company, no power to approve or stop a decision, no independent finance oversight, and no defined authority over conflicts of interest or over whether a product, a story, a data use or a community partnership can proceed. Founder accountability is not removed by it; it sits on top of it.</w:t>
      </w:r>
    </w:p>
    <w:p>
      <w:pPr>
        <w:pStyle w:val="FirstParagraph"/>
      </w:pPr>
      <w:r>
        <w:t xml:space="preserve">Calling it a board would be the exact kind of overclaim the pack’s public-copy rule forbids. It is described here as what it is.</w:t>
      </w:r>
    </w:p>
    <w:p>
      <w:r>
        <w:pict>
          <v:rect style="width:0;height:1.5pt" o:hralign="center" o:hrstd="t" o:hr="t"/>
        </w:pict>
      </w:r>
    </w:p>
    <w:p>
      <w:pPr>
        <w:pStyle w:val="Heading2"/>
      </w:pPr>
      <w:bookmarkStart w:id="134" w:name="X1c898a6efd8a6e2a24177a1108eaee7da9730de"/>
      <w:r>
        <w:t xml:space="preserve">2. The gap &amp; the move — from advisory to a fiduciary board</w:t>
      </w:r>
      <w:bookmarkEnd w:id="134"/>
    </w:p>
    <w:p>
      <w:pPr>
        <w:pStyle w:val="FirstParagraph"/>
      </w:pPr>
      <w:r>
        <w:t xml:space="preserve">The diagnostic named two linked gaps, and they resolve into one move.</w:t>
      </w:r>
    </w:p>
    <w:p>
      <w:pPr>
        <w:pStyle w:val="BodyText"/>
      </w:pPr>
      <w:r>
        <w:rPr>
          <w:b/>
        </w:rPr>
        <w:t xml:space="preserve">The commercial / scale-up gap.</w:t>
      </w:r>
      <w:r>
        <w:t xml:space="preserve"> </w:t>
      </w:r>
      <w:r>
        <w:t xml:space="preserve">The committee is strong on cultural authority, manufacturing and social-enterprise mission. It is light on the capabilities a venture needs precisely at the point of taking on capital and standing up production: product scale, distribution into hard geographies, procurement contracts, working capital and inventory risk, concessional debt and impact investment, product-liability and warranty exposure, and the trade-off between growing fast and protecting the mission. This is recorded in the wiki as the</w:t>
      </w:r>
      <w:r>
        <w:t xml:space="preserve"> </w:t>
      </w:r>
      <w:r>
        <w:t xml:space="preserve">“</w:t>
      </w:r>
      <w:r>
        <w:t xml:space="preserve">known governance gap,</w:t>
      </w:r>
      <w:r>
        <w:t xml:space="preserve">”</w:t>
      </w:r>
      <w:r>
        <w:t xml:space="preserve"> </w:t>
      </w:r>
      <w:r>
        <w:t xml:space="preserve">and it is real.</w:t>
      </w:r>
    </w:p>
    <w:p>
      <w:pPr>
        <w:pStyle w:val="BodyText"/>
      </w:pPr>
      <w:r>
        <w:rPr>
          <w:b/>
        </w:rPr>
        <w:t xml:space="preserve">The no-fiduciary-board gap.</w:t>
      </w:r>
      <w:r>
        <w:t xml:space="preserve"> </w:t>
      </w:r>
      <w:r>
        <w:t xml:space="preserve">All Goods activity is migrating this financial year from Nicholas Marchesi (sole trader, ABN 21 591 780 066) into</w:t>
      </w:r>
      <w:r>
        <w:t xml:space="preserve"> </w:t>
      </w:r>
      <w:r>
        <w:rPr>
          <w:b/>
        </w:rPr>
        <w:t xml:space="preserve">A Curious Tractor Pty Ltd (ACN 697 347 676), trading as Goods on Country.</w:t>
      </w:r>
      <w:r>
        <w:t xml:space="preserve"> </w:t>
      </w:r>
      <w:r>
        <w:t xml:space="preserve">That company has directors, but it does not yet have an independent-majority fiduciary board with the finance oversight and decision authority a lender or catalytic investor will expect. Tax-deductible giving runs separately through The Butterfly Movement Ltd (DGR from FY2026-27, not live today), and the community-production entity’s legal form is still being designed — so the governance question is live across three different legal positions, not one.</w:t>
      </w:r>
    </w:p>
    <w:p>
      <w:pPr>
        <w:pStyle w:val="BodyText"/>
      </w:pPr>
      <w:r>
        <w:rPr>
          <w:b/>
        </w:rPr>
        <w:t xml:space="preserve">The move (a plan with a trigger, not a structure that exists):</w:t>
      </w:r>
    </w:p>
    <w:p>
      <w:pPr>
        <w:numPr>
          <w:ilvl w:val="0"/>
          <w:numId w:val="1026"/>
        </w:numPr>
        <w:pStyle w:val="Compact"/>
      </w:pPr>
      <w:r>
        <w:rPr>
          <w:b/>
        </w:rPr>
        <w:t xml:space="preserve">Recruit 1–2 independent directors</w:t>
      </w:r>
      <w:r>
        <w:t xml:space="preserve"> </w:t>
      </w:r>
      <w:r>
        <w:t xml:space="preserve">with commercial / social-enterprise scale-up experience — the capability the advisory committee is missing. These are</w:t>
      </w:r>
      <w:r>
        <w:t xml:space="preserve"> </w:t>
      </w:r>
      <w:r>
        <w:rPr>
          <w:i/>
        </w:rPr>
        <w:t xml:space="preserve">non-founder</w:t>
      </w:r>
      <w:r>
        <w:t xml:space="preserve"> </w:t>
      </w:r>
      <w:r>
        <w:t xml:space="preserve">directors, brought in to give the company independent oversight rather than to extend the founders’ reach.</w:t>
      </w:r>
    </w:p>
    <w:p>
      <w:pPr>
        <w:numPr>
          <w:ilvl w:val="0"/>
          <w:numId w:val="1026"/>
        </w:numPr>
        <w:pStyle w:val="Compact"/>
      </w:pPr>
      <w:r>
        <w:rPr>
          <w:b/>
        </w:rPr>
        <w:t xml:space="preserve">Stand up a minimum-viable fiduciary board</w:t>
      </w:r>
      <w:r>
        <w:t xml:space="preserve"> </w:t>
      </w:r>
      <w:r>
        <w:t xml:space="preserve">for A Curious Tractor Pty Ltd t/a Goods on Country, with an independent majority, sitting over (not replacing) the advisory committee. The committee keeps doing what it does well; the board carries the legal duties the committee cannot.</w:t>
      </w:r>
    </w:p>
    <w:p>
      <w:pPr>
        <w:numPr>
          <w:ilvl w:val="0"/>
          <w:numId w:val="1026"/>
        </w:numPr>
        <w:pStyle w:val="Compact"/>
      </w:pPr>
      <w:r>
        <w:rPr>
          <w:b/>
        </w:rPr>
        <w:t xml:space="preserve">The trigger is the capital, not the calendar.</w:t>
      </w:r>
      <w:r>
        <w:t xml:space="preserve"> </w:t>
      </w:r>
      <w:r>
        <w:t xml:space="preserve">The board is stood up as the raise advances, because it gates the raise:</w:t>
      </w:r>
      <w:r>
        <w:t xml:space="preserve"> </w:t>
      </w:r>
      <w:r>
        <w:rPr>
          <w:b/>
        </w:rPr>
        <w:t xml:space="preserve">SEFA’s ~AU$300K working-capital line is gated on an independent-majority fiduciary board plus the financial model plus a revenue covenant</w:t>
      </w:r>
      <w:r>
        <w:t xml:space="preserve"> </w:t>
      </w:r>
      <w:r>
        <w:t xml:space="preserve">[TARGET — ~70% modelled, not secured]. No board, no debt layer. This is also one of the five named raise-blockers (master map §9, item 4):</w:t>
      </w:r>
      <w:r>
        <w:t xml:space="preserve"> </w:t>
      </w:r>
      <w:r>
        <w:t xml:space="preserve">“</w:t>
      </w:r>
      <w:r>
        <w:t xml:space="preserve">advisory ≠ board; need 1–2 directors with commercial/scale-up experience; reports not audited.</w:t>
      </w:r>
      <w:r>
        <w:t xml:space="preserve">”</w:t>
      </w:r>
    </w:p>
    <w:p>
      <w:pPr>
        <w:pStyle w:val="FirstParagraph"/>
      </w:pPr>
      <w:r>
        <w:rPr>
          <w:b/>
        </w:rPr>
        <w:t xml:space="preserve">Be honest about status.</w:t>
      </w:r>
      <w:r>
        <w:t xml:space="preserve"> </w:t>
      </w:r>
      <w:r>
        <w:t xml:space="preserve">Today there are</w:t>
      </w:r>
      <w:r>
        <w:t xml:space="preserve"> </w:t>
      </w:r>
      <w:r>
        <w:rPr>
          <w:b/>
        </w:rPr>
        <w:t xml:space="preserve">0 independent directors recruited</w:t>
      </w:r>
      <w:r>
        <w:t xml:space="preserve"> </w:t>
      </w:r>
      <w:r>
        <w:t xml:space="preserve">and</w:t>
      </w:r>
      <w:r>
        <w:t xml:space="preserve"> </w:t>
      </w:r>
      <w:r>
        <w:rPr>
          <w:b/>
        </w:rPr>
        <w:t xml:space="preserve">no fiduciary board in place.</w:t>
      </w:r>
      <w:r>
        <w:t xml:space="preserve"> </w:t>
      </w:r>
      <w:r>
        <w:t xml:space="preserve">The advisory committee is the only standing governance body. The board charter, delegations-of-authority matrix and director induction pack are all</w:t>
      </w:r>
      <w:r>
        <w:t xml:space="preserve"> </w:t>
      </w:r>
      <w:r>
        <w:t xml:space="preserve">“</w:t>
      </w:r>
      <w:r>
        <w:t xml:space="preserve">not in place</w:t>
      </w:r>
      <w:r>
        <w:t xml:space="preserve">”</w:t>
      </w:r>
      <w:r>
        <w:t xml:space="preserve"> </w:t>
      </w:r>
      <w:r>
        <w:t xml:space="preserve">in the policies register, each triggered by independent-director recruitment. This document describes the move; it does not claim the move is done. For external use, this is worded as a planned governance step the capital funds (it is QBE-shareable on that basis — risk register R7), never as an existing board.</w:t>
      </w:r>
    </w:p>
    <w:p>
      <w:r>
        <w:pict>
          <v:rect style="width:0;height:1.5pt" o:hralign="center" o:hrstd="t" o:hr="t"/>
        </w:pict>
      </w:r>
    </w:p>
    <w:p>
      <w:pPr>
        <w:pStyle w:val="Heading2"/>
      </w:pPr>
      <w:bookmarkStart w:id="135" w:name="target-board-composition"/>
      <w:r>
        <w:t xml:space="preserve">3. Target board composition</w:t>
      </w:r>
      <w:bookmarkEnd w:id="135"/>
    </w:p>
    <w:p>
      <w:pPr>
        <w:pStyle w:val="FirstParagraph"/>
      </w:pPr>
      <w:r>
        <w:t xml:space="preserve">A small, deliberate board — large enough to carry the fiduciary load and the independent majority a lender needs, small enough not to build governance theatre ahead of the work. The aim is the</w:t>
      </w:r>
      <w:r>
        <w:t xml:space="preserve"> </w:t>
      </w:r>
      <w:r>
        <w:rPr>
          <w:i/>
        </w:rPr>
        <w:t xml:space="preserve">minimum real structure</w:t>
      </w:r>
      <w:r>
        <w:t xml:space="preserve"> </w:t>
      </w:r>
      <w:r>
        <w:t xml:space="preserve">for QBE Stage 2, SEFA/IBA debt, partner confidence and the community-ownership pathway — not a board added because it looks mature.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Seat</w:t>
            </w:r>
          </w:p>
        </w:tc>
        <w:tc>
          <w:tcPr>
            <w:tcBorders>
              <w:bottom w:val="single"/>
            </w:tcBorders>
            <w:vAlign w:val="bottom"/>
          </w:tcPr>
          <w:p>
            <w:pPr>
              <w:pStyle w:val="Compact"/>
              <w:jc w:val="left"/>
            </w:pPr>
            <w:r>
              <w:t xml:space="preserve">Expertise sought</w:t>
            </w:r>
          </w:p>
        </w:tc>
        <w:tc>
          <w:tcPr>
            <w:tcBorders>
              <w:bottom w:val="single"/>
            </w:tcBorders>
            <w:vAlign w:val="bottom"/>
          </w:tcPr>
          <w:p>
            <w:pPr>
              <w:pStyle w:val="Compact"/>
              <w:jc w:val="left"/>
            </w:pPr>
            <w:r>
              <w:t xml:space="preserve">Status</w:t>
            </w:r>
          </w:p>
        </w:tc>
      </w:tr>
      <w:tr>
        <w:tc>
          <w:p>
            <w:pPr>
              <w:pStyle w:val="Compact"/>
              <w:jc w:val="left"/>
            </w:pPr>
            <w:r>
              <w:t xml:space="preserve">Aboriginal leadership</w:t>
            </w:r>
          </w:p>
        </w:tc>
        <w:tc>
          <w:p>
            <w:pPr>
              <w:pStyle w:val="Compact"/>
              <w:jc w:val="left"/>
            </w:pPr>
            <w:r>
              <w:t xml:space="preserve">Cultural authority; community-led production pathway; First Nations enterprise</w:t>
            </w:r>
          </w:p>
        </w:tc>
        <w:tc>
          <w:p>
            <w:pPr>
              <w:pStyle w:val="Compact"/>
              <w:jc w:val="left"/>
            </w:pPr>
            <w:r>
              <w:t xml:space="preserve">✓ Available via the advisory committee (Kristy Bloomfield / Oonchiumpa; Corey Tutt) — to be formalised onto the board</w:t>
            </w:r>
          </w:p>
        </w:tc>
      </w:tr>
      <w:tr>
        <w:tc>
          <w:p>
            <w:pPr>
              <w:pStyle w:val="Compact"/>
              <w:jc w:val="left"/>
            </w:pPr>
            <w:r>
              <w:t xml:space="preserve">Manufacturing / product</w:t>
            </w:r>
          </w:p>
        </w:tc>
        <w:tc>
          <w:p>
            <w:pPr>
              <w:pStyle w:val="Compact"/>
              <w:jc w:val="left"/>
            </w:pPr>
            <w:r>
              <w:t xml:space="preserve">Bedding and recycled-plastic manufacturing, product scale, quality and warranty</w:t>
            </w:r>
          </w:p>
        </w:tc>
        <w:tc>
          <w:p>
            <w:pPr>
              <w:pStyle w:val="Compact"/>
              <w:jc w:val="left"/>
            </w:pPr>
            <w:r>
              <w:t xml:space="preserve">✓ Available via the advisory committee (Daniel Pittman / Zinus advisor; Sam Davies / Defy) — advisory input to be drawn on at board level</w:t>
            </w:r>
          </w:p>
        </w:tc>
      </w:tr>
      <w:tr>
        <w:tc>
          <w:p>
            <w:pPr>
              <w:pStyle w:val="Compact"/>
              <w:jc w:val="left"/>
            </w:pPr>
            <w:r>
              <w:t xml:space="preserve">Commercial / social-enterprise scale-up</w:t>
            </w:r>
          </w:p>
        </w:tc>
        <w:tc>
          <w:p>
            <w:pPr>
              <w:pStyle w:val="Compact"/>
              <w:jc w:val="left"/>
            </w:pPr>
            <w:r>
              <w:t xml:space="preserve">Distribution into hard geographies, procurement contracts, social-enterprise scaling</w:t>
            </w:r>
          </w:p>
        </w:tc>
        <w:tc>
          <w:p>
            <w:pPr>
              <w:pStyle w:val="Compact"/>
              <w:jc w:val="left"/>
            </w:pPr>
            <w:r>
              <w:t xml:space="preserve">✗ To recruit — the named capability gap; independent director</w:t>
            </w:r>
          </w:p>
        </w:tc>
      </w:tr>
      <w:tr>
        <w:tc>
          <w:p>
            <w:pPr>
              <w:pStyle w:val="Compact"/>
              <w:jc w:val="left"/>
            </w:pPr>
            <w:r>
              <w:t xml:space="preserve">Finance / capital</w:t>
            </w:r>
          </w:p>
        </w:tc>
        <w:tc>
          <w:p>
            <w:pPr>
              <w:pStyle w:val="Compact"/>
              <w:jc w:val="left"/>
            </w:pPr>
            <w:r>
              <w:t xml:space="preserve">Working capital, inventory risk, concessional debt, financial oversight (likely paired with fractional CFO support)</w:t>
            </w:r>
          </w:p>
        </w:tc>
        <w:tc>
          <w:p>
            <w:pPr>
              <w:pStyle w:val="Compact"/>
              <w:jc w:val="left"/>
            </w:pPr>
            <w:r>
              <w:t xml:space="preserve">✗ To recruit — independent director; required before drawing debt</w:t>
            </w:r>
          </w:p>
        </w:tc>
      </w:tr>
      <w:tr>
        <w:tc>
          <w:p>
            <w:pPr>
              <w:pStyle w:val="Compact"/>
              <w:jc w:val="left"/>
            </w:pPr>
            <w:r>
              <w:t xml:space="preserve">Independent chair</w:t>
            </w:r>
          </w:p>
        </w:tc>
        <w:tc>
          <w:p>
            <w:pPr>
              <w:pStyle w:val="Compact"/>
              <w:jc w:val="left"/>
            </w:pPr>
            <w:r>
              <w:t xml:space="preserve">Independent governance leadership; conflicts; mission-vs-growth balance</w:t>
            </w:r>
          </w:p>
        </w:tc>
        <w:tc>
          <w:p>
            <w:pPr>
              <w:pStyle w:val="Compact"/>
              <w:jc w:val="left"/>
            </w:pPr>
            <w:r>
              <w:t xml:space="preserve">✗ To recruit</w:t>
            </w:r>
          </w:p>
        </w:tc>
      </w:tr>
    </w:tbl>
    <w:p>
      <w:pPr>
        <w:pStyle w:val="BlockText"/>
      </w:pPr>
      <w:r>
        <w:rPr>
          <w:b/>
        </w:rPr>
        <w:t xml:space="preserve">Reading the table.</w:t>
      </w:r>
      <w:r>
        <w:t xml:space="preserve"> </w:t>
      </w:r>
      <w:r>
        <w:t xml:space="preserve">The cultural-authority and manufacturing capabilities already exist around the table as</w:t>
      </w:r>
      <w:r>
        <w:t xml:space="preserve"> </w:t>
      </w:r>
      <w:r>
        <w:rPr>
          <w:i/>
        </w:rPr>
        <w:t xml:space="preserve">advisory</w:t>
      </w:r>
      <w:r>
        <w:t xml:space="preserve"> </w:t>
      </w:r>
      <w:r>
        <w:t xml:space="preserve">strength; the move is to formalise an Aboriginal-leadership seat at board level and keep manufacturing as expert input. The three ✗ seats — commercial scale-up, finance, and an independent chair — are the genuine recruitment task, and the two independent directors in §2 fill the first two. An independent majority means non-founder directors outnumber founder directors; that is the specific thing SEFA’s covenant looks for, so the chair and at least one of the scale-up/finance seats must be independent.</w:t>
      </w:r>
    </w:p>
    <w:p>
      <w:pPr>
        <w:pStyle w:val="FirstParagraph"/>
      </w:pPr>
      <w:r>
        <w:t xml:space="preserve">This is a target, not a roster. No seat marked ✗ is filled. The ✓ seats are availability, not appointment — formalising them onto a fiduciary board is itself part of the move.</w:t>
      </w:r>
    </w:p>
    <w:p>
      <w:r>
        <w:pict>
          <v:rect style="width:0;height:1.5pt" o:hralign="center" o:hrstd="t" o:hr="t"/>
        </w:pict>
      </w:r>
    </w:p>
    <w:p>
      <w:pPr>
        <w:pStyle w:val="Heading2"/>
      </w:pPr>
      <w:bookmarkStart w:id="136" w:name="X67ef3ef1507f862f4ace5e056667560b1cd371b"/>
      <w:r>
        <w:t xml:space="preserve">4. Reporting cadence — from per-grant to a consolidated annual cycle</w:t>
      </w:r>
      <w:bookmarkEnd w:id="136"/>
    </w:p>
    <w:p>
      <w:pPr>
        <w:pStyle w:val="FirstParagraph"/>
      </w:pPr>
      <w:r>
        <w:rPr>
          <w:b/>
        </w:rPr>
        <w:t xml:space="preserve">The gap the diagnostic named.</w:t>
      </w:r>
      <w:r>
        <w:t xml:space="preserve"> </w:t>
      </w:r>
      <w:r>
        <w:t xml:space="preserve">Today, external reporting is driven</w:t>
      </w:r>
      <w:r>
        <w:t xml:space="preserve"> </w:t>
      </w:r>
      <w:r>
        <w:rPr>
          <w:b/>
        </w:rPr>
        <w:t xml:space="preserve">per grant</w:t>
      </w:r>
      <w:r>
        <w:t xml:space="preserve"> </w:t>
      </w:r>
      <w:r>
        <w:t xml:space="preserve">— each funder’s report is assembled on its own timeline, against its own template, from numbers pulled fresh each time. That is workable at five grants; it does not scale, it invites the figures to drift between reports, and it produces no single annual account of the whole organisation. It is also why the same metric can appear three ways across documents — the discipline the master alignment map exists to enforce.</w:t>
      </w:r>
    </w:p>
    <w:p>
      <w:pPr>
        <w:pStyle w:val="BodyText"/>
      </w:pPr>
      <w:r>
        <w:rPr>
          <w:b/>
        </w:rPr>
        <w:t xml:space="preserve">The move.</w:t>
      </w:r>
      <w:r>
        <w:t xml:space="preserve"> </w:t>
      </w:r>
      <w:r>
        <w:t xml:space="preserve">Adopt a</w:t>
      </w:r>
      <w:r>
        <w:t xml:space="preserve"> </w:t>
      </w:r>
      <w:r>
        <w:rPr>
          <w:b/>
        </w:rPr>
        <w:t xml:space="preserve">consolidated annual reporting cycle</w:t>
      </w:r>
      <w:r>
        <w:t xml:space="preserve"> </w:t>
      </w:r>
      <w:r>
        <w:t xml:space="preserve">that sits over the per-grant obligations rather than replacing them. Grant acquittals still happen on each funder’s schedule, but they are drawn from one consolidated annual account built once a year against one reconciled set of numbers — the same evidence-labelled figures used everywhere else (VERIFIED / WORKPAPER / MODELLED / TARGET). One cycle, one source of numbers, many outputs.</w:t>
      </w:r>
    </w:p>
    <w:p>
      <w:pPr>
        <w:pStyle w:val="BodyText"/>
      </w:pPr>
      <w:r>
        <w:rPr>
          <w:b/>
        </w:rPr>
        <w:t xml:space="preserve">The reporting products and their audiences.</w:t>
      </w:r>
      <w:r>
        <w:t xml:space="preserve"> </w:t>
      </w:r>
      <w:r>
        <w:t xml:space="preserve">The order matters and is set deliberately — community first, per the data-sovereignty practice (§5):</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Primary audience</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Source of truth</w:t>
            </w:r>
          </w:p>
        </w:tc>
      </w:tr>
      <w:tr>
        <w:tc>
          <w:p>
            <w:pPr>
              <w:pStyle w:val="Compact"/>
              <w:jc w:val="left"/>
            </w:pPr>
            <w:r>
              <w:t xml:space="preserve">Community / partner report-back</w:t>
            </w:r>
          </w:p>
        </w:tc>
        <w:tc>
          <w:p>
            <w:pPr>
              <w:pStyle w:val="Compact"/>
              <w:jc w:val="left"/>
            </w:pPr>
            <w:r>
              <w:t xml:space="preserve">Community members and partners</w:t>
            </w:r>
          </w:p>
        </w:tc>
        <w:tc>
          <w:p>
            <w:pPr>
              <w:pStyle w:val="Compact"/>
              <w:jc w:val="left"/>
            </w:pPr>
            <w:r>
              <w:t xml:space="preserve">Continuous + annual summary</w:t>
            </w:r>
          </w:p>
        </w:tc>
        <w:tc>
          <w:p>
            <w:pPr>
              <w:pStyle w:val="Compact"/>
              <w:jc w:val="left"/>
            </w:pPr>
            <w:r>
              <w:t xml:space="preserve">Consented stories, photos/video shared back, asset-register delivery records</w:t>
            </w:r>
          </w:p>
        </w:tc>
      </w:tr>
      <w:tr>
        <w:tc>
          <w:p>
            <w:pPr>
              <w:pStyle w:val="Compact"/>
              <w:jc w:val="left"/>
            </w:pPr>
            <w:r>
              <w:t xml:space="preserve">Annual impact &amp; operations report</w:t>
            </w:r>
          </w:p>
        </w:tc>
        <w:tc>
          <w:p>
            <w:pPr>
              <w:pStyle w:val="Compact"/>
              <w:jc w:val="left"/>
            </w:pPr>
            <w:r>
              <w:t xml:space="preserve">Funders and investors (catalytic, philanthropic, lender)</w:t>
            </w:r>
          </w:p>
        </w:tc>
        <w:tc>
          <w:p>
            <w:pPr>
              <w:pStyle w:val="Compact"/>
              <w:jc w:val="left"/>
            </w:pPr>
            <w:r>
              <w:t xml:space="preserve">Annual (consolidated)</w:t>
            </w:r>
          </w:p>
        </w:tc>
        <w:tc>
          <w:p>
            <w:pPr>
              <w:pStyle w:val="Compact"/>
              <w:jc w:val="left"/>
            </w:pPr>
            <w:r>
              <w:t xml:space="preserve">Reconciled figures + impact measurement method (05)</w:t>
            </w:r>
          </w:p>
        </w:tc>
      </w:tr>
      <w:tr>
        <w:tc>
          <w:p>
            <w:pPr>
              <w:pStyle w:val="Compact"/>
              <w:jc w:val="left"/>
            </w:pPr>
            <w:r>
              <w:t xml:space="preserve">Per-grant acquittals</w:t>
            </w:r>
          </w:p>
        </w:tc>
        <w:tc>
          <w:p>
            <w:pPr>
              <w:pStyle w:val="Compact"/>
              <w:jc w:val="left"/>
            </w:pPr>
            <w:r>
              <w:t xml:space="preserve">Each individual funder</w:t>
            </w:r>
          </w:p>
        </w:tc>
        <w:tc>
          <w:p>
            <w:pPr>
              <w:pStyle w:val="Compact"/>
              <w:jc w:val="left"/>
            </w:pPr>
            <w:r>
              <w:t xml:space="preserve">Per grant (their schedule)</w:t>
            </w:r>
          </w:p>
        </w:tc>
        <w:tc>
          <w:p>
            <w:pPr>
              <w:pStyle w:val="Compact"/>
              <w:jc w:val="left"/>
            </w:pPr>
            <w:r>
              <w:t xml:space="preserve">Drawn from the same consolidated account</w:t>
            </w:r>
          </w:p>
        </w:tc>
      </w:tr>
      <w:tr>
        <w:tc>
          <w:p>
            <w:pPr>
              <w:pStyle w:val="Compact"/>
              <w:jc w:val="left"/>
            </w:pPr>
            <w:r>
              <w:t xml:space="preserve">Monthly governance pack</w:t>
            </w:r>
          </w:p>
        </w:tc>
        <w:tc>
          <w:p>
            <w:pPr>
              <w:pStyle w:val="Compact"/>
              <w:jc w:val="left"/>
            </w:pPr>
            <w:r>
              <w:t xml:space="preserve">Founders, advisory committee, future board</w:t>
            </w:r>
          </w:p>
        </w:tc>
        <w:tc>
          <w:p>
            <w:pPr>
              <w:pStyle w:val="Compact"/>
              <w:jc w:val="left"/>
            </w:pPr>
            <w:r>
              <w:t xml:space="preserve">Monthly</w:t>
            </w:r>
          </w:p>
        </w:tc>
        <w:tc>
          <w:p>
            <w:pPr>
              <w:pStyle w:val="Compact"/>
              <w:jc w:val="left"/>
            </w:pPr>
            <w:r>
              <w:t xml:space="preserve">Risk register, cashflow, capital pipeline, delivery, product quality, partner feedback, story/data issues</w:t>
            </w:r>
          </w:p>
        </w:tc>
      </w:tr>
    </w:tbl>
    <w:p>
      <w:pPr>
        <w:pStyle w:val="BodyText"/>
      </w:pPr>
      <w:r>
        <w:rPr>
          <w:b/>
        </w:rPr>
        <w:t xml:space="preserve">Tie to the impact MEL method (05).</w:t>
      </w:r>
      <w:r>
        <w:t xml:space="preserve"> </w:t>
      </w:r>
      <w:r>
        <w:t xml:space="preserve">The annual report does not invent its own metrics — it reports against the impact measurement method, which already draws the line between what is independently checkable today, what is modelled from stated assumptions, and what is a future indicator not yet collected. Concretely, the consolidated cycle reports the</w:t>
      </w:r>
      <w:r>
        <w:t xml:space="preserve"> </w:t>
      </w:r>
      <w:r>
        <w:rPr>
          <w:b/>
        </w:rPr>
        <w:t xml:space="preserve">[VERIFIED]</w:t>
      </w:r>
      <w:r>
        <w:t xml:space="preserve"> </w:t>
      </w:r>
      <w:r>
        <w:t xml:space="preserve">assets (496 beds tracked in the asset register; 9 communities served; 20 kg HDPE diverted per bed), the</w:t>
      </w:r>
      <w:r>
        <w:t xml:space="preserve"> </w:t>
      </w:r>
      <w:r>
        <w:rPr>
          <w:b/>
        </w:rPr>
        <w:t xml:space="preserve">[MODELLED]</w:t>
      </w:r>
      <w:r>
        <w:t xml:space="preserve"> </w:t>
      </w:r>
      <w:r>
        <w:t xml:space="preserve">figures honestly labelled (2,660 kg HDPE diverted, Stretch only; projected in-source unit cost), and it does</w:t>
      </w:r>
      <w:r>
        <w:t xml:space="preserve"> </w:t>
      </w:r>
      <w:r>
        <w:rPr>
          <w:b/>
        </w:rPr>
        <w:t xml:space="preserve">not</w:t>
      </w:r>
      <w:r>
        <w:t xml:space="preserve"> </w:t>
      </w:r>
      <w:r>
        <w:t xml:space="preserve">dress a</w:t>
      </w:r>
      <w:r>
        <w:t xml:space="preserve"> </w:t>
      </w:r>
      <w:r>
        <w:rPr>
          <w:b/>
        </w:rPr>
        <w:t xml:space="preserve">[FUTURE]</w:t>
      </w:r>
      <w:r>
        <w:t xml:space="preserve"> </w:t>
      </w:r>
      <w:r>
        <w:t xml:space="preserve">indicator (bed survival at 12/24/36 months, wash frequency, any health outcome) as if it were live. The reporting cadence is the delivery mechanism; the MEL method (05) is the rule for what may be claimed. The claim ceiling holds in the report exactly as it holds everywhere else: washable beds and reliable washing machines</w:t>
      </w:r>
      <w:r>
        <w:t xml:space="preserve"> </w:t>
      </w:r>
      <w:r>
        <w:rPr>
          <w:i/>
        </w:rPr>
        <w:t xml:space="preserve">support</w:t>
      </w:r>
      <w:r>
        <w:t xml:space="preserve"> </w:t>
      </w:r>
      <w:r>
        <w:t xml:space="preserve">the environmental-health conditions needed to interrupt known infection pathways — no claimed reduction in rheumatic heart disease without partner clinical evidence.</w:t>
      </w:r>
    </w:p>
    <w:p>
      <w:pPr>
        <w:pStyle w:val="BodyText"/>
      </w:pPr>
      <w:r>
        <w:rPr>
          <w:b/>
        </w:rPr>
        <w:t xml:space="preserve">Status.</w:t>
      </w:r>
      <w:r>
        <w:t xml:space="preserve"> </w:t>
      </w:r>
      <w:r>
        <w:t xml:space="preserve">The consolidated annual cycle is</w:t>
      </w:r>
      <w:r>
        <w:t xml:space="preserve"> </w:t>
      </w:r>
      <w:r>
        <w:rPr>
          <w:b/>
        </w:rPr>
        <w:t xml:space="preserve">not yet in place</w:t>
      </w:r>
      <w:r>
        <w:t xml:space="preserve"> </w:t>
      </w:r>
      <w:r>
        <w:t xml:space="preserve">— reporting is still per-grant today. The monthly governance pack is the nearest-term build (it is also Proof 5 in the next-stage focus and feeds the future board). A first consolidated annual report is gated on the accountant-reviewed, Goods-only finance figure, which does not exist yet (master map §9, item 3) — so this section describes the target cycle and is explicit that the single reconciled number underneath it is still being produced.</w:t>
      </w:r>
    </w:p>
    <w:p>
      <w:r>
        <w:pict>
          <v:rect style="width:0;height:1.5pt" o:hralign="center" o:hrstd="t" o:hr="t"/>
        </w:pict>
      </w:r>
    </w:p>
    <w:p>
      <w:pPr>
        <w:pStyle w:val="Heading2"/>
      </w:pPr>
      <w:bookmarkStart w:id="137" w:name="data-consent-governance"/>
      <w:r>
        <w:t xml:space="preserve">5. Data &amp; consent governance</w:t>
      </w:r>
      <w:bookmarkEnd w:id="137"/>
    </w:p>
    <w:p>
      <w:pPr>
        <w:pStyle w:val="FirstParagraph"/>
      </w:pPr>
      <w:r>
        <w:t xml:space="preserve">This is the area’s standing strength, and it is written as a practice, not a slogan. The core commitment: people own their stories, know how they are used, and can withdraw or change consent at any time. Community stories are not marketing stock.</w:t>
      </w:r>
    </w:p>
    <w:p>
      <w:pPr>
        <w:pStyle w:val="BodyText"/>
      </w:pPr>
      <w:r>
        <w:rPr>
          <w:b/>
        </w:rPr>
        <w:t xml:space="preserve">OCAP principles.</w:t>
      </w:r>
      <w:r>
        <w:t xml:space="preserve"> </w:t>
      </w:r>
      <w:r>
        <w:t xml:space="preserve">Goods works in the OCAP tradition —</w:t>
      </w:r>
      <w:r>
        <w:t xml:space="preserve"> </w:t>
      </w:r>
      <w:r>
        <w:rPr>
          <w:b/>
        </w:rPr>
        <w:t xml:space="preserve">Ownership, Control, Access, Possession</w:t>
      </w:r>
      <w:r>
        <w:t xml:space="preserve"> </w:t>
      </w:r>
      <w:r>
        <w:t xml:space="preserve">— for First Nations data sovereignty. OCAP is used as a working reference for how data and story are handled, not as decoration. In practice it means the community owns the story, controls how it is used, can access it, and the consent status travels with the data.</w:t>
      </w:r>
    </w:p>
    <w:p>
      <w:pPr>
        <w:pStyle w:val="BodyText"/>
      </w:pPr>
      <w:r>
        <w:rPr>
          <w:b/>
        </w:rPr>
        <w:t xml:space="preserve">Storyteller rights (the practice that is in place).</w:t>
      </w:r>
    </w:p>
    <w:p>
      <w:pPr>
        <w:numPr>
          <w:ilvl w:val="0"/>
          <w:numId w:val="1027"/>
        </w:numPr>
        <w:pStyle w:val="Compact"/>
      </w:pPr>
      <w:r>
        <w:rPr>
          <w:b/>
        </w:rPr>
        <w:t xml:space="preserve">Retraction / recall.</w:t>
      </w:r>
      <w:r>
        <w:t xml:space="preserve"> </w:t>
      </w:r>
      <w:r>
        <w:t xml:space="preserve">A person can withdraw or change consent at any time, including for photos, videos, quotes, transcripts and the way a story is used in reports or pitch material. Story retraction is supported.</w:t>
      </w:r>
    </w:p>
    <w:p>
      <w:pPr>
        <w:numPr>
          <w:ilvl w:val="0"/>
          <w:numId w:val="1027"/>
        </w:numPr>
        <w:pStyle w:val="Compact"/>
      </w:pPr>
      <w:r>
        <w:rPr>
          <w:b/>
        </w:rPr>
        <w:t xml:space="preserve">Informed of use.</w:t>
      </w:r>
      <w:r>
        <w:t xml:space="preserve"> </w:t>
      </w:r>
      <w:r>
        <w:t xml:space="preserve">People whose stories are used are checked in with — including leaders such as Dianne Stokes — so they know where and how their story appears.</w:t>
      </w:r>
    </w:p>
    <w:p>
      <w:pPr>
        <w:numPr>
          <w:ilvl w:val="0"/>
          <w:numId w:val="1027"/>
        </w:numPr>
        <w:pStyle w:val="Compact"/>
      </w:pPr>
      <w:r>
        <w:rPr>
          <w:b/>
        </w:rPr>
        <w:t xml:space="preserve">Shared back.</w:t>
      </w:r>
      <w:r>
        <w:t xml:space="preserve"> </w:t>
      </w:r>
      <w:r>
        <w:t xml:space="preserve">Photos and videos are shared back with community members rather than held only by Goods.</w:t>
      </w:r>
    </w:p>
    <w:p>
      <w:pPr>
        <w:numPr>
          <w:ilvl w:val="0"/>
          <w:numId w:val="1027"/>
        </w:numPr>
        <w:pStyle w:val="Compact"/>
      </w:pPr>
      <w:r>
        <w:rPr>
          <w:b/>
        </w:rPr>
        <w:t xml:space="preserve">Consent travels with the data.</w:t>
      </w:r>
      <w:r>
        <w:t xml:space="preserve"> </w:t>
      </w:r>
      <w:r>
        <w:t xml:space="preserve">A story’s permission status is attached to the story; when it moves — to the wiki, a newsletter, an Empathy Ledger syndication, a deck, the website, a funder or board pack — its consent status moves with it and is re-checked at the point of use.</w:t>
      </w:r>
    </w:p>
    <w:p>
      <w:pPr>
        <w:pStyle w:val="FirstParagraph"/>
      </w:pPr>
      <w:r>
        <w:t xml:space="preserve">Empathy Ledger (project context</w:t>
      </w:r>
      <w:r>
        <w:t xml:space="preserve"> </w:t>
      </w:r>
      <w:r>
        <w:rPr>
          <w:rStyle w:val="VerbatimChar"/>
        </w:rPr>
        <w:t xml:space="preserve">goods-on-country</w:t>
      </w:r>
      <w:r>
        <w:t xml:space="preserve">) is the technical direction for consent, withdrawal and story governance. It is treated as internal implementation evidence, not as mentor-facing proof, and Goods does not claim it already solves all impact measurement — the lived process still has to match the technical promise, and story-shareability still needs human review.</w:t>
      </w:r>
    </w:p>
    <w:p>
      <w:pPr>
        <w:pStyle w:val="BodyText"/>
      </w:pPr>
      <w:r>
        <w:rPr>
          <w:b/>
        </w:rPr>
        <w:t xml:space="preserve">The consent-cleared list.</w:t>
      </w:r>
      <w:r>
        <w:t xml:space="preserve"> </w:t>
      </w:r>
      <w:r>
        <w:t xml:space="preserve">Cleared for external use today:</w:t>
      </w:r>
      <w:r>
        <w:t xml:space="preserve"> </w:t>
      </w:r>
      <w:r>
        <w:rPr>
          <w:b/>
        </w:rPr>
        <w:t xml:space="preserve">Ivy Johnson, Dianne Stokes, Ray Nelson</w:t>
      </w:r>
      <w:r>
        <w:t xml:space="preserve"> </w:t>
      </w:r>
      <w:r>
        <w:t xml:space="preserve">[VERIFIED — consent confirmed].</w:t>
      </w:r>
      <w:r>
        <w:t xml:space="preserve"> </w:t>
      </w:r>
      <w:r>
        <w:rPr>
          <w:b/>
        </w:rPr>
        <w:t xml:space="preserve">Everyone else is consent-pending</w:t>
      </w:r>
      <w:r>
        <w:t xml:space="preserve"> </w:t>
      </w:r>
      <w:r>
        <w:t xml:space="preserve">and is not named, quoted, or pictured in any external material. The shortness of this list (three of many storytellers) is itself a recorded gap and a measurement-method task — expanding it with properly documented consent, not a marketing task. The human anchor that</w:t>
      </w:r>
      <w:r>
        <w:t xml:space="preserve"> </w:t>
      </w:r>
      <w:r>
        <w:rPr>
          <w:i/>
        </w:rPr>
        <w:t xml:space="preserve">is</w:t>
      </w:r>
      <w:r>
        <w:t xml:space="preserve"> </w:t>
      </w:r>
      <w:r>
        <w:t xml:space="preserve">cleared, used as a lived-experience account and not a clinical result: Ray Nelson’s bed —</w:t>
      </w:r>
      <w:r>
        <w:t xml:space="preserve"> </w:t>
      </w:r>
      <w:r>
        <w:rPr>
          <w:i/>
        </w:rPr>
        <w:t xml:space="preserve">“</w:t>
      </w:r>
      <w:r>
        <w:rPr>
          <w:i/>
        </w:rPr>
        <w:t xml:space="preserve">Since receiving their new beds, they are no longer experiencing back pains.</w:t>
      </w:r>
      <w:r>
        <w:rPr>
          <w:i/>
        </w:rPr>
        <w:t xml:space="preserve">”</w:t>
      </w:r>
    </w:p>
    <w:p>
      <w:pPr>
        <w:pStyle w:val="BodyText"/>
      </w:pPr>
      <w:r>
        <w:rPr>
          <w:b/>
        </w:rPr>
        <w:t xml:space="preserve">The consent gate — who approves external use.</w:t>
      </w:r>
      <w:r>
        <w:t xml:space="preserve"> </w:t>
      </w:r>
      <w:r>
        <w:t xml:space="preserve">Before any community</w:t>
      </w:r>
      <w:r>
        <w:t xml:space="preserve"> </w:t>
      </w:r>
      <w:r>
        <w:rPr>
          <w:b/>
        </w:rPr>
        <w:t xml:space="preserve">story, quote, name, photo or video</w:t>
      </w:r>
      <w:r>
        <w:t xml:space="preserve"> </w:t>
      </w:r>
      <w:r>
        <w:t xml:space="preserve">is used externally — public wiki, newsletter, Empathy Ledger syndication, social, funder or board deck, website — it goes through a consent gate.</w:t>
      </w:r>
      <w:r>
        <w:t xml:space="preserve"> </w:t>
      </w:r>
      <w:r>
        <w:rPr>
          <w:b/>
        </w:rPr>
        <w:t xml:space="preserve">Ben Knight owns this gate</w:t>
      </w:r>
      <w:r>
        <w:t xml:space="preserve"> </w:t>
      </w:r>
      <w:r>
        <w:t xml:space="preserve">(community relationships, story and consent sit with him in the role map). The rule is blocking: if the consent trail is incomplete or unverified, it does not publish, and a gap is never filled by inventing a name or a date. Unclear consent means the item goes to the review queue and only de-identified pattern evidence is used. This is risk register R2 — story/data consent, scored Critical (likelihood 4 × consequence 5 = 20) — and the gate is its primary control.</w:t>
      </w:r>
    </w:p>
    <w:p>
      <w:pPr>
        <w:pStyle w:val="BodyText"/>
      </w:pPr>
      <w:r>
        <w:rPr>
          <w:b/>
        </w:rPr>
        <w:t xml:space="preserve">Public-copy accuracy discipline (the governance claim, applied to our own words).</w:t>
      </w:r>
      <w:r>
        <w:t xml:space="preserve"> </w:t>
      </w:r>
      <w:r>
        <w:t xml:space="preserve">The same honesty owed to storytellers is owed to the figures:</w:t>
      </w:r>
    </w:p>
    <w:p>
      <w:pPr>
        <w:numPr>
          <w:ilvl w:val="0"/>
          <w:numId w:val="1028"/>
        </w:numPr>
        <w:pStyle w:val="Compact"/>
      </w:pPr>
      <w:r>
        <w:rPr>
          <w:b/>
        </w:rPr>
        <w:t xml:space="preserve">Evidence labels on every external number.</w:t>
      </w:r>
      <w:r>
        <w:t xml:space="preserve"> </w:t>
      </w:r>
      <w:r>
        <w:t xml:space="preserve">VERIFIED (independently checkable — asset register,</w:t>
      </w:r>
      <w:r>
        <w:t xml:space="preserve"> </w:t>
      </w:r>
      <w:r>
        <w:rPr>
          <w:rStyle w:val="VerbatimChar"/>
        </w:rPr>
        <w:t xml:space="preserve">products.ts</w:t>
      </w:r>
      <w:r>
        <w:t xml:space="preserve">), WORKPAPER (Xero mirror, unaudited — never</w:t>
      </w:r>
      <w:r>
        <w:t xml:space="preserve"> </w:t>
      </w:r>
      <w:r>
        <w:t xml:space="preserve">“</w:t>
      </w:r>
      <w:r>
        <w:t xml:space="preserve">audited revenue</w:t>
      </w:r>
      <w:r>
        <w:t xml:space="preserve">”</w:t>
      </w:r>
      <w:r>
        <w:t xml:space="preserve">), MODELLED (planning assumption, 0 beds assembled in-house), TARGET (sought, not signed). This is risk register R14 — public-copy / overclaim — and the labels are the control. Retired figures stay retired (the 9,920 kg / 9,225 kg plastic overclaim,</w:t>
      </w:r>
      <w:r>
        <w:t xml:space="preserve"> </w:t>
      </w:r>
      <w:r>
        <w:t xml:space="preserve">“</w:t>
      </w:r>
      <w:r>
        <w:t xml:space="preserve">600+ shipped</w:t>
      </w:r>
      <w:r>
        <w:t xml:space="preserve">”</w:t>
      </w:r>
      <w:r>
        <w:t xml:space="preserve">,</w:t>
      </w:r>
      <w:r>
        <w:t xml:space="preserve"> </w:t>
      </w:r>
      <w:r>
        <w:t xml:space="preserve">“</w:t>
      </w:r>
      <w:r>
        <w:t xml:space="preserve">$445K</w:t>
      </w:r>
      <w:r>
        <w:t xml:space="preserve">”</w:t>
      </w:r>
      <w:r>
        <w:t xml:space="preserve">,</w:t>
      </w:r>
      <w:r>
        <w:t xml:space="preserve"> </w:t>
      </w:r>
      <w:r>
        <w:t xml:space="preserve">“</w:t>
      </w:r>
      <w:r>
        <w:t xml:space="preserve">audited revenue</w:t>
      </w:r>
      <w:r>
        <w:t xml:space="preserve">”</w:t>
      </w:r>
      <w:r>
        <w:t xml:space="preserve">).</w:t>
      </w:r>
    </w:p>
    <w:p>
      <w:pPr>
        <w:numPr>
          <w:ilvl w:val="0"/>
          <w:numId w:val="1028"/>
        </w:numPr>
        <w:pStyle w:val="Compact"/>
      </w:pPr>
      <w:r>
        <w:rPr>
          <w:b/>
        </w:rPr>
        <w:t xml:space="preserve">No entity overclaim.</w:t>
      </w:r>
      <w:r>
        <w:t xml:space="preserve"> </w:t>
      </w:r>
      <w:r>
        <w:t xml:space="preserve">Goods is not described as a registered charity or DGR; the DGR pathway (Butterfly, FY2026-27) is not described as live; community ownership is described as a direction worked toward, not a completed transfer. Per 04-entity-wording-block.md.</w:t>
      </w:r>
    </w:p>
    <w:p>
      <w:pPr>
        <w:numPr>
          <w:ilvl w:val="0"/>
          <w:numId w:val="1028"/>
        </w:numPr>
        <w:pStyle w:val="Compact"/>
      </w:pPr>
      <w:r>
        <w:rPr>
          <w:b/>
        </w:rPr>
        <w:t xml:space="preserve">Rotate plaintext passwords out of Notion.</w:t>
      </w:r>
      <w:r>
        <w:t xml:space="preserve"> </w:t>
      </w:r>
      <w:r>
        <w:t xml:space="preserve">Plaintext credentials still sit in Notion — an open item under the consent/data risk (R2). They are a data-governance exposure and are to be rotated out; this is named here so it is owned, not left implicit.</w:t>
      </w:r>
    </w:p>
    <w:p>
      <w:r>
        <w:pict>
          <v:rect style="width:0;height:1.5pt" o:hralign="center" o:hrstd="t" o:hr="t"/>
        </w:pict>
      </w:r>
    </w:p>
    <w:p>
      <w:pPr>
        <w:pStyle w:val="Heading2"/>
      </w:pPr>
      <w:bookmarkStart w:id="138" w:name="X166fa5a55a7ccd2e7adfddfdb3055abb705655d"/>
      <w:r>
        <w:t xml:space="preserve">6. What this area gives now, and what it does not yet</w:t>
      </w:r>
      <w:bookmarkEnd w:id="138"/>
    </w:p>
    <w:p>
      <w:pPr>
        <w:pStyle w:val="FirstParagraph"/>
      </w:pPr>
      <w:r>
        <w:rPr>
          <w:b/>
        </w:rPr>
        <w:t xml:space="preserve">Gives now:</w:t>
      </w:r>
      <w:r>
        <w:t xml:space="preserve"> </w:t>
      </w:r>
      <w:r>
        <w:t xml:space="preserve">- A standing, Goods-specific advisory committee with a monthly rhythm and named First Nations, manufacturing, social-enterprise and funder expertise.</w:t>
      </w:r>
      <w:r>
        <w:t xml:space="preserve"> </w:t>
      </w:r>
      <w:r>
        <w:t xml:space="preserve">- A working data-sovereignty practice — share-back, retraction, informed-of-use, consent-travels-with-the-data, OCAP framing, a consent gate with a named owner.</w:t>
      </w:r>
      <w:r>
        <w:t xml:space="preserve"> </w:t>
      </w:r>
      <w:r>
        <w:t xml:space="preserve">- An evidence-labelling discipline applied to the organisation’s own public copy.</w:t>
      </w:r>
    </w:p>
    <w:p>
      <w:pPr>
        <w:pStyle w:val="BodyText"/>
      </w:pPr>
      <w:r>
        <w:rPr>
          <w:b/>
        </w:rPr>
        <w:t xml:space="preserve">Does not yet give (named, with triggers):</w:t>
      </w:r>
      <w:r>
        <w:t xml:space="preserve"> </w:t>
      </w:r>
      <w:r>
        <w:t xml:space="preserve">- A fiduciary board for A Curious Tractor Pty Ltd t/a Goods on Country — 0 independent directors recruited; trigger is the raise (gates SEFA’s ~AU$300K).</w:t>
      </w:r>
      <w:r>
        <w:t xml:space="preserve"> </w:t>
      </w:r>
      <w:r>
        <w:t xml:space="preserve">- Independent finance oversight, a board charter, a delegations-of-authority matrix, a director induction pack, and a defined authority over conflicts and over stopping a product/story/data use — all triggered by independent-director recruitment.</w:t>
      </w:r>
      <w:r>
        <w:t xml:space="preserve"> </w:t>
      </w:r>
      <w:r>
        <w:t xml:space="preserve">- A consolidated annual reporting cycle — reporting is per-grant today; gated on the accountant-reviewed, Goods-only finance figure (which does not exist yet).</w:t>
      </w:r>
      <w:r>
        <w:t xml:space="preserve"> </w:t>
      </w:r>
      <w:r>
        <w:t xml:space="preserve">- A consent-cleared story list longer than three — expanding it is a measurement-method task.</w:t>
      </w:r>
    </w:p>
    <w:p>
      <w:pPr>
        <w:pStyle w:val="BlockText"/>
      </w:pPr>
      <w:r>
        <w:rPr>
          <w:b/>
        </w:rPr>
        <w:t xml:space="preserve">The one-line version.</w:t>
      </w:r>
      <w:r>
        <w:t xml:space="preserve"> </w:t>
      </w:r>
      <w:r>
        <w:t xml:space="preserve">Two parts of our governance are real and working — the advisory committee and the consent practice. Two are not yet built — a fiduciary board for the new company, and one consolidated reporting cycle instead of grant-by-grant. We are not asking anyone to accept that the board exists; we are showing the committee that does, the data practice that does, and the small, triggered moves — 1–2 independent directors, a minimum-viable board, one annual cycle — that take this area from a 5 to an 8. The board move is gated by the same capital it unlocks, which is the honest order to do it in.</w:t>
      </w:r>
    </w:p>
    <w:p>
      <w:r>
        <w:pict>
          <v:rect style="width:0;height:1.5pt" o:hralign="center" o:hrstd="t" o:hr="t"/>
        </w:pict>
      </w:r>
    </w:p>
    <w:p>
      <w:pPr>
        <w:pStyle w:val="Heading2"/>
      </w:pPr>
      <w:bookmarkStart w:id="139" w:name="sources-consulted"/>
      <w:r>
        <w:t xml:space="preserve">Sources consulted</w:t>
      </w:r>
      <w:bookmarkEnd w:id="139"/>
    </w:p>
    <w:p>
      <w:pPr>
        <w:numPr>
          <w:ilvl w:val="0"/>
          <w:numId w:val="1029"/>
        </w:numPr>
        <w:pStyle w:val="Compact"/>
      </w:pPr>
      <w:r>
        <w:rPr>
          <w:rStyle w:val="VerbatimChar"/>
        </w:rPr>
        <w:t xml:space="preserve">wiki/outputs/2026-06-13-goods-strategic-pack/00-master-alignment-map.md</w:t>
      </w:r>
      <w:r>
        <w:t xml:space="preserve"> </w:t>
      </w:r>
      <w:r>
        <w:t xml:space="preserve">(§7 structure/governance/people; §9 raise-blockers; §10 contradictions ledger)</w:t>
      </w:r>
    </w:p>
    <w:p>
      <w:pPr>
        <w:numPr>
          <w:ilvl w:val="0"/>
          <w:numId w:val="1029"/>
        </w:numPr>
        <w:pStyle w:val="Compact"/>
      </w:pPr>
      <w:r>
        <w:rPr>
          <w:rStyle w:val="VerbatimChar"/>
        </w:rPr>
        <w:t xml:space="preserve">wiki/outputs/2026-06-13-goods-strategic-pack/04-entity-wording-block.md</w:t>
      </w:r>
      <w:r>
        <w:t xml:space="preserve"> </w:t>
      </w:r>
      <w:r>
        <w:t xml:space="preserve">(entity facts — kept consistent)</w:t>
      </w:r>
    </w:p>
    <w:p>
      <w:pPr>
        <w:numPr>
          <w:ilvl w:val="0"/>
          <w:numId w:val="1029"/>
        </w:numPr>
        <w:pStyle w:val="Compact"/>
      </w:pPr>
      <w:r>
        <w:rPr>
          <w:rStyle w:val="VerbatimChar"/>
        </w:rPr>
        <w:t xml:space="preserve">wiki/outputs/2026-06-13-goods-strategic-pack/05-impact-measurement-method.md</w:t>
      </w:r>
      <w:r>
        <w:t xml:space="preserve"> </w:t>
      </w:r>
      <w:r>
        <w:t xml:space="preserve">(MEL method — reporting ties to it)</w:t>
      </w:r>
    </w:p>
    <w:p>
      <w:pPr>
        <w:numPr>
          <w:ilvl w:val="0"/>
          <w:numId w:val="1029"/>
        </w:numPr>
        <w:pStyle w:val="Compact"/>
      </w:pPr>
      <w:r>
        <w:rPr>
          <w:rStyle w:val="VerbatimChar"/>
        </w:rPr>
        <w:t xml:space="preserve">wiki/outputs/2026-06-13-goods-strategic-pack/06-risk-register.md</w:t>
      </w:r>
      <w:r>
        <w:t xml:space="preserve"> </w:t>
      </w:r>
      <w:r>
        <w:t xml:space="preserve">(R2 consent, R7 governance, R14 public-copy)</w:t>
      </w:r>
    </w:p>
    <w:p>
      <w:pPr>
        <w:numPr>
          <w:ilvl w:val="0"/>
          <w:numId w:val="1029"/>
        </w:numPr>
        <w:pStyle w:val="Compact"/>
      </w:pPr>
      <w:r>
        <w:rPr>
          <w:rStyle w:val="VerbatimChar"/>
        </w:rPr>
        <w:t xml:space="preserve">wiki/outputs/2026-06-13-goods-strategic-pack/07-role-map.md</w:t>
      </w:r>
      <w:r>
        <w:t xml:space="preserve"> </w:t>
      </w:r>
      <w:r>
        <w:t xml:space="preserve">(advisory ≠ operating capacity; consent owner)</w:t>
      </w:r>
    </w:p>
    <w:p>
      <w:pPr>
        <w:numPr>
          <w:ilvl w:val="0"/>
          <w:numId w:val="1029"/>
        </w:numPr>
        <w:pStyle w:val="Compact"/>
      </w:pPr>
      <w:r>
        <w:rPr>
          <w:rStyle w:val="VerbatimChar"/>
        </w:rPr>
        <w:t xml:space="preserve">wiki/outputs/2026-06-13-goods-strategic-pack/03-next-stage-focus.md</w:t>
      </w:r>
      <w:r>
        <w:t xml:space="preserve"> </w:t>
      </w:r>
      <w:r>
        <w:t xml:space="preserve">(Proof 5 — governance and people)</w:t>
      </w:r>
    </w:p>
    <w:p>
      <w:pPr>
        <w:numPr>
          <w:ilvl w:val="0"/>
          <w:numId w:val="1029"/>
        </w:numPr>
        <w:pStyle w:val="Compact"/>
      </w:pPr>
      <w:r>
        <w:rPr>
          <w:rStyle w:val="VerbatimChar"/>
        </w:rPr>
        <w:t xml:space="preserve">wiki/articles/governance/board-structure.md</w:t>
      </w:r>
      <w:r>
        <w:t xml:space="preserve"> </w:t>
      </w:r>
      <w:r>
        <w:t xml:space="preserve">·</w:t>
      </w:r>
      <w:r>
        <w:t xml:space="preserve"> </w:t>
      </w:r>
      <w:r>
        <w:rPr>
          <w:rStyle w:val="VerbatimChar"/>
        </w:rPr>
        <w:t xml:space="preserve">data-sovereignty.md</w:t>
      </w:r>
      <w:r>
        <w:t xml:space="preserve"> </w:t>
      </w:r>
      <w:r>
        <w:t xml:space="preserve">·</w:t>
      </w:r>
      <w:r>
        <w:t xml:space="preserve"> </w:t>
      </w:r>
      <w:r>
        <w:rPr>
          <w:rStyle w:val="VerbatimChar"/>
        </w:rPr>
        <w:t xml:space="preserve">compliance.md</w:t>
      </w:r>
      <w:r>
        <w:t xml:space="preserve"> </w:t>
      </w:r>
      <w:r>
        <w:t xml:space="preserve">·</w:t>
      </w:r>
      <w:r>
        <w:t xml:space="preserve"> </w:t>
      </w:r>
      <w:r>
        <w:rPr>
          <w:rStyle w:val="VerbatimChar"/>
        </w:rPr>
        <w:t xml:space="preserve">policies-register.md</w:t>
      </w:r>
    </w:p>
    <w:p>
      <w:pPr>
        <w:numPr>
          <w:ilvl w:val="0"/>
          <w:numId w:val="1029"/>
        </w:numPr>
        <w:pStyle w:val="Compact"/>
      </w:pPr>
      <w:r>
        <w:rPr>
          <w:rStyle w:val="VerbatimChar"/>
        </w:rPr>
        <w:t xml:space="preserve">wiki/articles/impact/empathy-ledger-impact.md</w:t>
      </w:r>
    </w:p>
    <w:p>
      <w:pPr>
        <w:pStyle w:val="BlockText"/>
      </w:pPr>
      <w:r>
        <w:rPr>
          <w:b/>
        </w:rPr>
        <w:t xml:space="preserve">Reminder for the reviewer.</w:t>
      </w:r>
      <w:r>
        <w:t xml:space="preserve"> </w:t>
      </w:r>
      <w:r>
        <w:t xml:space="preserve">This is a draft for founder review, not approved external copy. Nothing here presents the fiduciary board, the independent directors, or the consolidated annual reporting cycle as existing — they are described as planned, triggered moves. Apply the consent gate and the number audit (pre-send checklist) before any part of this is used externally; use only consent-cleared voices (Ivy Johnson, Dianne Stokes, Ray Nelson).</w:t>
      </w:r>
    </w:p>
    <w:p>
      <w:r>
        <w:br w:type="page"/>
      </w:r>
    </w:p>
    <w:p>
      <w:pPr>
        <w:pStyle w:val="Heading1"/>
      </w:pPr>
      <w:bookmarkStart w:id="140" w:name="area-8-12-month-role-map"/>
      <w:r>
        <w:t xml:space="preserve">Area 8 · 12-Month Role Map</w:t>
      </w:r>
      <w:bookmarkEnd w:id="140"/>
    </w:p>
    <w:p>
      <w:pPr>
        <w:pStyle w:val="Heading1"/>
      </w:pPr>
      <w:bookmarkStart w:id="141" w:name="X68d4f0b684664e8edb01aa9c4ce289f82939b7c"/>
      <w:r>
        <w:t xml:space="preserve">12-month role map and founder-dependency plan</w:t>
      </w:r>
      <w:bookmarkEnd w:id="141"/>
    </w:p>
    <w:p>
      <w:pPr>
        <w:pStyle w:val="BlockText"/>
      </w:pPr>
      <w:r>
        <w:t xml:space="preserve">Goods is founder-led, and honest about it. Two people hold the whole thing today. This page does three things: shows where capacity actually sits right now, names the bottleneck that creates, and lays out the phased hires that remove it — tied to the capital that funds them. Nothing here describes a hire that already exists. Every future role is labelled.</w:t>
      </w:r>
    </w:p>
    <w:p>
      <w:pPr>
        <w:pStyle w:val="Heading2"/>
      </w:pPr>
      <w:bookmarkStart w:id="142" w:name="where-capacity-sits-today"/>
      <w:r>
        <w:t xml:space="preserve">Where capacity sits today</w:t>
      </w:r>
      <w:bookmarkEnd w:id="142"/>
    </w:p>
    <w:p>
      <w:pPr>
        <w:pStyle w:val="FirstParagraph"/>
      </w:pPr>
      <w:r>
        <w:t xml:space="preserve">Goods is not</w:t>
      </w:r>
      <w:r>
        <w:t xml:space="preserve"> </w:t>
      </w:r>
      <w:r>
        <w:t xml:space="preserve">“</w:t>
      </w:r>
      <w:r>
        <w:t xml:space="preserve">two people with an idea</w:t>
      </w:r>
      <w:r>
        <w:t xml:space="preserve">”</w:t>
      </w:r>
      <w:r>
        <w:t xml:space="preserve"> </w:t>
      </w:r>
      <w:r>
        <w:t xml:space="preserve">— but the load-bearing capacity is two people. The rest is real support that we do not own and cannot task like staff. Keeping that distinction visible is the point of Area 08: founder labour is the engine, and it is currently subsidised rather than properly costed.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What they hold</w:t>
            </w:r>
          </w:p>
        </w:tc>
        <w:tc>
          <w:tcPr>
            <w:tcBorders>
              <w:bottom w:val="single"/>
            </w:tcBorders>
            <w:vAlign w:val="bottom"/>
          </w:tcPr>
          <w:p>
            <w:pPr>
              <w:pStyle w:val="Compact"/>
              <w:jc w:val="left"/>
            </w:pPr>
            <w:r>
              <w:t xml:space="preserve">Type</w:t>
            </w:r>
          </w:p>
        </w:tc>
      </w:tr>
      <w:tr>
        <w:tc>
          <w:p>
            <w:pPr>
              <w:pStyle w:val="Compact"/>
              <w:jc w:val="left"/>
            </w:pPr>
            <w:r>
              <w:rPr>
                <w:b/>
              </w:rPr>
              <w:t xml:space="preserve">Founders (FTE)</w:t>
            </w:r>
          </w:p>
        </w:tc>
        <w:tc>
          <w:p>
            <w:pPr>
              <w:pStyle w:val="Compact"/>
              <w:jc w:val="left"/>
            </w:pPr>
            <w:r>
              <w:rPr>
                <w:b/>
              </w:rPr>
              <w:t xml:space="preserve">Ben Knight</w:t>
            </w:r>
          </w:p>
        </w:tc>
        <w:tc>
          <w:p>
            <w:pPr>
              <w:pStyle w:val="Compact"/>
              <w:jc w:val="left"/>
            </w:pPr>
            <w:r>
              <w:t xml:space="preserve">Relationships, sense-making, story and consent, governance, the product-feedback layer (does the bed actually work in a house). Background: Queensland Corrective Services, AIME, youth justice.</w:t>
            </w:r>
          </w:p>
        </w:tc>
        <w:tc>
          <w:p>
            <w:pPr>
              <w:pStyle w:val="Compact"/>
              <w:jc w:val="left"/>
            </w:pPr>
            <w:r>
              <w:t xml:space="preserve">Owned capacity — the engine</w:t>
            </w:r>
          </w:p>
        </w:tc>
      </w:tr>
      <w:tr>
        <w:tc>
          <w:p>
            <w:pPr>
              <w:pStyle w:val="Compact"/>
              <w:jc w:val="left"/>
            </w:pPr>
            <w:r>
              <w:rPr>
                <w:b/>
              </w:rPr>
              <w:t xml:space="preserve">Founders (FTE)</w:t>
            </w:r>
          </w:p>
        </w:tc>
        <w:tc>
          <w:p>
            <w:pPr>
              <w:pStyle w:val="Compact"/>
              <w:jc w:val="left"/>
            </w:pPr>
            <w:r>
              <w:rPr>
                <w:b/>
              </w:rPr>
              <w:t xml:space="preserve">Nicholas Marchesi</w:t>
            </w:r>
          </w:p>
        </w:tc>
        <w:tc>
          <w:p>
            <w:pPr>
              <w:pStyle w:val="Compact"/>
              <w:jc w:val="left"/>
            </w:pPr>
            <w:r>
              <w:t xml:space="preserve">Builder/operator: remote-community delivery, prototype-to-product, repairability, durability, unit economics. Background: Orange Sky, 10+ yrs remote-community work.</w:t>
            </w:r>
          </w:p>
        </w:tc>
        <w:tc>
          <w:p>
            <w:pPr>
              <w:pStyle w:val="Compact"/>
              <w:jc w:val="left"/>
            </w:pPr>
            <w:r>
              <w:t xml:space="preserve">Owned capacity — the engine</w:t>
            </w:r>
          </w:p>
        </w:tc>
      </w:tr>
      <w:tr>
        <w:tc>
          <w:p>
            <w:pPr>
              <w:pStyle w:val="Compact"/>
              <w:jc w:val="left"/>
            </w:pPr>
            <w:r>
              <w:rPr>
                <w:b/>
              </w:rPr>
              <w:t xml:space="preserve">ACT shared services</w:t>
            </w:r>
          </w:p>
        </w:tc>
        <w:tc>
          <w:p>
            <w:pPr>
              <w:pStyle w:val="Compact"/>
              <w:jc w:val="left"/>
            </w:pPr>
            <w:r>
              <w:t xml:space="preserve">A Curious Tractor</w:t>
            </w:r>
          </w:p>
        </w:tc>
        <w:tc>
          <w:p>
            <w:pPr>
              <w:pStyle w:val="Compact"/>
              <w:jc w:val="left"/>
            </w:pPr>
            <w:r>
              <w:t xml:space="preserve">Strategy, comms, finance/admin, tooling, project support — lets Goods move without a standalone team too early.</w:t>
            </w:r>
          </w:p>
        </w:tc>
        <w:tc>
          <w:p>
            <w:pPr>
              <w:pStyle w:val="Compact"/>
              <w:jc w:val="left"/>
            </w:pPr>
            <w:r>
              <w:t xml:space="preserve">Shared, not dedicated — hides true cost</w:t>
            </w:r>
          </w:p>
        </w:tc>
      </w:tr>
      <w:tr>
        <w:tc>
          <w:p>
            <w:pPr>
              <w:pStyle w:val="Compact"/>
              <w:jc w:val="left"/>
            </w:pPr>
            <w:r>
              <w:rPr>
                <w:b/>
              </w:rPr>
              <w:t xml:space="preserve">Partners</w:t>
            </w:r>
          </w:p>
        </w:tc>
        <w:tc>
          <w:p>
            <w:pPr>
              <w:pStyle w:val="Compact"/>
              <w:jc w:val="left"/>
            </w:pPr>
            <w:r>
              <w:t xml:space="preserve">Oonchiumpa (Alice homelands), Palm Island Community Company conversations, other place-based orgs</w:t>
            </w:r>
          </w:p>
        </w:tc>
        <w:tc>
          <w:p>
            <w:pPr>
              <w:pStyle w:val="Compact"/>
              <w:jc w:val="left"/>
            </w:pPr>
            <w:r>
              <w:t xml:space="preserve">Local trust, delivery insight, feedback, future production and repair pathways.</w:t>
            </w:r>
          </w:p>
        </w:tc>
        <w:tc>
          <w:p>
            <w:pPr>
              <w:pStyle w:val="Compact"/>
              <w:jc w:val="left"/>
            </w:pPr>
            <w:r>
              <w:t xml:space="preserve">Partner capacity — not owned, not taskable</w:t>
            </w:r>
          </w:p>
        </w:tc>
      </w:tr>
      <w:tr>
        <w:tc>
          <w:p>
            <w:pPr>
              <w:pStyle w:val="Compact"/>
              <w:jc w:val="left"/>
            </w:pPr>
            <w:r>
              <w:rPr>
                <w:b/>
              </w:rPr>
              <w:t xml:space="preserve">Advisors</w:t>
            </w:r>
          </w:p>
        </w:tc>
        <w:tc>
          <w:p>
            <w:pPr>
              <w:pStyle w:val="Compact"/>
              <w:jc w:val="left"/>
            </w:pPr>
            <w:r>
              <w:t xml:space="preserve">11-member advisory group (incl. Kristy Bloomfield, Corey Tutt, Judith Meiklejohn); cultural/industry advisors Fred Campbell, Daniel Pittman; MinterEllison (Keith Rovers) on structure</w:t>
            </w:r>
          </w:p>
        </w:tc>
        <w:tc>
          <w:p>
            <w:pPr>
              <w:pStyle w:val="Compact"/>
              <w:jc w:val="left"/>
            </w:pPr>
            <w:r>
              <w:t xml:space="preserve">Challenge, advice, openings, credibility.</w:t>
            </w:r>
          </w:p>
        </w:tc>
        <w:tc>
          <w:p>
            <w:pPr>
              <w:pStyle w:val="Compact"/>
              <w:jc w:val="left"/>
            </w:pPr>
            <w:r>
              <w:t xml:space="preserve">Advisory — not fiduciary, not operating capacity</w:t>
            </w:r>
          </w:p>
        </w:tc>
      </w:tr>
    </w:tbl>
    <w:p>
      <w:pPr>
        <w:pStyle w:val="BodyText"/>
      </w:pPr>
      <w:r>
        <w:t xml:space="preserve">Two honest notes, because they are the live tracker’s Area 08 rules:</w:t>
      </w:r>
    </w:p>
    <w:p>
      <w:pPr>
        <w:numPr>
          <w:ilvl w:val="0"/>
          <w:numId w:val="1030"/>
        </w:numPr>
        <w:pStyle w:val="Compact"/>
      </w:pPr>
      <w:r>
        <w:rPr>
          <w:b/>
        </w:rPr>
        <w:t xml:space="preserve">Founder labour is real and currently subsidised.</w:t>
      </w:r>
      <w:r>
        <w:t xml:space="preserve"> </w:t>
      </w:r>
      <w:r>
        <w:t xml:space="preserve">Ben and Nic are the only two full-time-equivalent people consistently holding Goods, and they are not yet on fixed Goods salaries in a mature structure. ACT shared services and founder flexibility absorb the gap. Costing that founder time at a fair-market rate is an open P0 (master map §9.3) — until it is done, the economics understate the true cost of running Goods.</w:t>
      </w:r>
    </w:p>
    <w:p>
      <w:pPr>
        <w:numPr>
          <w:ilvl w:val="0"/>
          <w:numId w:val="1030"/>
        </w:numPr>
        <w:pStyle w:val="Compact"/>
      </w:pPr>
      <w:r>
        <w:rPr>
          <w:b/>
        </w:rPr>
        <w:t xml:space="preserve">Partners and advisors are not headcount.</w:t>
      </w:r>
      <w:r>
        <w:t xml:space="preserve"> </w:t>
      </w:r>
      <w:r>
        <w:t xml:space="preserve">Oonchiumpa, the advisory group, and the cultural advisors extend reach and judgement. They do not run sales, operations, production, or finance, and this plan does not count them as if they did.</w:t>
      </w:r>
    </w:p>
    <w:p>
      <w:pPr>
        <w:pStyle w:val="Heading2"/>
      </w:pPr>
      <w:bookmarkStart w:id="143" w:name="the-founder-dependency-problem"/>
      <w:r>
        <w:t xml:space="preserve">The founder-dependency problem</w:t>
      </w:r>
      <w:bookmarkEnd w:id="143"/>
    </w:p>
    <w:p>
      <w:pPr>
        <w:pStyle w:val="FirstParagraph"/>
      </w:pPr>
      <w:r>
        <w:t xml:space="preserve">This is the standing</w:t>
      </w:r>
      <w:r>
        <w:t xml:space="preserve"> </w:t>
      </w:r>
      <w:r>
        <w:rPr>
          <w:b/>
        </w:rPr>
        <w:t xml:space="preserve">#1 risk</w:t>
      </w:r>
      <w:r>
        <w:t xml:space="preserve"> </w:t>
      </w:r>
      <w:r>
        <w:t xml:space="preserve">on the register, and it is flagged as</w:t>
      </w:r>
      <w:r>
        <w:t xml:space="preserve"> </w:t>
      </w:r>
      <w:r>
        <w:rPr>
          <w:b/>
        </w:rPr>
        <w:t xml:space="preserve">“</w:t>
      </w:r>
      <w:r>
        <w:rPr>
          <w:b/>
        </w:rPr>
        <w:t xml:space="preserve">already happening,</w:t>
      </w:r>
      <w:r>
        <w:rPr>
          <w:b/>
        </w:rPr>
        <w:t xml:space="preserve">”</w:t>
      </w:r>
      <w:r>
        <w:t xml:space="preserve"> </w:t>
      </w:r>
      <w:r>
        <w:t xml:space="preserve">not as a future possibility (master map §8). Every buyer conversation, every funder, every production fault, every community relationship and every governance question currently routes back through the same two people.</w:t>
      </w:r>
    </w:p>
    <w:p>
      <w:pPr>
        <w:pStyle w:val="BodyText"/>
      </w:pPr>
      <w:r>
        <w:t xml:space="preserve">The closeness is what makes Goods good. It is also the ceiling. Goods cannot become a repeatable product system across remote communities if every relationship, decision, sale, story, and repair depends on Ben or Nic being in the room.</w:t>
      </w:r>
    </w:p>
    <w:p>
      <w:pPr>
        <w:pStyle w:val="BodyText"/>
      </w:pPr>
      <w:r>
        <w:t xml:space="preserve">The single-point-of-failure map — six domains, two people: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Who holds it today</w:t>
            </w:r>
          </w:p>
        </w:tc>
        <w:tc>
          <w:tcPr>
            <w:tcBorders>
              <w:bottom w:val="single"/>
            </w:tcBorders>
            <w:vAlign w:val="bottom"/>
          </w:tcPr>
          <w:p>
            <w:pPr>
              <w:pStyle w:val="Compact"/>
              <w:jc w:val="left"/>
            </w:pPr>
            <w:r>
              <w:t xml:space="preserve">What breaks if that person is unavailable</w:t>
            </w:r>
          </w:p>
        </w:tc>
      </w:tr>
      <w:tr>
        <w:tc>
          <w:p>
            <w:pPr>
              <w:pStyle w:val="Compact"/>
              <w:jc w:val="left"/>
            </w:pPr>
            <w:r>
              <w:t xml:space="preserve">Sales / buyer pathways</w:t>
            </w:r>
          </w:p>
        </w:tc>
        <w:tc>
          <w:p>
            <w:pPr>
              <w:pStyle w:val="Compact"/>
              <w:jc w:val="left"/>
            </w:pPr>
            <w:r>
              <w:t xml:space="preserve">Ben + Nic</w:t>
            </w:r>
          </w:p>
        </w:tc>
        <w:tc>
          <w:p>
            <w:pPr>
              <w:pStyle w:val="Compact"/>
              <w:jc w:val="left"/>
            </w:pPr>
            <w:r>
              <w:t xml:space="preserve">Warm interest stalls; no one drives LOIs to signature (the match gate stays at $0 signed)</w:t>
            </w:r>
          </w:p>
        </w:tc>
      </w:tr>
      <w:tr>
        <w:tc>
          <w:p>
            <w:pPr>
              <w:pStyle w:val="Compact"/>
              <w:jc w:val="left"/>
            </w:pPr>
            <w:r>
              <w:t xml:space="preserve">Operations / procurement</w:t>
            </w:r>
          </w:p>
        </w:tc>
        <w:tc>
          <w:p>
            <w:pPr>
              <w:pStyle w:val="Compact"/>
              <w:jc w:val="left"/>
            </w:pPr>
            <w:r>
              <w:t xml:space="preserve">Nic (+ ACT admin)</w:t>
            </w:r>
          </w:p>
        </w:tc>
        <w:tc>
          <w:p>
            <w:pPr>
              <w:pStyle w:val="Compact"/>
              <w:jc w:val="left"/>
            </w:pPr>
            <w:r>
              <w:t xml:space="preserve">Orders, freight, inventory, supplier management lose their only owner</w:t>
            </w:r>
          </w:p>
        </w:tc>
      </w:tr>
      <w:tr>
        <w:tc>
          <w:p>
            <w:pPr>
              <w:pStyle w:val="Compact"/>
              <w:jc w:val="left"/>
            </w:pPr>
            <w:r>
              <w:t xml:space="preserve">Production</w:t>
            </w:r>
          </w:p>
        </w:tc>
        <w:tc>
          <w:p>
            <w:pPr>
              <w:pStyle w:val="Compact"/>
              <w:jc w:val="left"/>
            </w:pPr>
            <w:r>
              <w:t xml:space="preserve">Nic</w:t>
            </w:r>
          </w:p>
        </w:tc>
        <w:tc>
          <w:p>
            <w:pPr>
              <w:pStyle w:val="Compact"/>
              <w:jc w:val="left"/>
            </w:pPr>
            <w:r>
              <w:t xml:space="preserve">On-Country plant troubleshooting has no backup; scale cannot start</w:t>
            </w:r>
          </w:p>
        </w:tc>
      </w:tr>
      <w:tr>
        <w:tc>
          <w:p>
            <w:pPr>
              <w:pStyle w:val="Compact"/>
              <w:jc w:val="left"/>
            </w:pPr>
            <w:r>
              <w:t xml:space="preserve">Finance / modelling</w:t>
            </w:r>
          </w:p>
        </w:tc>
        <w:tc>
          <w:p>
            <w:pPr>
              <w:pStyle w:val="Compact"/>
              <w:jc w:val="left"/>
            </w:pPr>
            <w:r>
              <w:t xml:space="preserve">Ben + Nic (+ ACT)</w:t>
            </w:r>
          </w:p>
        </w:tc>
        <w:tc>
          <w:p>
            <w:pPr>
              <w:pStyle w:val="Compact"/>
              <w:jc w:val="left"/>
            </w:pPr>
            <w:r>
              <w:t xml:space="preserve">Cashflow, working capital, unit economics have no dedicated discipline — and debt needs that discipline</w:t>
            </w:r>
          </w:p>
        </w:tc>
      </w:tr>
      <w:tr>
        <w:tc>
          <w:p>
            <w:pPr>
              <w:pStyle w:val="Compact"/>
              <w:jc w:val="left"/>
            </w:pPr>
            <w:r>
              <w:t xml:space="preserve">Community relationships / consent</w:t>
            </w:r>
          </w:p>
        </w:tc>
        <w:tc>
          <w:p>
            <w:pPr>
              <w:pStyle w:val="Compact"/>
              <w:jc w:val="left"/>
            </w:pPr>
            <w:r>
              <w:t xml:space="preserve">Ben</w:t>
            </w:r>
          </w:p>
        </w:tc>
        <w:tc>
          <w:p>
            <w:pPr>
              <w:pStyle w:val="Compact"/>
              <w:jc w:val="left"/>
            </w:pPr>
            <w:r>
              <w:t xml:space="preserve">Consent and follow-up capacity is the constraint on serving more places safely</w:t>
            </w:r>
          </w:p>
        </w:tc>
      </w:tr>
      <w:tr>
        <w:tc>
          <w:p>
            <w:pPr>
              <w:pStyle w:val="Compact"/>
              <w:jc w:val="left"/>
            </w:pPr>
            <w:r>
              <w:t xml:space="preserve">Governance</w:t>
            </w:r>
          </w:p>
        </w:tc>
        <w:tc>
          <w:p>
            <w:pPr>
              <w:pStyle w:val="Compact"/>
              <w:jc w:val="left"/>
            </w:pPr>
            <w:r>
              <w:t xml:space="preserve">Ben + Nic</w:t>
            </w:r>
          </w:p>
        </w:tc>
        <w:tc>
          <w:p>
            <w:pPr>
              <w:pStyle w:val="Compact"/>
              <w:jc w:val="left"/>
            </w:pPr>
            <w:r>
              <w:t xml:space="preserve">Advisory ≠ board; decisions concentrate in the founders</w:t>
            </w:r>
          </w:p>
        </w:tc>
      </w:tr>
    </w:tbl>
    <w:p>
      <w:pPr>
        <w:pStyle w:val="BodyText"/>
      </w:pPr>
      <w:r>
        <w:t xml:space="preserve">The encouraging signal: production knowledge is already starting to leave founder hands. Nic has moved from teaching himself shredding, pressing, CNC and assembly to lower-skilled operators running parts of the process. That is the direction for everything: turn founder intuition into teachable systems. This plan is how that happens across the other five domains, production included.</w:t>
      </w:r>
    </w:p>
    <w:p>
      <w:pPr>
        <w:pStyle w:val="Heading2"/>
      </w:pPr>
      <w:bookmarkStart w:id="144" w:name="the-12-month-role-map"/>
      <w:r>
        <w:t xml:space="preserve">The 12-month role map</w:t>
      </w:r>
      <w:bookmarkEnd w:id="144"/>
    </w:p>
    <w:p>
      <w:pPr>
        <w:pStyle w:val="FirstParagraph"/>
      </w:pPr>
      <w:r>
        <w:t xml:space="preserve">Phased, and disciplined: each hire removes a named bottleneck and is triggered by a real-world event (signed capital, order volume), not by a calendar. The first two are GM and Business Development — the two from the deck and diagnostic, funded from the ~AU$200K hires line in the raise.</w:t>
      </w:r>
      <w:r>
        <w:t xml:space="preserve"> </w:t>
      </w:r>
      <w:r>
        <w:rPr>
          <w:b/>
        </w:rPr>
        <w:t xml:space="preserve">All roles below are FUTURE — not yet hired.</w:t>
      </w:r>
    </w:p>
    <w:p>
      <w:pPr>
        <w:pStyle w:val="Heading3"/>
      </w:pPr>
      <w:bookmarkStart w:id="145" w:name="phase-1-first-two-hires-06-months"/>
      <w:r>
        <w:t xml:space="preserve">Phase 1 — first two hires (0–6 months)</w:t>
      </w:r>
      <w:bookmarkEnd w:id="1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Why it removes a bottleneck</w:t>
            </w:r>
          </w:p>
        </w:tc>
        <w:tc>
          <w:tcPr>
            <w:tcBorders>
              <w:bottom w:val="single"/>
            </w:tcBorders>
            <w:vAlign w:val="bottom"/>
          </w:tcPr>
          <w:p>
            <w:pPr>
              <w:pStyle w:val="Compact"/>
              <w:jc w:val="left"/>
            </w:pPr>
            <w:r>
              <w:t xml:space="preserve">Trigger to hire</w:t>
            </w:r>
          </w:p>
        </w:tc>
        <w:tc>
          <w:tcPr>
            <w:tcBorders>
              <w:bottom w:val="single"/>
            </w:tcBorders>
            <w:vAlign w:val="bottom"/>
          </w:tcPr>
          <w:p>
            <w:pPr>
              <w:pStyle w:val="Compact"/>
              <w:jc w:val="left"/>
            </w:pPr>
            <w:r>
              <w:t xml:space="preserve">Funding source</w:t>
            </w:r>
          </w:p>
        </w:tc>
        <w:tc>
          <w:tcPr>
            <w:tcBorders>
              <w:bottom w:val="single"/>
            </w:tcBorders>
            <w:vAlign w:val="bottom"/>
          </w:tcPr>
          <w:p>
            <w:pPr>
              <w:pStyle w:val="Compact"/>
              <w:jc w:val="left"/>
            </w:pPr>
            <w:r>
              <w:t xml:space="preserve">Status</w:t>
            </w:r>
          </w:p>
        </w:tc>
      </w:tr>
      <w:tr>
        <w:tc>
          <w:p>
            <w:pPr>
              <w:pStyle w:val="Compact"/>
              <w:jc w:val="left"/>
            </w:pPr>
            <w:r>
              <w:rPr>
                <w:b/>
              </w:rPr>
              <w:t xml:space="preserve">General Manager</w:t>
            </w:r>
          </w:p>
        </w:tc>
        <w:tc>
          <w:p>
            <w:pPr>
              <w:pStyle w:val="Compact"/>
              <w:jc w:val="left"/>
            </w:pPr>
            <w:r>
              <w:t xml:space="preserve">Takes day-to-day operating load off both founders so they can hold strategy, community and capital — the single role that unwinds the most concentration across all six domains.</w:t>
            </w:r>
          </w:p>
        </w:tc>
        <w:tc>
          <w:p>
            <w:pPr>
              <w:pStyle w:val="Compact"/>
              <w:jc w:val="left"/>
            </w:pPr>
            <w:r>
              <w:t xml:space="preserve">First tranche of signed/match-eligible capital closes (~AU$400K target by 31 Aug)</w:t>
            </w:r>
          </w:p>
        </w:tc>
        <w:tc>
          <w:p>
            <w:pPr>
              <w:pStyle w:val="Compact"/>
              <w:jc w:val="left"/>
            </w:pPr>
            <w:r>
              <w:t xml:space="preserve">~AU$200K hires line (the raise)</w:t>
            </w:r>
          </w:p>
        </w:tc>
        <w:tc>
          <w:p>
            <w:pPr>
              <w:pStyle w:val="Compact"/>
              <w:jc w:val="left"/>
            </w:pPr>
            <w:r>
              <w:rPr>
                <w:b/>
              </w:rPr>
              <w:t xml:space="preserve">FUTURE — not yet hired</w:t>
            </w:r>
          </w:p>
        </w:tc>
      </w:tr>
      <w:tr>
        <w:tc>
          <w:p>
            <w:pPr>
              <w:pStyle w:val="Compact"/>
              <w:jc w:val="left"/>
            </w:pPr>
            <w:r>
              <w:rPr>
                <w:b/>
              </w:rPr>
              <w:t xml:space="preserve">Business Development / sales lead</w:t>
            </w:r>
          </w:p>
        </w:tc>
        <w:tc>
          <w:p>
            <w:pPr>
              <w:pStyle w:val="Compact"/>
              <w:jc w:val="left"/>
            </w:pPr>
            <w:r>
              <w:t xml:space="preserve">Owns the buyer pipeline end-to-end: target list, pipeline stages, follow-up rhythm in HighLevel/GHL. Directly attacks the $0-signed-LOI gate — turns warm interest into managed pathways without losing the community-ownership vision.</w:t>
            </w:r>
          </w:p>
        </w:tc>
        <w:tc>
          <w:p>
            <w:pPr>
              <w:pStyle w:val="Compact"/>
              <w:jc w:val="left"/>
            </w:pPr>
            <w:r>
              <w:t xml:space="preserve">First tranche of capital closes, or buyer pipeline crosses a volume the founders can no longer manage by hand</w:t>
            </w:r>
          </w:p>
        </w:tc>
        <w:tc>
          <w:p>
            <w:pPr>
              <w:pStyle w:val="Compact"/>
              <w:jc w:val="left"/>
            </w:pPr>
            <w:r>
              <w:t xml:space="preserve">~AU$200K hires line (the raise)</w:t>
            </w:r>
          </w:p>
        </w:tc>
        <w:tc>
          <w:p>
            <w:pPr>
              <w:pStyle w:val="Compact"/>
              <w:jc w:val="left"/>
            </w:pPr>
            <w:r>
              <w:rPr>
                <w:b/>
              </w:rPr>
              <w:t xml:space="preserve">FUTURE — not yet hired</w:t>
            </w:r>
          </w:p>
        </w:tc>
      </w:tr>
    </w:tbl>
    <w:p>
      <w:pPr>
        <w:pStyle w:val="Heading3"/>
      </w:pPr>
      <w:bookmarkStart w:id="146" w:name="phase-2-capacity-build-out-612-months"/>
      <w:r>
        <w:t xml:space="preserve">Phase 2 — capacity build-out (6–12 months)</w:t>
      </w:r>
      <w:bookmarkEnd w:id="146"/>
    </w:p>
    <w:p>
      <w:pPr>
        <w:pStyle w:val="FirstParagraph"/>
      </w:pPr>
      <w:r>
        <w:t xml:space="preserve">Sequenced after the first two, each gated on its own trigger. GM is deliberately first, not last — the load already justifies it; the rest follow demand.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Why it removes a bottleneck</w:t>
            </w:r>
          </w:p>
        </w:tc>
        <w:tc>
          <w:tcPr>
            <w:tcBorders>
              <w:bottom w:val="single"/>
            </w:tcBorders>
            <w:vAlign w:val="bottom"/>
          </w:tcPr>
          <w:p>
            <w:pPr>
              <w:pStyle w:val="Compact"/>
              <w:jc w:val="left"/>
            </w:pPr>
            <w:r>
              <w:t xml:space="preserve">Trigger to hire</w:t>
            </w:r>
          </w:p>
        </w:tc>
        <w:tc>
          <w:tcPr>
            <w:tcBorders>
              <w:bottom w:val="single"/>
            </w:tcBorders>
            <w:vAlign w:val="bottom"/>
          </w:tcPr>
          <w:p>
            <w:pPr>
              <w:pStyle w:val="Compact"/>
              <w:jc w:val="left"/>
            </w:pPr>
            <w:r>
              <w:t xml:space="preserve">Funding source</w:t>
            </w:r>
          </w:p>
        </w:tc>
        <w:tc>
          <w:tcPr>
            <w:tcBorders>
              <w:bottom w:val="single"/>
            </w:tcBorders>
            <w:vAlign w:val="bottom"/>
          </w:tcPr>
          <w:p>
            <w:pPr>
              <w:pStyle w:val="Compact"/>
              <w:jc w:val="left"/>
            </w:pPr>
            <w:r>
              <w:t xml:space="preserve">Status</w:t>
            </w:r>
          </w:p>
        </w:tc>
      </w:tr>
      <w:tr>
        <w:tc>
          <w:p>
            <w:pPr>
              <w:pStyle w:val="Compact"/>
              <w:jc w:val="left"/>
            </w:pPr>
            <w:r>
              <w:rPr>
                <w:b/>
              </w:rPr>
              <w:t xml:space="preserve">Operations / procurement lead</w:t>
            </w:r>
          </w:p>
        </w:tc>
        <w:tc>
          <w:p>
            <w:pPr>
              <w:pStyle w:val="Compact"/>
              <w:jc w:val="left"/>
            </w:pPr>
            <w:r>
              <w:t xml:space="preserve">Connects orders, inventory, freight, production, repair and supplier management into repeatable routines with SOPs and a weekly operating rhythm — frees Nic from being the only operations owner.</w:t>
            </w:r>
          </w:p>
        </w:tc>
        <w:tc>
          <w:p>
            <w:pPr>
              <w:pStyle w:val="Compact"/>
              <w:jc w:val="left"/>
            </w:pPr>
            <w:r>
              <w:t xml:space="preserve">Sustained order volume past founder-manageable; or first procurement-channel contract signed</w:t>
            </w:r>
          </w:p>
        </w:tc>
        <w:tc>
          <w:p>
            <w:pPr>
              <w:pStyle w:val="Compact"/>
              <w:jc w:val="left"/>
            </w:pPr>
            <w:r>
              <w:t xml:space="preserve">Raise + first contract revenue</w:t>
            </w:r>
          </w:p>
        </w:tc>
        <w:tc>
          <w:p>
            <w:pPr>
              <w:pStyle w:val="Compact"/>
              <w:jc w:val="left"/>
            </w:pPr>
            <w:r>
              <w:rPr>
                <w:b/>
              </w:rPr>
              <w:t xml:space="preserve">FUTURE — not yet hired</w:t>
            </w:r>
          </w:p>
        </w:tc>
      </w:tr>
      <w:tr>
        <w:tc>
          <w:p>
            <w:pPr>
              <w:pStyle w:val="Compact"/>
              <w:jc w:val="left"/>
            </w:pPr>
            <w:r>
              <w:rPr>
                <w:b/>
              </w:rPr>
              <w:t xml:space="preserve">Production lead / trainer</w:t>
            </w:r>
          </w:p>
        </w:tc>
        <w:tc>
          <w:p>
            <w:pPr>
              <w:pStyle w:val="Compact"/>
              <w:jc w:val="left"/>
            </w:pPr>
            <w:r>
              <w:t xml:space="preserve">Lets local operators run the Stretch Bed process safely and consistently (production guide, quality checks, training record, named local process owner) so On-Country production no longer depends on Nic troubleshooting every step.</w:t>
            </w:r>
          </w:p>
        </w:tc>
        <w:tc>
          <w:p>
            <w:pPr>
              <w:pStyle w:val="Compact"/>
              <w:jc w:val="left"/>
            </w:pPr>
            <w:r>
              <w:t xml:space="preserve">In-source 50-bed proof run passes and a plant moves toward steady production</w:t>
            </w:r>
          </w:p>
        </w:tc>
        <w:tc>
          <w:p>
            <w:pPr>
              <w:pStyle w:val="Compact"/>
              <w:jc w:val="left"/>
            </w:pPr>
            <w:r>
              <w:t xml:space="preserve">Plant capex + raise</w:t>
            </w:r>
          </w:p>
        </w:tc>
        <w:tc>
          <w:p>
            <w:pPr>
              <w:pStyle w:val="Compact"/>
              <w:jc w:val="left"/>
            </w:pPr>
            <w:r>
              <w:rPr>
                <w:b/>
              </w:rPr>
              <w:t xml:space="preserve">FUTURE — not yet hired</w:t>
            </w:r>
          </w:p>
        </w:tc>
      </w:tr>
      <w:tr>
        <w:tc>
          <w:p>
            <w:pPr>
              <w:pStyle w:val="Compact"/>
              <w:jc w:val="left"/>
            </w:pPr>
            <w:r>
              <w:rPr>
                <w:b/>
              </w:rPr>
              <w:t xml:space="preserve">Finance / CFO support</w:t>
            </w:r>
          </w:p>
        </w:tc>
        <w:tc>
          <w:p>
            <w:pPr>
              <w:pStyle w:val="Compact"/>
              <w:jc w:val="left"/>
            </w:pPr>
            <w:r>
              <w:t xml:space="preserve">Builds the cashflow discipline, working-capital visibility and unit-economics reporting that repayable capital requires — and produces the Goods-only finance pack. Likely fractional/external first.</w:t>
            </w:r>
          </w:p>
        </w:tc>
        <w:tc>
          <w:p>
            <w:pPr>
              <w:pStyle w:val="Compact"/>
              <w:jc w:val="left"/>
            </w:pPr>
            <w:r>
              <w:t xml:space="preserve">SEFA concessional-debt line advances (debt needs the discipline before it lands)</w:t>
            </w:r>
          </w:p>
        </w:tc>
        <w:tc>
          <w:p>
            <w:pPr>
              <w:pStyle w:val="Compact"/>
              <w:jc w:val="left"/>
            </w:pPr>
            <w:r>
              <w:t xml:space="preserve">Raise (working-capital line)</w:t>
            </w:r>
          </w:p>
        </w:tc>
        <w:tc>
          <w:p>
            <w:pPr>
              <w:pStyle w:val="Compact"/>
              <w:jc w:val="left"/>
            </w:pPr>
            <w:r>
              <w:rPr>
                <w:b/>
              </w:rPr>
              <w:t xml:space="preserve">FUTURE — not yet hired</w:t>
            </w:r>
          </w:p>
        </w:tc>
      </w:tr>
      <w:tr>
        <w:tc>
          <w:p>
            <w:pPr>
              <w:pStyle w:val="Compact"/>
              <w:jc w:val="left"/>
            </w:pPr>
            <w:r>
              <w:rPr>
                <w:b/>
              </w:rPr>
              <w:t xml:space="preserve">On-Country coordinator roles</w:t>
            </w:r>
          </w:p>
        </w:tc>
        <w:tc>
          <w:p>
            <w:pPr>
              <w:pStyle w:val="Compact"/>
              <w:jc w:val="left"/>
            </w:pPr>
            <w:r>
              <w:t xml:space="preserve">Keep consent, feedback, follow-up and expectation management close to community rather than centralised in Brisbane/ACT — the constraint on serving more places well. Partner-held where possible.</w:t>
            </w:r>
          </w:p>
        </w:tc>
        <w:tc>
          <w:p>
            <w:pPr>
              <w:pStyle w:val="Compact"/>
              <w:jc w:val="left"/>
            </w:pPr>
            <w:r>
              <w:t xml:space="preserve">Each new production facility / each step-up in communities served</w:t>
            </w:r>
          </w:p>
        </w:tc>
        <w:tc>
          <w:p>
            <w:pPr>
              <w:pStyle w:val="Compact"/>
              <w:jc w:val="left"/>
            </w:pPr>
            <w:r>
              <w:t xml:space="preserve">Funded per facility; grants</w:t>
            </w:r>
          </w:p>
        </w:tc>
        <w:tc>
          <w:p>
            <w:pPr>
              <w:pStyle w:val="Compact"/>
              <w:jc w:val="left"/>
            </w:pPr>
            <w:r>
              <w:rPr>
                <w:b/>
              </w:rPr>
              <w:t xml:space="preserve">FUTURE — not yet hired</w:t>
            </w:r>
          </w:p>
        </w:tc>
      </w:tr>
    </w:tbl>
    <w:p>
      <w:pPr>
        <w:pStyle w:val="BodyText"/>
      </w:pPr>
      <w:r>
        <w:rPr>
          <w:b/>
        </w:rPr>
        <w:t xml:space="preserve">What we are deliberately not building:</w:t>
      </w:r>
      <w:r>
        <w:t xml:space="preserve"> </w:t>
      </w:r>
      <w:r>
        <w:t xml:space="preserve">a large central organisation just to look serious. Goods grows through local enterprise capability, production and repair roles, procurement discipline, partner capacity, shared ACT infrastructure, and lean governance — not headcount in Brisbane. The point is to make the product system work and shift more power, production and value On-Country.</w:t>
      </w:r>
    </w:p>
    <w:p>
      <w:pPr>
        <w:pStyle w:val="Heading2"/>
      </w:pPr>
      <w:bookmarkStart w:id="147" w:name="interim-mitigation-now-first-hire"/>
      <w:r>
        <w:t xml:space="preserve">Interim mitigation (now → first hire)</w:t>
      </w:r>
      <w:bookmarkEnd w:id="147"/>
    </w:p>
    <w:p>
      <w:pPr>
        <w:pStyle w:val="FirstParagraph"/>
      </w:pPr>
      <w:r>
        <w:t xml:space="preserve">Until Phase 1 lands, the bottleneck is managed two ways: borrowed capacity, and reducing how much depends on a founder being present.</w:t>
      </w:r>
    </w:p>
    <w:p>
      <w:pPr>
        <w:pStyle w:val="BodyText"/>
      </w:pPr>
      <w:r>
        <w:rPr>
          <w:b/>
        </w:rPr>
        <w:t xml:space="preserve">Borrowed capacity (running now):</w:t>
      </w:r>
      <w:r>
        <w:t xml:space="preserve"> </w:t>
      </w:r>
      <w:r>
        <w:t xml:space="preserve">-</w:t>
      </w:r>
      <w:r>
        <w:t xml:space="preserve"> </w:t>
      </w:r>
      <w:r>
        <w:rPr>
          <w:b/>
        </w:rPr>
        <w:t xml:space="preserve">QBE skilled volunteering</w:t>
      </w:r>
      <w:r>
        <w:t xml:space="preserve"> </w:t>
      </w:r>
      <w:r>
        <w:t xml:space="preserve">— backfilling specific gaps while the raise closes.</w:t>
      </w:r>
      <w:r>
        <w:t xml:space="preserve"> </w:t>
      </w:r>
      <w:r>
        <w:t xml:space="preserve">-</w:t>
      </w:r>
      <w:r>
        <w:t xml:space="preserve"> </w:t>
      </w:r>
      <w:r>
        <w:rPr>
          <w:b/>
        </w:rPr>
        <w:t xml:space="preserve">PIN mentoring</w:t>
      </w:r>
      <w:r>
        <w:t xml:space="preserve"> </w:t>
      </w:r>
      <w:r>
        <w:t xml:space="preserve">— a 6-session program, running now, ending ~August. Time-boxed; not a substitute for hired roles.</w:t>
      </w:r>
      <w:r>
        <w:t xml:space="preserve"> </w:t>
      </w:r>
      <w:r>
        <w:t xml:space="preserve">-</w:t>
      </w:r>
      <w:r>
        <w:t xml:space="preserve"> </w:t>
      </w:r>
      <w:r>
        <w:rPr>
          <w:b/>
        </w:rPr>
        <w:t xml:space="preserve">Advisory group (11 named)</w:t>
      </w:r>
      <w:r>
        <w:t xml:space="preserve"> </w:t>
      </w:r>
      <w:r>
        <w:t xml:space="preserve">— judgement, openings and challenge. Advisory, not operating capacity.</w:t>
      </w:r>
      <w:r>
        <w:t xml:space="preserve"> </w:t>
      </w:r>
      <w:r>
        <w:t xml:space="preserve">-</w:t>
      </w:r>
      <w:r>
        <w:t xml:space="preserve"> </w:t>
      </w:r>
      <w:r>
        <w:rPr>
          <w:b/>
        </w:rPr>
        <w:t xml:space="preserve">Partner capacity (Oonchiumpa and others)</w:t>
      </w:r>
      <w:r>
        <w:t xml:space="preserve"> </w:t>
      </w:r>
      <w:r>
        <w:t xml:space="preserve">— local delivery and feedback in place. Partner-held, not owned.</w:t>
      </w:r>
    </w:p>
    <w:p>
      <w:pPr>
        <w:pStyle w:val="BodyText"/>
      </w:pPr>
      <w:r>
        <w:rPr>
          <w:b/>
        </w:rPr>
        <w:t xml:space="preserve">Founder-dependency reductions (lower the dependency itself, not just add hands):</w:t>
      </w:r>
      <w:r>
        <w:t xml:space="preserve"> </w:t>
      </w:r>
      <w:r>
        <w:t xml:space="preserve">-</w:t>
      </w:r>
      <w:r>
        <w:t xml:space="preserve"> </w:t>
      </w:r>
      <w:r>
        <w:rPr>
          <w:b/>
        </w:rPr>
        <w:t xml:space="preserve">Documented runbooks</w:t>
      </w:r>
      <w:r>
        <w:t xml:space="preserve"> </w:t>
      </w:r>
      <w:r>
        <w:t xml:space="preserve">— turn founder intuition into teachable SOPs (production guide, buyer pipeline stages, consent process), so context stops living only in founder heads.</w:t>
      </w:r>
      <w:r>
        <w:t xml:space="preserve"> </w:t>
      </w:r>
      <w:r>
        <w:t xml:space="preserve">-</w:t>
      </w:r>
      <w:r>
        <w:t xml:space="preserve"> </w:t>
      </w:r>
      <w:r>
        <w:rPr>
          <w:b/>
        </w:rPr>
        <w:t xml:space="preserve">The QR / asset-register system</w:t>
      </w:r>
      <w:r>
        <w:t xml:space="preserve"> </w:t>
      </w:r>
      <w:r>
        <w:t xml:space="preserve">— every unit tracked, so delivery, repair and reporting do not depend on founder recall.</w:t>
      </w:r>
      <w:r>
        <w:t xml:space="preserve"> </w:t>
      </w:r>
      <w:r>
        <w:t xml:space="preserve">-</w:t>
      </w:r>
      <w:r>
        <w:t xml:space="preserve"> </w:t>
      </w:r>
      <w:r>
        <w:rPr>
          <w:b/>
        </w:rPr>
        <w:t xml:space="preserve">Shared back-office</w:t>
      </w:r>
      <w:r>
        <w:t xml:space="preserve"> </w:t>
      </w:r>
      <w:r>
        <w:t xml:space="preserve">— ACT finance/admin/tooling already removes overhead the founders would otherwise carry, with the caveat that this cost must be made visible.</w:t>
      </w:r>
    </w:p>
    <w:p>
      <w:pPr>
        <w:pStyle w:val="BlockText"/>
      </w:pPr>
      <w:r>
        <w:t xml:space="preserve">Note the timing risk: PIN mentoring ends ~August, the same window the first capital tranche is targeted to close (31 Aug). The interim scaffolding is genuinely interim — Phase 1 hiring needs to begin as that support tapers, or the bottleneck reasserts.</w:t>
      </w:r>
    </w:p>
    <w:p>
      <w:pPr>
        <w:pStyle w:val="Heading2"/>
      </w:pPr>
      <w:bookmarkStart w:id="148" w:name="what-this-unlocks"/>
      <w:r>
        <w:t xml:space="preserve">What this unlocks</w:t>
      </w:r>
      <w:bookmarkEnd w:id="148"/>
    </w:p>
    <w:p>
      <w:pPr>
        <w:pStyle w:val="FirstParagraph"/>
      </w:pPr>
      <w:r>
        <w:t xml:space="preserve">Removing the founder bottleneck is not overhead on top of the raise. It is part of what the catalytic capital is for.</w:t>
      </w:r>
    </w:p>
    <w:p>
      <w:pPr>
        <w:numPr>
          <w:ilvl w:val="0"/>
          <w:numId w:val="1031"/>
        </w:numPr>
        <w:pStyle w:val="Compact"/>
      </w:pPr>
      <w:r>
        <w:t xml:space="preserve">The</w:t>
      </w:r>
      <w:r>
        <w:t xml:space="preserve"> </w:t>
      </w:r>
      <w:r>
        <w:rPr>
          <w:b/>
        </w:rPr>
        <w:t xml:space="preserve">~AU$200K hires line</w:t>
      </w:r>
      <w:r>
        <w:t xml:space="preserve"> </w:t>
      </w:r>
      <w:r>
        <w:t xml:space="preserve">in the AU$900K–$1M ask funds the first two roles (GM + BD). They are named here, not as placeholders, so the team slide can carry real roles with real triggers.</w:t>
      </w:r>
    </w:p>
    <w:p>
      <w:pPr>
        <w:numPr>
          <w:ilvl w:val="0"/>
          <w:numId w:val="1031"/>
        </w:numPr>
        <w:pStyle w:val="Compact"/>
      </w:pPr>
      <w:r>
        <w:t xml:space="preserve">The #1 risk on the register is the founder bottleneck.</w:t>
      </w:r>
      <w:r>
        <w:t xml:space="preserve"> </w:t>
      </w:r>
      <w:r>
        <w:rPr>
          <w:b/>
        </w:rPr>
        <w:t xml:space="preserve">De-risking is the explicit purpose of this round</w:t>
      </w:r>
      <w:r>
        <w:t xml:space="preserve"> </w:t>
      </w:r>
      <w:r>
        <w:t xml:space="preserve">— it sits at the end of</w:t>
      </w:r>
      <w:r>
        <w:t xml:space="preserve"> </w:t>
      </w:r>
      <w:r>
        <w:t xml:space="preserve">“</w:t>
      </w:r>
      <w:r>
        <w:t xml:space="preserve">proven product + proven delivery</w:t>
      </w:r>
      <w:r>
        <w:t xml:space="preserve">”</w:t>
      </w:r>
      <w:r>
        <w:t xml:space="preserve"> </w:t>
      </w:r>
      <w:r>
        <w:t xml:space="preserve">and the start of</w:t>
      </w:r>
      <w:r>
        <w:t xml:space="preserve"> </w:t>
      </w:r>
      <w:r>
        <w:t xml:space="preserve">“</w:t>
      </w:r>
      <w:r>
        <w:t xml:space="preserve">proving the repeatable commercial engine.</w:t>
      </w:r>
      <w:r>
        <w:t xml:space="preserve">”</w:t>
      </w:r>
      <w:r>
        <w:t xml:space="preserve"> </w:t>
      </w:r>
      <w:r>
        <w:t xml:space="preserve">A venture that runs entirely through two unpaid-by-Goods founders is exactly the concentration catalytic capital exists to relieve. Funding the BD lead is, directly, funding the conversion of warm interest into the first signed dollar that triggers the QBE match.</w:t>
      </w:r>
    </w:p>
    <w:p>
      <w:pPr>
        <w:numPr>
          <w:ilvl w:val="0"/>
          <w:numId w:val="1031"/>
        </w:numPr>
        <w:pStyle w:val="Compact"/>
      </w:pPr>
      <w:r>
        <w:t xml:space="preserve">It also clears two of the five raise-blockers (master map §9): the</w:t>
      </w:r>
      <w:r>
        <w:t xml:space="preserve"> </w:t>
      </w:r>
      <w:r>
        <w:rPr>
          <w:b/>
        </w:rPr>
        <w:t xml:space="preserve">people/governance</w:t>
      </w:r>
      <w:r>
        <w:t xml:space="preserve"> </w:t>
      </w:r>
      <w:r>
        <w:t xml:space="preserve">readiness gap, and part of the</w:t>
      </w:r>
      <w:r>
        <w:t xml:space="preserve"> </w:t>
      </w:r>
      <w:r>
        <w:rPr>
          <w:b/>
        </w:rPr>
        <w:t xml:space="preserve">financial-discipline</w:t>
      </w:r>
      <w:r>
        <w:t xml:space="preserve"> </w:t>
      </w:r>
      <w:r>
        <w:t xml:space="preserve">gap once finance support lands. Costing founder time at fair-market rate stays a prerequisite — this plan assumes that work is done in parallel, so the economics never quietly drop founder labour.</w:t>
      </w:r>
    </w:p>
    <w:p>
      <w:pPr>
        <w:pStyle w:val="BlockText"/>
      </w:pPr>
      <w:r>
        <w:t xml:space="preserve">The honest version for a funder:</w:t>
      </w:r>
      <w:r>
        <w:t xml:space="preserve"> </w:t>
      </w:r>
      <w:r>
        <w:t xml:space="preserve">“</w:t>
      </w:r>
      <w:r>
        <w:t xml:space="preserve">Two people hold everything, and that is the biggest risk we carry. We are not asking you to fund a finished org — we are asking you to fund the first two roles that take the load off the founders, in the order that removes the most concentration first, triggered by signed money rather than ambition. That de-risking is the round.</w:t>
      </w:r>
      <w:r>
        <w:t xml:space="preserve">”</w:t>
      </w:r>
    </w:p>
    <w:p>
      <w:r>
        <w:br w:type="page"/>
      </w:r>
    </w:p>
    <w:p>
      <w:pPr>
        <w:pStyle w:val="Heading1"/>
      </w:pPr>
      <w:bookmarkStart w:id="149" w:name="area-9-entity-wording-block"/>
      <w:r>
        <w:t xml:space="preserve">Area 9 · Entity-Wording Block</w:t>
      </w:r>
      <w:bookmarkEnd w:id="149"/>
    </w:p>
    <w:p>
      <w:pPr>
        <w:pStyle w:val="Heading1"/>
      </w:pPr>
      <w:bookmarkStart w:id="150" w:name="goods-on-country-entity-wording-block"/>
      <w:r>
        <w:t xml:space="preserve">Goods on Country — Entity Wording Block</w:t>
      </w:r>
      <w:bookmarkEnd w:id="150"/>
    </w:p>
    <w:p>
      <w:pPr>
        <w:pStyle w:val="Heading2"/>
      </w:pPr>
      <w:bookmarkStart w:id="151" w:name="qbe-diagnostic-area-09-legal-structure"/>
      <w:r>
        <w:t xml:space="preserve">QBE Diagnostic Area 09 — Legal Structure</w:t>
      </w:r>
      <w:bookmarkEnd w:id="151"/>
    </w:p>
    <w:p>
      <w:pPr>
        <w:pStyle w:val="BlockText"/>
      </w:pPr>
      <w:r>
        <w:rPr>
          <w:b/>
        </w:rPr>
        <w:t xml:space="preserve">What this is.</w:t>
      </w:r>
      <w:r>
        <w:t xml:space="preserve"> </w:t>
      </w:r>
      <w:r>
        <w:t xml:space="preserve">A single, reusable description of how Goods on Country is legally structured today, written to be accurate during a live transition rather than to sound finished. The structure is mid-migration this financial year, so the wording deliberately separates what is settled from what is not.</w:t>
      </w:r>
    </w:p>
    <w:p>
      <w:pPr>
        <w:pStyle w:val="BlockText"/>
      </w:pPr>
      <w:r>
        <w:rPr>
          <w:b/>
        </w:rPr>
        <w:t xml:space="preserve">How to use it.</w:t>
      </w:r>
      <w:r>
        <w:t xml:space="preserve"> </w:t>
      </w:r>
      <w:r>
        <w:t xml:space="preserve">Section A is the canonical paragraph and four tailored variants. Once Keith Rovers (MinterEllison) approves the wording, the team can paste the relevant variant verbatim into public pages, investor materials, grant</w:t>
      </w:r>
      <w:r>
        <w:t xml:space="preserve"> </w:t>
      </w:r>
      <w:r>
        <w:t xml:space="preserve">“</w:t>
      </w:r>
      <w:r>
        <w:t xml:space="preserve">legal entity</w:t>
      </w:r>
      <w:r>
        <w:t xml:space="preserve">”</w:t>
      </w:r>
      <w:r>
        <w:t xml:space="preserve"> </w:t>
      </w:r>
      <w:r>
        <w:t xml:space="preserve">fields and contract preambles. Do not paraphrase the approved version — paraphrasing is how the sole-trader, company and charity roles get blurred again.</w:t>
      </w:r>
    </w:p>
    <w:p>
      <w:pPr>
        <w:pStyle w:val="BlockText"/>
      </w:pPr>
      <w:r>
        <w:rPr>
          <w:b/>
        </w:rPr>
        <w:t xml:space="preserve">Status discipline.</w:t>
      </w:r>
      <w:r>
        <w:t xml:space="preserve"> </w:t>
      </w:r>
      <w:r>
        <w:t xml:space="preserve">This is a draft for legal review, not legal advice and not approved copy. Every registration number and date used appears in Section E flagged</w:t>
      </w:r>
      <w:r>
        <w:t xml:space="preserve"> </w:t>
      </w:r>
      <w:r>
        <w:t xml:space="preserve">“</w:t>
      </w:r>
      <w:r>
        <w:t xml:space="preserve">to be confirmed by founder/legal</w:t>
      </w:r>
      <w:r>
        <w:t xml:space="preserve">”</w:t>
      </w:r>
      <w:r>
        <w:t xml:space="preserve">. Until that confirmation, treat them as working values, not gospel.</w:t>
      </w:r>
    </w:p>
    <w:p>
      <w:r>
        <w:pict>
          <v:rect style="width:0;height:1.5pt" o:hralign="center" o:hrstd="t" o:hr="t"/>
        </w:pict>
      </w:r>
    </w:p>
    <w:p>
      <w:pPr>
        <w:pStyle w:val="Heading2"/>
      </w:pPr>
      <w:bookmarkStart w:id="152" w:name="a.-the-approved-wording-block"/>
      <w:r>
        <w:t xml:space="preserve">A. The approved wording block</w:t>
      </w:r>
      <w:bookmarkEnd w:id="152"/>
    </w:p>
    <w:p>
      <w:pPr>
        <w:pStyle w:val="Heading3"/>
      </w:pPr>
      <w:bookmarkStart w:id="153" w:name="X07fc3b424c67c62e5a26b567034f8866645bcdc"/>
      <w:r>
        <w:t xml:space="preserve">A.0 Canonical paragraph (the master version — reuse this verbatim)</w:t>
      </w:r>
      <w:bookmarkEnd w:id="153"/>
    </w:p>
    <w:p>
      <w:pPr>
        <w:pStyle w:val="BlockText"/>
      </w:pPr>
      <w:r>
        <w:t xml:space="preserve">Goods on Country is a social enterprise delivering quality, repairable household goods to remote Indigenous communities. It trades today through a sole trader (Nicholas Marchesi) and is migrating all of its trading activity this financial year into A Curious Tractor Pty Ltd, which will trade as Goods on Country. Tax-deductible philanthropic giving is handled separately through The Butterfly Movement Ltd, a registered charity with deductible-gift-recipient (DGR) status that becomes the charitable home for this work from the 2026–27 financial year; that pathway is not yet live. Goods on Country’s longer-term aim is for production to be owned and run by Aboriginal-controlled or locally owned entities, and the legal form for that is still being designed.</w:t>
      </w:r>
    </w:p>
    <w:p>
      <w:pPr>
        <w:pStyle w:val="FirstParagraph"/>
      </w:pPr>
      <w:r>
        <w:rPr>
          <w:i/>
        </w:rPr>
        <w:t xml:space="preserve">Why these four sentences and not fewer: the structure does three different jobs (trading, charitable/DGR funding, future community-owned production) through three different legal positions. Collapsing them into one sentence is exactly the blur the public-copy rules forbid. Each variant below keeps the same three roles in the same order so the versions stay consistent with each other.</w:t>
      </w:r>
    </w:p>
    <w:p>
      <w:r>
        <w:pict>
          <v:rect style="width:0;height:1.5pt" o:hralign="center" o:hrstd="t" o:hr="t"/>
        </w:pict>
      </w:r>
    </w:p>
    <w:p>
      <w:pPr>
        <w:pStyle w:val="Heading3"/>
      </w:pPr>
      <w:bookmarkStart w:id="154" w:name="a.1-public-website-one-line"/>
      <w:r>
        <w:t xml:space="preserve">A.1 Public website / one line</w:t>
      </w:r>
      <w:bookmarkEnd w:id="154"/>
    </w:p>
    <w:p>
      <w:pPr>
        <w:pStyle w:val="FirstParagraph"/>
      </w:pPr>
      <w:r>
        <w:t xml:space="preserve">Two options depending on space. Both are accurate and consistent with A.0. Neither claims DGR for Goods, and neither names a charitable pathway as live.</w:t>
      </w:r>
    </w:p>
    <w:p>
      <w:pPr>
        <w:pStyle w:val="BodyText"/>
      </w:pPr>
      <w:r>
        <w:rPr>
          <w:b/>
        </w:rPr>
        <w:t xml:space="preserve">One line (footer / about strip):</w:t>
      </w:r>
    </w:p>
    <w:p>
      <w:pPr>
        <w:pStyle w:val="BlockText"/>
      </w:pPr>
      <w:r>
        <w:t xml:space="preserve">Goods on Country is a social enterprise currently operated by Nicholas Marchesi (sole trader) and is moving its trading to A Curious Tractor Pty Ltd, trading as Goods on Country, during the 2026–27 financial year.</w:t>
      </w:r>
    </w:p>
    <w:p>
      <w:pPr>
        <w:pStyle w:val="FirstParagraph"/>
      </w:pPr>
      <w:r>
        <w:rPr>
          <w:b/>
        </w:rPr>
        <w:t xml:space="preserve">Short paragraph (about page):</w:t>
      </w:r>
    </w:p>
    <w:p>
      <w:pPr>
        <w:pStyle w:val="BlockText"/>
      </w:pPr>
      <w:r>
        <w:t xml:space="preserve">Goods on Country designs and delivers repairable household goods with remote communities. We trade today through a sole trader and are moving all of our trading this financial year into A Curious Tractor Pty Ltd, which will trade as Goods on Country. Charitable and tax-deductible giving is handled separately, through a registered charity, and our longer-term goal is for production to be owned and run on Country. Our community-ownership plans are a direction we are working toward, not a completed transfer.</w:t>
      </w:r>
    </w:p>
    <w:p>
      <w:pPr>
        <w:pStyle w:val="FirstParagraph"/>
      </w:pPr>
      <w:r>
        <w:rPr>
          <w:i/>
        </w:rPr>
        <w:t xml:space="preserve">Public-page note for the team: do not add an ABN or ACN to public pages until Section E is confirmed and legal has approved the contracting-party wording. Do not write</w:t>
      </w:r>
      <w:r>
        <w:rPr>
          <w:i/>
        </w:rPr>
        <w:t xml:space="preserve"> </w:t>
      </w:r>
      <w:r>
        <w:rPr>
          <w:i/>
        </w:rPr>
        <w:t xml:space="preserve">“</w:t>
      </w:r>
      <w:r>
        <w:rPr>
          <w:i/>
        </w:rPr>
        <w:t xml:space="preserve">Goods on Country is a registered charity</w:t>
      </w:r>
      <w:r>
        <w:rPr>
          <w:i/>
        </w:rPr>
        <w:t xml:space="preserve">”</w:t>
      </w:r>
      <w:r>
        <w:rPr>
          <w:i/>
        </w:rPr>
        <w:t xml:space="preserve">,</w:t>
      </w:r>
      <w:r>
        <w:rPr>
          <w:i/>
        </w:rPr>
        <w:t xml:space="preserve"> </w:t>
      </w:r>
      <w:r>
        <w:rPr>
          <w:i/>
        </w:rPr>
        <w:t xml:space="preserve">“</w:t>
      </w:r>
      <w:r>
        <w:rPr>
          <w:i/>
        </w:rPr>
        <w:t xml:space="preserve">DGR</w:t>
      </w:r>
      <w:r>
        <w:rPr>
          <w:i/>
        </w:rPr>
        <w:t xml:space="preserve">”</w:t>
      </w:r>
      <w:r>
        <w:rPr>
          <w:i/>
        </w:rPr>
        <w:t xml:space="preserve">,</w:t>
      </w:r>
      <w:r>
        <w:rPr>
          <w:i/>
        </w:rPr>
        <w:t xml:space="preserve"> </w:t>
      </w:r>
      <w:r>
        <w:rPr>
          <w:i/>
        </w:rPr>
        <w:t xml:space="preserve">“</w:t>
      </w:r>
      <w:r>
        <w:rPr>
          <w:i/>
        </w:rPr>
        <w:t xml:space="preserve">tax-deductible</w:t>
      </w:r>
      <w:r>
        <w:rPr>
          <w:i/>
        </w:rPr>
        <w:t xml:space="preserve">”</w:t>
      </w:r>
      <w:r>
        <w:rPr>
          <w:i/>
        </w:rPr>
        <w:t xml:space="preserve">, or</w:t>
      </w:r>
      <w:r>
        <w:rPr>
          <w:i/>
        </w:rPr>
        <w:t xml:space="preserve"> </w:t>
      </w:r>
      <w:r>
        <w:rPr>
          <w:i/>
        </w:rPr>
        <w:t xml:space="preserve">“</w:t>
      </w:r>
      <w:r>
        <w:rPr>
          <w:i/>
        </w:rPr>
        <w:t xml:space="preserve">we transfer ownership to communities</w:t>
      </w:r>
      <w:r>
        <w:rPr>
          <w:i/>
        </w:rPr>
        <w:t xml:space="preserve">”</w:t>
      </w:r>
      <w:r>
        <w:rPr>
          <w:i/>
        </w:rPr>
        <w:t xml:space="preserve"> </w:t>
      </w:r>
      <w:r>
        <w:rPr>
          <w:i/>
        </w:rPr>
        <w:t xml:space="preserve">anywhere on the public site.</w:t>
      </w:r>
    </w:p>
    <w:p>
      <w:r>
        <w:pict>
          <v:rect style="width:0;height:1.5pt" o:hralign="center" o:hrstd="t" o:hr="t"/>
        </w:pict>
      </w:r>
    </w:p>
    <w:p>
      <w:pPr>
        <w:pStyle w:val="Heading3"/>
      </w:pPr>
      <w:bookmarkStart w:id="155" w:name="X9c64d9de70a877068a55f766d912a62b0af95ab"/>
      <w:r>
        <w:t xml:space="preserve">A.2 Investor materials (catalytic / philanthropic investor brief)</w:t>
      </w:r>
      <w:bookmarkEnd w:id="155"/>
    </w:p>
    <w:p>
      <w:pPr>
        <w:pStyle w:val="BlockText"/>
      </w:pPr>
      <w:r>
        <w:t xml:space="preserve">Goods on Country’s legal structure is in transition this financial year, and we describe it precisely rather than as finished. The business trades today through a sole trader (Nicholas Marchesi) and is migrating all trading activity into A Curious Tractor Pty Ltd, which will trade as Goods on Country and is the confirmed go-forward operating company. Tax-deductible philanthropic funding flows only through The Butterfly Movement Ltd, a registered charity with Item 1 DGR status that becomes the charitable home for this work from the 2026–27 financial year and is not yet operational for Goods. The structure beneath this — whether Goods becomes a subsidiary, a company limited by guarantee or a hybrid, the legal form of the community-production entities, and the mission-protection mechanism — is still being designed with our lawyers (MinterEllison). We are not asking an investor to accept that the structure is settled; we are showing what is confirmed, what is mid-migration, and what is being decided, so capital can be matched to the right entity at the right time.</w:t>
      </w:r>
    </w:p>
    <w:p>
      <w:pPr>
        <w:pStyle w:val="FirstParagraph"/>
      </w:pPr>
      <w:r>
        <w:rPr>
          <w:i/>
        </w:rPr>
        <w:t xml:space="preserve">Investor note: keep the</w:t>
      </w:r>
      <w:r>
        <w:rPr>
          <w:i/>
        </w:rPr>
        <w:t xml:space="preserve"> </w:t>
      </w:r>
      <w:r>
        <w:rPr>
          <w:i/>
        </w:rPr>
        <w:t xml:space="preserve">“</w:t>
      </w:r>
      <w:r>
        <w:rPr>
          <w:i/>
        </w:rPr>
        <w:t xml:space="preserve">we describe it precisely rather than as finished</w:t>
      </w:r>
      <w:r>
        <w:rPr>
          <w:i/>
        </w:rPr>
        <w:t xml:space="preserve">”</w:t>
      </w:r>
      <w:r>
        <w:rPr>
          <w:i/>
        </w:rPr>
        <w:t xml:space="preserve"> </w:t>
      </w:r>
      <w:r>
        <w:rPr>
          <w:i/>
        </w:rPr>
        <w:t xml:space="preserve">framing. For this audience the honesty about the transition is a credibility asset, the same way the evidence labels are in the strategy memo. Do not state that a 51%+ First Nations-owned operating entity exists yet — it is a precondition being worked toward (see Section C), not a current fact.</w:t>
      </w:r>
    </w:p>
    <w:p>
      <w:r>
        <w:pict>
          <v:rect style="width:0;height:1.5pt" o:hralign="center" o:hrstd="t" o:hr="t"/>
        </w:pict>
      </w:r>
    </w:p>
    <w:p>
      <w:pPr>
        <w:pStyle w:val="Heading3"/>
      </w:pPr>
      <w:bookmarkStart w:id="156" w:name="X3b67d4aded4f7207c64089d12ef470476d64ea1"/>
      <w:r>
        <w:t xml:space="preserve">A.3 Grant application —</w:t>
      </w:r>
      <w:r>
        <w:t xml:space="preserve"> </w:t>
      </w:r>
      <w:r>
        <w:t xml:space="preserve">“</w:t>
      </w:r>
      <w:r>
        <w:t xml:space="preserve">legal entity / applicant</w:t>
      </w:r>
      <w:r>
        <w:t xml:space="preserve">”</w:t>
      </w:r>
      <w:r>
        <w:t xml:space="preserve"> </w:t>
      </w:r>
      <w:r>
        <w:t xml:space="preserve">field</w:t>
      </w:r>
      <w:bookmarkEnd w:id="156"/>
    </w:p>
    <w:p>
      <w:pPr>
        <w:pStyle w:val="FirstParagraph"/>
      </w:pPr>
      <w:r>
        <w:t xml:space="preserve">Most grant forms have a single short field for the legal applicant. Use the version that matches what the form is asking.</w:t>
      </w:r>
      <w:r>
        <w:t xml:space="preserve"> </w:t>
      </w:r>
      <w:r>
        <w:rPr>
          <w:b/>
        </w:rPr>
        <w:t xml:space="preserve">The applicant entity during the migration is an open legal question (Section C, Q3) — confirm with the founder/lawyer which entity is the correct applicant before submitting any specific grant.</w:t>
      </w:r>
    </w:p>
    <w:p>
      <w:pPr>
        <w:pStyle w:val="BodyText"/>
      </w:pPr>
      <w:r>
        <w:rPr>
          <w:b/>
        </w:rPr>
        <w:t xml:space="preserve">If the form asks for the entity that contracts and receives funds today:</w:t>
      </w:r>
    </w:p>
    <w:p>
      <w:pPr>
        <w:pStyle w:val="BlockText"/>
      </w:pPr>
      <w:r>
        <w:t xml:space="preserve">Nicholas Marchesi, sole trader, trading as Goods on Country (ABN to be confirmed in Section E). Trading activity is migrating during the 2026–27 financial year to A Curious Tractor Pty Ltd (ACN 697 347 676), trading as Goods on Country.</w:t>
      </w:r>
    </w:p>
    <w:p>
      <w:pPr>
        <w:pStyle w:val="FirstParagraph"/>
      </w:pPr>
      <w:r>
        <w:rPr>
          <w:b/>
        </w:rPr>
        <w:t xml:space="preserve">If the form asks for the go-forward / preferred contracting entity:</w:t>
      </w:r>
    </w:p>
    <w:p>
      <w:pPr>
        <w:pStyle w:val="BlockText"/>
      </w:pPr>
      <w:r>
        <w:t xml:space="preserve">A Curious Tractor Pty Ltd (ACN 697 347 676), trading as Goods on Country. (Goods is mid-migration this financial year from a sole-trader trading base into this company; please confirm with us which entity should be named as applicant if your timing requires the current trading entity.)</w:t>
      </w:r>
    </w:p>
    <w:p>
      <w:pPr>
        <w:pStyle w:val="FirstParagraph"/>
      </w:pPr>
      <w:r>
        <w:rPr>
          <w:b/>
        </w:rPr>
        <w:t xml:space="preserve">If the grant is philanthropic and DGR-dependent:</w:t>
      </w:r>
    </w:p>
    <w:p>
      <w:pPr>
        <w:pStyle w:val="BlockText"/>
      </w:pPr>
      <w:r>
        <w:t xml:space="preserve">Tax-deductible / DGR-eligible giving for this work is received only by The Butterfly Movement Ltd (a registered charity with DGR status), from the 2026–27 financial year. Goods on Country, A Curious Tractor Pty Ltd and the sole trader do not themselves hold DGR status. Please confirm timing with us before relying on a DGR receipt.</w:t>
      </w:r>
    </w:p>
    <w:p>
      <w:pPr>
        <w:pStyle w:val="FirstParagraph"/>
      </w:pPr>
      <w:r>
        <w:rPr>
          <w:i/>
        </w:rPr>
        <w:t xml:space="preserve">Grant note: never tick</w:t>
      </w:r>
      <w:r>
        <w:rPr>
          <w:i/>
        </w:rPr>
        <w:t xml:space="preserve"> </w:t>
      </w:r>
      <w:r>
        <w:rPr>
          <w:i/>
        </w:rPr>
        <w:t xml:space="preserve">“</w:t>
      </w:r>
      <w:r>
        <w:rPr>
          <w:i/>
        </w:rPr>
        <w:t xml:space="preserve">DGR: yes</w:t>
      </w:r>
      <w:r>
        <w:rPr>
          <w:i/>
        </w:rPr>
        <w:t xml:space="preserve">”</w:t>
      </w:r>
      <w:r>
        <w:rPr>
          <w:i/>
        </w:rPr>
        <w:t xml:space="preserve"> </w:t>
      </w:r>
      <w:r>
        <w:rPr>
          <w:i/>
        </w:rPr>
        <w:t xml:space="preserve">or</w:t>
      </w:r>
      <w:r>
        <w:rPr>
          <w:i/>
        </w:rPr>
        <w:t xml:space="preserve"> </w:t>
      </w:r>
      <w:r>
        <w:rPr>
          <w:i/>
        </w:rPr>
        <w:t xml:space="preserve">“</w:t>
      </w:r>
      <w:r>
        <w:rPr>
          <w:i/>
        </w:rPr>
        <w:t xml:space="preserve">registered charity: yes</w:t>
      </w:r>
      <w:r>
        <w:rPr>
          <w:i/>
        </w:rPr>
        <w:t xml:space="preserve">”</w:t>
      </w:r>
      <w:r>
        <w:rPr>
          <w:i/>
        </w:rPr>
        <w:t xml:space="preserve"> </w:t>
      </w:r>
      <w:r>
        <w:rPr>
          <w:i/>
        </w:rPr>
        <w:t xml:space="preserve">against Goods on Country, A Curious Tractor Pty Ltd or the sole trader. DGR is only ever via The Butterfly Movement Ltd, and only from FY2026-27.</w:t>
      </w:r>
    </w:p>
    <w:p>
      <w:r>
        <w:pict>
          <v:rect style="width:0;height:1.5pt" o:hralign="center" o:hrstd="t" o:hr="t"/>
        </w:pict>
      </w:r>
    </w:p>
    <w:p>
      <w:pPr>
        <w:pStyle w:val="Heading3"/>
      </w:pPr>
      <w:bookmarkStart w:id="157" w:name="a.4-contract-counterparty-preamble"/>
      <w:r>
        <w:t xml:space="preserve">A.4 Contract / counterparty preamble</w:t>
      </w:r>
      <w:bookmarkEnd w:id="157"/>
    </w:p>
    <w:p>
      <w:pPr>
        <w:pStyle w:val="FirstParagraph"/>
      </w:pPr>
      <w:r>
        <w:t xml:space="preserve">Use the recital that matches who is actually signing.</w:t>
      </w:r>
      <w:r>
        <w:t xml:space="preserve"> </w:t>
      </w:r>
      <w:r>
        <w:rPr>
          <w:b/>
        </w:rPr>
        <w:t xml:space="preserve">Until the migration completes and seller-of-record / contracting-party questions are resolved (Section C, Q3), confirm with the founder which entity is the correct signatory before executing any contract.</w:t>
      </w:r>
    </w:p>
    <w:p>
      <w:pPr>
        <w:pStyle w:val="BodyText"/>
      </w:pPr>
      <w:r>
        <w:rPr>
          <w:b/>
        </w:rPr>
        <w:t xml:space="preserve">Current trading entity as counterparty (today):</w:t>
      </w:r>
    </w:p>
    <w:p>
      <w:pPr>
        <w:pStyle w:val="BlockText"/>
      </w:pPr>
      <w:r>
        <w:t xml:space="preserve">This agreement is entered into by Nicholas Marchesi (ABN to be confirmed), trading as</w:t>
      </w:r>
      <w:r>
        <w:t xml:space="preserve"> </w:t>
      </w:r>
      <w:r>
        <w:t xml:space="preserve">“</w:t>
      </w:r>
      <w:r>
        <w:t xml:space="preserve">Goods on Country</w:t>
      </w:r>
      <w:r>
        <w:t xml:space="preserve">”</w:t>
      </w:r>
      <w:r>
        <w:t xml:space="preserve"> </w:t>
      </w:r>
      <w:r>
        <w:t xml:space="preserve">(</w:t>
      </w:r>
      <w:r>
        <w:t xml:space="preserve">“</w:t>
      </w:r>
      <w:r>
        <w:t xml:space="preserve">Goods</w:t>
      </w:r>
      <w:r>
        <w:t xml:space="preserve">”</w:t>
      </w:r>
      <w:r>
        <w:t xml:space="preserve">). Goods is migrating its trading operations during the 2026–27 financial year to A Curious Tractor Pty Ltd (ACN 697 347 676), and the parties acknowledge that Goods may, on notice, novate or assign this agreement to A Curious Tractor Pty Ltd as part of that migration.</w:t>
      </w:r>
    </w:p>
    <w:p>
      <w:pPr>
        <w:pStyle w:val="FirstParagraph"/>
      </w:pPr>
      <w:r>
        <w:rPr>
          <w:b/>
        </w:rPr>
        <w:t xml:space="preserve">Go-forward company as counterparty (once migration of the relevant activity has occurred):</w:t>
      </w:r>
    </w:p>
    <w:p>
      <w:pPr>
        <w:pStyle w:val="BlockText"/>
      </w:pPr>
      <w:r>
        <w:t xml:space="preserve">This agreement is entered into by A Curious Tractor Pty Ltd (ACN 697 347 676), trading as</w:t>
      </w:r>
      <w:r>
        <w:t xml:space="preserve"> </w:t>
      </w:r>
      <w:r>
        <w:t xml:space="preserve">“</w:t>
      </w:r>
      <w:r>
        <w:t xml:space="preserve">Goods on Country</w:t>
      </w:r>
      <w:r>
        <w:t xml:space="preserve">”</w:t>
      </w:r>
      <w:r>
        <w:t xml:space="preserve"> </w:t>
      </w:r>
      <w:r>
        <w:t xml:space="preserve">(</w:t>
      </w:r>
      <w:r>
        <w:t xml:space="preserve">“</w:t>
      </w:r>
      <w:r>
        <w:t xml:space="preserve">Goods</w:t>
      </w:r>
      <w:r>
        <w:t xml:space="preserve">”</w:t>
      </w:r>
      <w:r>
        <w:t xml:space="preserve">).</w:t>
      </w:r>
    </w:p>
    <w:p>
      <w:pPr>
        <w:pStyle w:val="FirstParagraph"/>
      </w:pPr>
      <w:r>
        <w:rPr>
          <w:i/>
        </w:rPr>
        <w:t xml:space="preserve">Contract note: warranty, product-liability and seller-of-record obligations should sit with whichever entity is named as counterparty in the recital — these need to be unambiguous when money changes hands, and they are an open item for legal (Section C). The Butterfly Movement Ltd is not a party to commercial supply contracts; it is the charitable/DGR vehicle only.</w:t>
      </w:r>
    </w:p>
    <w:p>
      <w:r>
        <w:pict>
          <v:rect style="width:0;height:1.5pt" o:hralign="center" o:hrstd="t" o:hr="t"/>
        </w:pict>
      </w:r>
    </w:p>
    <w:p>
      <w:pPr>
        <w:pStyle w:val="Heading2"/>
      </w:pPr>
      <w:bookmarkStart w:id="158" w:name="b.-plain-english-structure-summary"/>
      <w:r>
        <w:t xml:space="preserve">B. Plain-English structure summary</w:t>
      </w:r>
      <w:bookmarkEnd w:id="1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b/>
              </w:rPr>
              <w:t xml:space="preserve">Trades today</w:t>
            </w:r>
            <w:r>
              <w:t xml:space="preserve"> </w:t>
            </w:r>
            <w:r>
              <w:t xml:space="preserve">(current operating entity)</w:t>
            </w:r>
          </w:p>
        </w:tc>
        <w:tc>
          <w:p>
            <w:pPr>
              <w:pStyle w:val="Compact"/>
              <w:jc w:val="left"/>
            </w:pPr>
            <w:r>
              <w:t xml:space="preserve">Nicholas Marchesi, sole trader</w:t>
            </w:r>
          </w:p>
        </w:tc>
        <w:tc>
          <w:p>
            <w:pPr>
              <w:pStyle w:val="Compact"/>
              <w:jc w:val="left"/>
            </w:pPr>
            <w:r>
              <w:t xml:space="preserve">Live now. ABN</w:t>
            </w:r>
            <w:r>
              <w:t xml:space="preserve"> </w:t>
            </w:r>
            <w:r>
              <w:rPr>
                <w:b/>
              </w:rPr>
              <w:t xml:space="preserve">to be confirmed</w:t>
            </w:r>
            <w:r>
              <w:t xml:space="preserve"> </w:t>
            </w:r>
            <w:r>
              <w:t xml:space="preserve">in Section E. Recorded in Xero as org type</w:t>
            </w:r>
            <w:r>
              <w:t xml:space="preserve"> </w:t>
            </w:r>
            <w:r>
              <w:t xml:space="preserve">“</w:t>
            </w:r>
            <w:r>
              <w:t xml:space="preserve">individual</w:t>
            </w:r>
            <w:r>
              <w:t xml:space="preserve">”</w:t>
            </w:r>
            <w:r>
              <w:t xml:space="preserve"> </w:t>
            </w:r>
            <w:r>
              <w:t xml:space="preserve">(verified 1 Jun 2026).</w:t>
            </w:r>
          </w:p>
        </w:tc>
        <w:tc>
          <w:p>
            <w:pPr>
              <w:pStyle w:val="Compact"/>
              <w:jc w:val="left"/>
            </w:pPr>
            <w:r>
              <w:t xml:space="preserve">This is where invoicing, sales and contracts sit right now. Not a durable home for capital, liability separation or DGR — it is the migration’s starting point, not its destination.</w:t>
            </w:r>
          </w:p>
        </w:tc>
      </w:tr>
      <w:tr>
        <w:tc>
          <w:p>
            <w:pPr>
              <w:pStyle w:val="Compact"/>
              <w:jc w:val="left"/>
            </w:pPr>
            <w:r>
              <w:rPr>
                <w:b/>
              </w:rPr>
              <w:t xml:space="preserve">Go-forward trading company</w:t>
            </w:r>
          </w:p>
        </w:tc>
        <w:tc>
          <w:p>
            <w:pPr>
              <w:pStyle w:val="Compact"/>
              <w:jc w:val="left"/>
            </w:pPr>
            <w:r>
              <w:t xml:space="preserve">A Curious Tractor Pty Ltd, ACN</w:t>
            </w:r>
            <w:r>
              <w:t xml:space="preserve"> </w:t>
            </w:r>
            <w:r>
              <w:rPr>
                <w:b/>
              </w:rPr>
              <w:t xml:space="preserve">697 347 676</w:t>
            </w:r>
            <w:r>
              <w:t xml:space="preserve">, trading as Goods on Country</w:t>
            </w:r>
          </w:p>
        </w:tc>
        <w:tc>
          <w:p>
            <w:pPr>
              <w:pStyle w:val="Compact"/>
              <w:jc w:val="left"/>
            </w:pPr>
            <w:r>
              <w:t xml:space="preserve">Confirmed direction. Migration of all Goods trading runs this FY (FY2026-27). ABN and final trading-name registration</w:t>
            </w:r>
            <w:r>
              <w:t xml:space="preserve"> </w:t>
            </w:r>
            <w:r>
              <w:rPr>
                <w:b/>
              </w:rPr>
              <w:t xml:space="preserve">to be confirmed</w:t>
            </w:r>
            <w:r>
              <w:t xml:space="preserve"> </w:t>
            </w:r>
            <w:r>
              <w:t xml:space="preserve">(Section E).</w:t>
            </w:r>
          </w:p>
        </w:tc>
        <w:tc>
          <w:p>
            <w:pPr>
              <w:pStyle w:val="Compact"/>
              <w:jc w:val="left"/>
            </w:pPr>
            <w:r>
              <w:t xml:space="preserve">Becomes the practical home for Goods trading once migration completes and internal accounts are clean. Does not by itself create DGR, mission lock or community ownership.</w:t>
            </w:r>
          </w:p>
        </w:tc>
      </w:tr>
      <w:tr>
        <w:tc>
          <w:p>
            <w:pPr>
              <w:pStyle w:val="Compact"/>
              <w:jc w:val="left"/>
            </w:pPr>
            <w:r>
              <w:rPr>
                <w:b/>
              </w:rPr>
              <w:t xml:space="preserve">DGR / charity home</w:t>
            </w:r>
          </w:p>
        </w:tc>
        <w:tc>
          <w:p>
            <w:pPr>
              <w:pStyle w:val="Compact"/>
              <w:jc w:val="left"/>
            </w:pPr>
            <w:r>
              <w:t xml:space="preserve">The Butterfly Movement Ltd</w:t>
            </w:r>
          </w:p>
        </w:tc>
        <w:tc>
          <w:p>
            <w:pPr>
              <w:pStyle w:val="Compact"/>
              <w:jc w:val="left"/>
            </w:pPr>
            <w:r>
              <w:t xml:space="preserve">ACNC-registered charity, Item 1 DGR. Becomes the Goods charitable home from FY2026-27 (~1 July 2026), gifted from the TABOO Foundation (same legal entity continues).</w:t>
            </w:r>
            <w:r>
              <w:t xml:space="preserve"> </w:t>
            </w:r>
            <w:r>
              <w:rPr>
                <w:b/>
              </w:rPr>
              <w:t xml:space="preserve">Not live today</w:t>
            </w:r>
            <w:r>
              <w:t xml:space="preserve"> </w:t>
            </w:r>
            <w:r>
              <w:t xml:space="preserve">— donors cannot yet receive a tax-deductible receipt for this work. ABN/registration dates</w:t>
            </w:r>
            <w:r>
              <w:t xml:space="preserve"> </w:t>
            </w:r>
            <w:r>
              <w:rPr>
                <w:b/>
              </w:rPr>
              <w:t xml:space="preserve">to be confirmed</w:t>
            </w:r>
            <w:r>
              <w:t xml:space="preserve"> </w:t>
            </w:r>
            <w:r>
              <w:t xml:space="preserve">(Section E).</w:t>
            </w:r>
          </w:p>
        </w:tc>
        <w:tc>
          <w:p>
            <w:pPr>
              <w:pStyle w:val="Compact"/>
              <w:jc w:val="left"/>
            </w:pPr>
            <w:r>
              <w:t xml:space="preserve">The only Goods DGR pathway. Philanthropy and DGR-eligible giving flow only through Butterfly — never through Goods, A Curious Tractor or A Kind Tractor directly.</w:t>
            </w:r>
          </w:p>
        </w:tc>
      </w:tr>
      <w:tr>
        <w:tc>
          <w:p>
            <w:pPr>
              <w:pStyle w:val="Compact"/>
              <w:jc w:val="left"/>
            </w:pPr>
            <w:r>
              <w:rPr>
                <w:b/>
              </w:rPr>
              <w:t xml:space="preserve">Dormant — not the vehicle</w:t>
            </w:r>
          </w:p>
        </w:tc>
        <w:tc>
          <w:p>
            <w:pPr>
              <w:pStyle w:val="Compact"/>
              <w:jc w:val="left"/>
            </w:pPr>
            <w:r>
              <w:t xml:space="preserve">A Kind Tractor Ltd, ABN</w:t>
            </w:r>
            <w:r>
              <w:t xml:space="preserve"> </w:t>
            </w:r>
            <w:r>
              <w:rPr>
                <w:b/>
              </w:rPr>
              <w:t xml:space="preserve">73 669 029 341</w:t>
            </w:r>
            <w:r>
              <w:t xml:space="preserve"> </w:t>
            </w:r>
            <w:r>
              <w:t xml:space="preserve">(to be confirmed)</w:t>
            </w:r>
          </w:p>
        </w:tc>
        <w:tc>
          <w:p>
            <w:pPr>
              <w:pStyle w:val="Compact"/>
              <w:jc w:val="left"/>
            </w:pPr>
            <w:r>
              <w:t xml:space="preserve">Dormant and not used. Not the trading entity, not the charity, not a DGR pathway.</w:t>
            </w:r>
          </w:p>
        </w:tc>
        <w:tc>
          <w:p>
            <w:pPr>
              <w:pStyle w:val="Compact"/>
              <w:jc w:val="left"/>
            </w:pPr>
            <w:r>
              <w:t xml:space="preserve">Must never be presented as the Goods entity. A separate ABN appears in stale website code (see Section E) — that is a data error to fix, not a second valid number.</w:t>
            </w:r>
          </w:p>
        </w:tc>
      </w:tr>
      <w:tr>
        <w:tc>
          <w:p>
            <w:pPr>
              <w:pStyle w:val="Compact"/>
              <w:jc w:val="left"/>
            </w:pPr>
            <w:r>
              <w:rPr>
                <w:b/>
              </w:rPr>
              <w:t xml:space="preserve">Future — community-owned production</w:t>
            </w:r>
          </w:p>
        </w:tc>
        <w:tc>
          <w:p>
            <w:pPr>
              <w:pStyle w:val="Compact"/>
              <w:jc w:val="left"/>
            </w:pPr>
            <w:r>
              <w:t xml:space="preserve">Aboriginal-controlled or locally owned production entity (legal form not yet chosen)</w:t>
            </w:r>
          </w:p>
        </w:tc>
        <w:tc>
          <w:p>
            <w:pPr>
              <w:pStyle w:val="Compact"/>
              <w:jc w:val="left"/>
            </w:pPr>
            <w:r>
              <w:rPr>
                <w:b/>
              </w:rPr>
              <w:t xml:space="preserve">Not yet established.</w:t>
            </w:r>
            <w:r>
              <w:t xml:space="preserve"> </w:t>
            </w:r>
            <w:r>
              <w:t xml:space="preserve">Strategic direction only.</w:t>
            </w:r>
          </w:p>
        </w:tc>
        <w:tc>
          <w:p>
            <w:pPr>
              <w:pStyle w:val="Compact"/>
              <w:jc w:val="left"/>
            </w:pPr>
            <w:r>
              <w:t xml:space="preserve">The intended long-term owner of on-Country collection, production, repair and sales. A 51%+ First Nations-owned operating entity is also a procurement precondition (Section C). Do not describe any community-ownership transfer as complete.</w:t>
            </w:r>
          </w:p>
        </w:tc>
      </w:tr>
    </w:tbl>
    <w:p>
      <w:r>
        <w:pict>
          <v:rect style="width:0;height:1.5pt" o:hralign="center" o:hrstd="t" o:hr="t"/>
        </w:pict>
      </w:r>
    </w:p>
    <w:p>
      <w:pPr>
        <w:pStyle w:val="Heading2"/>
      </w:pPr>
      <w:bookmarkStart w:id="159" w:name="X2f015942a2064b133d3fded282440d8a1416815"/>
      <w:r>
        <w:t xml:space="preserve">C. Open questions for Keith Rovers (MinterEllison)</w:t>
      </w:r>
      <w:bookmarkEnd w:id="159"/>
    </w:p>
    <w:p>
      <w:pPr>
        <w:pStyle w:val="FirstParagraph"/>
      </w:pPr>
      <w:r>
        <w:t xml:space="preserve">Each item below is unsettled and is phrased as a decision to confirm. The</w:t>
      </w:r>
      <w:r>
        <w:t xml:space="preserve"> </w:t>
      </w:r>
      <w:r>
        <w:t xml:space="preserve">“</w:t>
      </w:r>
      <w:r>
        <w:t xml:space="preserve">why it matters</w:t>
      </w:r>
      <w:r>
        <w:t xml:space="preserve">”</w:t>
      </w:r>
      <w:r>
        <w:t xml:space="preserve"> </w:t>
      </w:r>
      <w:r>
        <w:t xml:space="preserve">column is the consequence of getting it wrong.</w:t>
      </w:r>
    </w:p>
    <w:p>
      <w:pPr>
        <w:pStyle w:val="BodyText"/>
      </w:pPr>
      <w:r>
        <w:rPr>
          <w:b/>
        </w:rPr>
        <w:t xml:space="preserve">C.1 — Go-forward entity form beneath A Curious Tractor.</w:t>
      </w:r>
      <w:r>
        <w:t xml:space="preserve"> </w:t>
      </w:r>
      <w:r>
        <w:t xml:space="preserve">Should Goods on Country sit as (a) a trading name of A Curious Tractor Pty Ltd, (b) a separate subsidiary company, (c) a company limited by guarantee, or (d) a hybrid?</w:t>
      </w:r>
      <w:r>
        <w:t xml:space="preserve"> </w:t>
      </w:r>
      <w:r>
        <w:rPr>
          <w:i/>
        </w:rPr>
        <w:t xml:space="preserve">Why it matters:</w:t>
      </w:r>
      <w:r>
        <w:t xml:space="preserve"> </w:t>
      </w:r>
      <w:r>
        <w:t xml:space="preserve">this determines whether liability, accounts and a future fiduciary board can be cleanly separated from the wider A Curious Tractor activity, which in turn affects investor and lender readiness (the SEFA working-capital line is gated on an independent-majority fiduciary board).</w:t>
      </w:r>
    </w:p>
    <w:p>
      <w:pPr>
        <w:pStyle w:val="BodyText"/>
      </w:pPr>
      <w:r>
        <w:rPr>
          <w:b/>
        </w:rPr>
        <w:t xml:space="preserve">C.2 — Legal form of the community-production entity.</w:t>
      </w:r>
      <w:r>
        <w:t xml:space="preserve"> </w:t>
      </w:r>
      <w:r>
        <w:t xml:space="preserve">What is the right vehicle for on-Country production owned by Aboriginal-controlled or locally owned entities (e.g. ORIC corporation, co-operative, Pty Ltd with community shareholders, licence/franchise to a local entity)?</w:t>
      </w:r>
      <w:r>
        <w:t xml:space="preserve"> </w:t>
      </w:r>
      <w:r>
        <w:rPr>
          <w:i/>
        </w:rPr>
        <w:t xml:space="preserve">Why it matters:</w:t>
      </w:r>
      <w:r>
        <w:t xml:space="preserve"> </w:t>
      </w:r>
      <w:r>
        <w:t xml:space="preserve">this is the structure that makes</w:t>
      </w:r>
      <w:r>
        <w:t xml:space="preserve"> </w:t>
      </w:r>
      <w:r>
        <w:t xml:space="preserve">“</w:t>
      </w:r>
      <w:r>
        <w:t xml:space="preserve">community ownership</w:t>
      </w:r>
      <w:r>
        <w:t xml:space="preserve">”</w:t>
      </w:r>
      <w:r>
        <w:t xml:space="preserve"> </w:t>
      </w:r>
      <w:r>
        <w:t xml:space="preserve">real rather than rhetorical. It also intersects with the</w:t>
      </w:r>
      <w:r>
        <w:t xml:space="preserve"> </w:t>
      </w:r>
      <w:r>
        <w:rPr>
          <w:b/>
        </w:rPr>
        <w:t xml:space="preserve">Supply Nation 51% precondition</w:t>
      </w:r>
      <w:r>
        <w:t xml:space="preserve"> </w:t>
      </w:r>
      <w:r>
        <w:t xml:space="preserve">below — the chosen vehicle has to be capable of being 51%+ First Nations-owned.</w:t>
      </w:r>
    </w:p>
    <w:p>
      <w:pPr>
        <w:pStyle w:val="BodyText"/>
      </w:pPr>
      <w:r>
        <w:rPr>
          <w:b/>
        </w:rPr>
        <w:t xml:space="preserve">C.3 — Contracting party / applicant / seller of record during the migration.</w:t>
      </w:r>
      <w:r>
        <w:t xml:space="preserve"> </w:t>
      </w:r>
      <w:r>
        <w:t xml:space="preserve">While trading moves from the sole trader to A Curious Tractor Pty Ltd this FY, which entity is (a) the grant applicant per grant, (b) the seller of record for Stripe and institutional buyer contracts, and (c) the party that gives product warranties and carries product liability — and on what date does each switch?</w:t>
      </w:r>
      <w:r>
        <w:t xml:space="preserve"> </w:t>
      </w:r>
      <w:r>
        <w:rPr>
          <w:i/>
        </w:rPr>
        <w:t xml:space="preserve">Why it matters:</w:t>
      </w:r>
      <w:r>
        <w:t xml:space="preserve"> </w:t>
      </w:r>
      <w:r>
        <w:t xml:space="preserve">match eligibility and clean contracting. A grant or contract signed by the wrong entity, or an ambiguous seller of record, creates problems for funders’ due diligence and for any later novation.</w:t>
      </w:r>
    </w:p>
    <w:p>
      <w:pPr>
        <w:pStyle w:val="BodyText"/>
      </w:pPr>
      <w:r>
        <w:rPr>
          <w:b/>
        </w:rPr>
        <w:t xml:space="preserve">C.4 — Supply Nation 51% First Nations-ownership precondition.</w:t>
      </w:r>
      <w:r>
        <w:t xml:space="preserve"> </w:t>
      </w:r>
      <w:r>
        <w:t xml:space="preserve">What entity structure achieves 51%+ First Nations ownership of the operating entity, and on what timeline?</w:t>
      </w:r>
      <w:r>
        <w:t xml:space="preserve"> </w:t>
      </w:r>
      <w:r>
        <w:rPr>
          <w:i/>
        </w:rPr>
        <w:t xml:space="preserve">Why it matters:</w:t>
      </w:r>
      <w:r>
        <w:t xml:space="preserve"> </w:t>
      </w:r>
      <w:r>
        <w:t xml:space="preserve">a 51%+ First Nations-owned operating entity is a precondition for Supply Nation certification and roughly four of the eight procurement channels Goods is targeting. The Indigenous Procurement Policy threshold tightens around 1 July 2026, so the timing is live.</w:t>
      </w:r>
    </w:p>
    <w:p>
      <w:pPr>
        <w:pStyle w:val="BodyText"/>
      </w:pPr>
      <w:r>
        <w:rPr>
          <w:b/>
        </w:rPr>
        <w:t xml:space="preserve">C.5 — Mission lock.</w:t>
      </w:r>
      <w:r>
        <w:t xml:space="preserve"> </w:t>
      </w:r>
      <w:r>
        <w:t xml:space="preserve">What mission-protection mechanism is credible and practical (purpose-lock constitution, asset lock, special/reserved rights for a community or Aboriginal-led body, B Corp or equivalent, a community-ownership deed)?</w:t>
      </w:r>
      <w:r>
        <w:t xml:space="preserve"> </w:t>
      </w:r>
      <w:r>
        <w:rPr>
          <w:i/>
        </w:rPr>
        <w:t xml:space="preserve">Why it matters:</w:t>
      </w:r>
      <w:r>
        <w:t xml:space="preserve"> </w:t>
      </w:r>
      <w:r>
        <w:t xml:space="preserve">there is currently</w:t>
      </w:r>
      <w:r>
        <w:t xml:space="preserve"> </w:t>
      </w:r>
      <w:r>
        <w:rPr>
          <w:b/>
        </w:rPr>
        <w:t xml:space="preserve">no formal mission lock</w:t>
      </w:r>
      <w:r>
        <w:t xml:space="preserve"> </w:t>
      </w:r>
      <w:r>
        <w:t xml:space="preserve">— protection is described by the team as</w:t>
      </w:r>
      <w:r>
        <w:t xml:space="preserve"> </w:t>
      </w:r>
      <w:r>
        <w:t xml:space="preserve">“</w:t>
      </w:r>
      <w:r>
        <w:t xml:space="preserve">cultural and relational</w:t>
      </w:r>
      <w:r>
        <w:t xml:space="preserve">”</w:t>
      </w:r>
      <w:r>
        <w:t xml:space="preserve"> </w:t>
      </w:r>
      <w:r>
        <w:t xml:space="preserve">only, which the team itself says is</w:t>
      </w:r>
      <w:r>
        <w:t xml:space="preserve"> </w:t>
      </w:r>
      <w:r>
        <w:t xml:space="preserve">“</w:t>
      </w:r>
      <w:r>
        <w:t xml:space="preserve">not enough to carry larger capital.</w:t>
      </w:r>
      <w:r>
        <w:t xml:space="preserve">”</w:t>
      </w:r>
      <w:r>
        <w:t xml:space="preserve"> </w:t>
      </w:r>
      <w:r>
        <w:t xml:space="preserve">A funder or lender providing six-figure catalytic or concessional capital will reasonably ask what stops the purpose drifting; today there is no legal answer.</w:t>
      </w:r>
    </w:p>
    <w:p>
      <w:pPr>
        <w:pStyle w:val="BodyText"/>
      </w:pPr>
      <w:r>
        <w:rPr>
          <w:b/>
        </w:rPr>
        <w:t xml:space="preserve">C.6 — Donor tax-deductibility timing and the related-party boundary.</w:t>
      </w:r>
      <w:r>
        <w:t xml:space="preserve"> </w:t>
      </w:r>
      <w:r>
        <w:t xml:space="preserve">From what date can a donor to this work receive a tax-deductible (DGR) receipt through The Butterfly Movement Ltd, and what related-party agreement governs Butterfly funding or buying from the trading entity?</w:t>
      </w:r>
      <w:r>
        <w:t xml:space="preserve"> </w:t>
      </w:r>
      <w:r>
        <w:rPr>
          <w:i/>
        </w:rPr>
        <w:t xml:space="preserve">Why it matters:</w:t>
      </w:r>
      <w:r>
        <w:t xml:space="preserve"> </w:t>
      </w:r>
      <w:r>
        <w:t xml:space="preserve">the DGR pathway is not live today, so any</w:t>
      </w:r>
      <w:r>
        <w:t xml:space="preserve"> </w:t>
      </w:r>
      <w:r>
        <w:t xml:space="preserve">“</w:t>
      </w:r>
      <w:r>
        <w:t xml:space="preserve">tax-deductible</w:t>
      </w:r>
      <w:r>
        <w:t xml:space="preserve">”</w:t>
      </w:r>
      <w:r>
        <w:t xml:space="preserve"> </w:t>
      </w:r>
      <w:r>
        <w:t xml:space="preserve">claim is premature until Butterfly’s FY2026-27 handover and related-party safeguards are complete. Getting the boundary wrong creates both a compliance risk for the charity and an overclaim risk in public copy.</w:t>
      </w:r>
    </w:p>
    <w:p>
      <w:r>
        <w:pict>
          <v:rect style="width:0;height:1.5pt" o:hralign="center" o:hrstd="t" o:hr="t"/>
        </w:pict>
      </w:r>
    </w:p>
    <w:p>
      <w:pPr>
        <w:pStyle w:val="Heading2"/>
      </w:pPr>
      <w:bookmarkStart w:id="160" w:name="X5c1ad690ff1a24c5571fd7658c045be6249b3d9"/>
      <w:r>
        <w:t xml:space="preserve">D. Do-not-say checklist (public-copy risk rules — Area 09)</w:t>
      </w:r>
      <w:bookmarkEnd w:id="160"/>
    </w:p>
    <w:p>
      <w:pPr>
        <w:pStyle w:val="FirstParagraph"/>
      </w:pPr>
      <w:r>
        <w:t xml:space="preserve">Honour all of these in any externally-facing use. Drawn from the live QBE tracker and the Area 09 review.</w:t>
      </w:r>
    </w:p>
    <w:p>
      <w:pPr>
        <w:numPr>
          <w:ilvl w:val="0"/>
          <w:numId w:val="1032"/>
        </w:numPr>
        <w:pStyle w:val="Compact"/>
      </w:pPr>
      <w:r>
        <w:t xml:space="preserve">☐</w:t>
      </w:r>
      <w:r>
        <w:t xml:space="preserve"> </w:t>
      </w:r>
      <w:r>
        <w:rPr>
          <w:b/>
        </w:rPr>
        <w:t xml:space="preserve">Do not</w:t>
      </w:r>
      <w:r>
        <w:t xml:space="preserve"> </w:t>
      </w:r>
      <w:r>
        <w:t xml:space="preserve">say Goods on Country (or A Curious Tractor, or the sole trader, or A Kind Tractor) is a registered charity, is DGR, or that gifts to it are tax-deductible. DGR is only via The Butterfly Movement Ltd, and only from FY2026-27.</w:t>
      </w:r>
    </w:p>
    <w:p>
      <w:pPr>
        <w:numPr>
          <w:ilvl w:val="0"/>
          <w:numId w:val="1032"/>
        </w:numPr>
        <w:pStyle w:val="Compact"/>
      </w:pPr>
      <w:r>
        <w:t xml:space="preserve">☐</w:t>
      </w:r>
      <w:r>
        <w:t xml:space="preserve"> </w:t>
      </w:r>
      <w:r>
        <w:rPr>
          <w:b/>
        </w:rPr>
        <w:t xml:space="preserve">Do not</w:t>
      </w:r>
      <w:r>
        <w:t xml:space="preserve"> </w:t>
      </w:r>
      <w:r>
        <w:t xml:space="preserve">describe the DGR/charitable pathway as live today. It becomes operational from FY2026-27 (~1 July 2026); donors cannot tax-receipt this work yet.</w:t>
      </w:r>
    </w:p>
    <w:p>
      <w:pPr>
        <w:numPr>
          <w:ilvl w:val="0"/>
          <w:numId w:val="1032"/>
        </w:numPr>
        <w:pStyle w:val="Compact"/>
      </w:pPr>
      <w:r>
        <w:t xml:space="preserve">☐</w:t>
      </w:r>
      <w:r>
        <w:t xml:space="preserve"> </w:t>
      </w:r>
      <w:r>
        <w:rPr>
          <w:b/>
        </w:rPr>
        <w:t xml:space="preserve">Do not</w:t>
      </w:r>
      <w:r>
        <w:t xml:space="preserve"> </w:t>
      </w:r>
      <w:r>
        <w:t xml:space="preserve">blur the three roles — keep</w:t>
      </w:r>
      <w:r>
        <w:t xml:space="preserve"> </w:t>
      </w:r>
      <w:r>
        <w:t xml:space="preserve">“</w:t>
      </w:r>
      <w:r>
        <w:t xml:space="preserve">sole trader trades today</w:t>
      </w:r>
      <w:r>
        <w:t xml:space="preserve">”</w:t>
      </w:r>
      <w:r>
        <w:t xml:space="preserve">,</w:t>
      </w:r>
      <w:r>
        <w:t xml:space="preserve"> </w:t>
      </w:r>
      <w:r>
        <w:t xml:space="preserve">“</w:t>
      </w:r>
      <w:r>
        <w:t xml:space="preserve">A Curious Tractor Pty Ltd is the go-forward trading company</w:t>
      </w:r>
      <w:r>
        <w:t xml:space="preserve">”</w:t>
      </w:r>
      <w:r>
        <w:t xml:space="preserve">, and</w:t>
      </w:r>
      <w:r>
        <w:t xml:space="preserve"> </w:t>
      </w:r>
      <w:r>
        <w:t xml:space="preserve">“</w:t>
      </w:r>
      <w:r>
        <w:t xml:space="preserve">The Butterfly Movement Ltd is the charity/DGR home</w:t>
      </w:r>
      <w:r>
        <w:t xml:space="preserve">”</w:t>
      </w:r>
      <w:r>
        <w:t xml:space="preserve"> </w:t>
      </w:r>
      <w:r>
        <w:t xml:space="preserve">as three distinct statements.</w:t>
      </w:r>
    </w:p>
    <w:p>
      <w:pPr>
        <w:numPr>
          <w:ilvl w:val="0"/>
          <w:numId w:val="1032"/>
        </w:numPr>
        <w:pStyle w:val="Compact"/>
      </w:pPr>
      <w:r>
        <w:t xml:space="preserve">☐</w:t>
      </w:r>
      <w:r>
        <w:t xml:space="preserve"> </w:t>
      </w:r>
      <w:r>
        <w:rPr>
          <w:b/>
        </w:rPr>
        <w:t xml:space="preserve">Do not</w:t>
      </w:r>
      <w:r>
        <w:t xml:space="preserve"> </w:t>
      </w:r>
      <w:r>
        <w:t xml:space="preserve">present A Kind Tractor Ltd as the Goods entity, the charity, or a DGR pathway. It is dormant and not used.</w:t>
      </w:r>
    </w:p>
    <w:p>
      <w:pPr>
        <w:numPr>
          <w:ilvl w:val="0"/>
          <w:numId w:val="1032"/>
        </w:numPr>
        <w:pStyle w:val="Compact"/>
      </w:pPr>
      <w:r>
        <w:t xml:space="preserve">☐</w:t>
      </w:r>
      <w:r>
        <w:t xml:space="preserve"> </w:t>
      </w:r>
      <w:r>
        <w:rPr>
          <w:b/>
        </w:rPr>
        <w:t xml:space="preserve">Do not</w:t>
      </w:r>
      <w:r>
        <w:t xml:space="preserve"> </w:t>
      </w:r>
      <w:r>
        <w:t xml:space="preserve">promise community-ownership transfer as complete. It is a direction being worked toward; the legal form is not yet chosen. Use</w:t>
      </w:r>
      <w:r>
        <w:t xml:space="preserve"> </w:t>
      </w:r>
      <w:r>
        <w:t xml:space="preserve">“</w:t>
      </w:r>
      <w:r>
        <w:t xml:space="preserve">working toward</w:t>
      </w:r>
      <w:r>
        <w:t xml:space="preserve">”</w:t>
      </w:r>
      <w:r>
        <w:t xml:space="preserve">, not</w:t>
      </w:r>
      <w:r>
        <w:t xml:space="preserve"> </w:t>
      </w:r>
      <w:r>
        <w:t xml:space="preserve">“</w:t>
      </w:r>
      <w:r>
        <w:t xml:space="preserve">we transfer</w:t>
      </w:r>
      <w:r>
        <w:t xml:space="preserve">”</w:t>
      </w:r>
      <w:r>
        <w:t xml:space="preserve">.</w:t>
      </w:r>
    </w:p>
    <w:p>
      <w:pPr>
        <w:numPr>
          <w:ilvl w:val="0"/>
          <w:numId w:val="1032"/>
        </w:numPr>
        <w:pStyle w:val="Compact"/>
      </w:pPr>
      <w:r>
        <w:t xml:space="preserve">☐</w:t>
      </w:r>
      <w:r>
        <w:t xml:space="preserve"> </w:t>
      </w:r>
      <w:r>
        <w:rPr>
          <w:b/>
        </w:rPr>
        <w:t xml:space="preserve">Do not</w:t>
      </w:r>
      <w:r>
        <w:t xml:space="preserve"> </w:t>
      </w:r>
      <w:r>
        <w:t xml:space="preserve">state that a 51%+ First Nations-owned operating entity already exists. It is a precondition being designed, not a current fact.</w:t>
      </w:r>
    </w:p>
    <w:p>
      <w:pPr>
        <w:numPr>
          <w:ilvl w:val="0"/>
          <w:numId w:val="1032"/>
        </w:numPr>
        <w:pStyle w:val="Compact"/>
      </w:pPr>
      <w:r>
        <w:t xml:space="preserve">☐</w:t>
      </w:r>
      <w:r>
        <w:t xml:space="preserve"> </w:t>
      </w:r>
      <w:r>
        <w:rPr>
          <w:b/>
        </w:rPr>
        <w:t xml:space="preserve">Do not</w:t>
      </w:r>
      <w:r>
        <w:t xml:space="preserve"> </w:t>
      </w:r>
      <w:r>
        <w:t xml:space="preserve">imply a mature Goods subsidiary, CLG or hybrid exists beneath A Curious Tractor. The sub-entity form is undecided.</w:t>
      </w:r>
    </w:p>
    <w:p>
      <w:pPr>
        <w:numPr>
          <w:ilvl w:val="0"/>
          <w:numId w:val="1032"/>
        </w:numPr>
        <w:pStyle w:val="Compact"/>
      </w:pPr>
      <w:r>
        <w:t xml:space="preserve">☐</w:t>
      </w:r>
      <w:r>
        <w:t xml:space="preserve"> </w:t>
      </w:r>
      <w:r>
        <w:rPr>
          <w:b/>
        </w:rPr>
        <w:t xml:space="preserve">Do not</w:t>
      </w:r>
      <w:r>
        <w:t xml:space="preserve"> </w:t>
      </w:r>
      <w:r>
        <w:t xml:space="preserve">publish an ABN or ACN on public pages, or in a grant/contract field, until Section E is confirmed by founder/legal and the contracting-party wording is approved.</w:t>
      </w:r>
    </w:p>
    <w:p>
      <w:pPr>
        <w:numPr>
          <w:ilvl w:val="0"/>
          <w:numId w:val="1032"/>
        </w:numPr>
        <w:pStyle w:val="Compact"/>
      </w:pPr>
      <w:r>
        <w:t xml:space="preserve">☐</w:t>
      </w:r>
      <w:r>
        <w:t xml:space="preserve"> </w:t>
      </w:r>
      <w:r>
        <w:rPr>
          <w:b/>
        </w:rPr>
        <w:t xml:space="preserve">Do not</w:t>
      </w:r>
      <w:r>
        <w:t xml:space="preserve"> </w:t>
      </w:r>
      <w:r>
        <w:t xml:space="preserve">reuse the legacy code/site phrases</w:t>
      </w:r>
      <w:r>
        <w:t xml:space="preserve"> </w:t>
      </w:r>
      <w:r>
        <w:t xml:space="preserve">“</w:t>
      </w:r>
      <w:r>
        <w:t xml:space="preserve">We don’t license. We transfer</w:t>
      </w:r>
      <w:r>
        <w:t xml:space="preserve">”</w:t>
      </w:r>
      <w:r>
        <w:t xml:space="preserve">,</w:t>
      </w:r>
      <w:r>
        <w:t xml:space="preserve"> </w:t>
      </w:r>
      <w:r>
        <w:t xml:space="preserve">“</w:t>
      </w:r>
      <w:r>
        <w:t xml:space="preserve">ACT is a registered charity</w:t>
      </w:r>
      <w:r>
        <w:t xml:space="preserve">”</w:t>
      </w:r>
      <w:r>
        <w:t xml:space="preserve">,</w:t>
      </w:r>
      <w:r>
        <w:t xml:space="preserve"> </w:t>
      </w:r>
      <w:r>
        <w:t xml:space="preserve">“</w:t>
      </w:r>
      <w:r>
        <w:t xml:space="preserve">DGR1 status</w:t>
      </w:r>
      <w:r>
        <w:t xml:space="preserve">”</w:t>
      </w:r>
      <w:r>
        <w:t xml:space="preserve"> </w:t>
      </w:r>
      <w:r>
        <w:t xml:space="preserve">(as a Goods claim), or</w:t>
      </w:r>
      <w:r>
        <w:t xml:space="preserve"> </w:t>
      </w:r>
      <w:r>
        <w:t xml:space="preserve">“</w:t>
      </w:r>
      <w:r>
        <w:t xml:space="preserve">40% community share</w:t>
      </w:r>
      <w:r>
        <w:t xml:space="preserve">”</w:t>
      </w:r>
      <w:r>
        <w:t xml:space="preserve"> </w:t>
      </w:r>
      <w:r>
        <w:t xml:space="preserve">(as if committed). All are stale or overclaimed.</w:t>
      </w:r>
    </w:p>
    <w:p>
      <w:r>
        <w:pict>
          <v:rect style="width:0;height:1.5pt" o:hralign="center" o:hrstd="t" o:hr="t"/>
        </w:pict>
      </w:r>
    </w:p>
    <w:p>
      <w:pPr>
        <w:pStyle w:val="Heading2"/>
      </w:pPr>
      <w:bookmarkStart w:id="161" w:name="e.-verification-flags"/>
      <w:r>
        <w:t xml:space="preserve">E. Verification flags</w:t>
      </w:r>
      <w:bookmarkEnd w:id="161"/>
    </w:p>
    <w:p>
      <w:pPr>
        <w:pStyle w:val="FirstParagraph"/>
      </w:pPr>
      <w:r>
        <w:t xml:space="preserve">Every registration number and date used in this document is listed here and marked for confirmation.</w:t>
      </w:r>
      <w:r>
        <w:t xml:space="preserve"> </w:t>
      </w:r>
      <w:r>
        <w:rPr>
          <w:b/>
        </w:rPr>
        <w:t xml:space="preserve">No number below is to be treated as final until the founder and/or legal confirm it.</w:t>
      </w:r>
      <w:r>
        <w:t xml:space="preserve"> </w:t>
      </w:r>
      <w:r>
        <w:t xml:space="preserve">This list exists so nobody downstream treats an unverified ACN/ABN as gospel.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 used in this doc</w:t>
            </w:r>
          </w:p>
        </w:tc>
        <w:tc>
          <w:tcPr>
            <w:tcBorders>
              <w:bottom w:val="single"/>
            </w:tcBorders>
            <w:vAlign w:val="bottom"/>
          </w:tcPr>
          <w:p>
            <w:pPr>
              <w:pStyle w:val="Compact"/>
              <w:jc w:val="left"/>
            </w:pPr>
            <w:r>
              <w:t xml:space="preserve">Source as cited in the pack</w:t>
            </w:r>
          </w:p>
        </w:tc>
        <w:tc>
          <w:tcPr>
            <w:tcBorders>
              <w:bottom w:val="single"/>
            </w:tcBorders>
            <w:vAlign w:val="bottom"/>
          </w:tcPr>
          <w:p>
            <w:pPr>
              <w:pStyle w:val="Compact"/>
              <w:jc w:val="left"/>
            </w:pPr>
            <w:r>
              <w:t xml:space="preserve">Flag</w:t>
            </w:r>
          </w:p>
        </w:tc>
      </w:tr>
      <w:tr>
        <w:tc>
          <w:p>
            <w:pPr>
              <w:pStyle w:val="Compact"/>
              <w:jc w:val="left"/>
            </w:pPr>
            <w:r>
              <w:t xml:space="preserve">Nicholas Marchesi sole-trader ABN</w:t>
            </w:r>
          </w:p>
        </w:tc>
        <w:tc>
          <w:p>
            <w:pPr>
              <w:pStyle w:val="Compact"/>
              <w:jc w:val="left"/>
            </w:pPr>
            <w:r>
              <w:rPr>
                <w:b/>
              </w:rPr>
              <w:t xml:space="preserve">21 591 780 066</w:t>
            </w:r>
          </w:p>
        </w:tc>
        <w:tc>
          <w:p>
            <w:pPr>
              <w:pStyle w:val="Compact"/>
              <w:jc w:val="left"/>
            </w:pPr>
            <w:r>
              <w:t xml:space="preserve">Master alignment map §7; governance/legal-structure.md; Area 09 full review (confirmed entity facts, 29 May 2026)</w:t>
            </w:r>
          </w:p>
        </w:tc>
        <w:tc>
          <w:p>
            <w:pPr>
              <w:pStyle w:val="Compact"/>
              <w:jc w:val="left"/>
            </w:pPr>
            <w:r>
              <w:rPr>
                <w:b/>
              </w:rPr>
              <w:t xml:space="preserve">To be confirmed by founder/legal.</w:t>
            </w:r>
            <w:r>
              <w:t xml:space="preserve"> </w:t>
            </w:r>
            <w:r>
              <w:t xml:space="preserve">Xero org type</w:t>
            </w:r>
            <w:r>
              <w:t xml:space="preserve"> </w:t>
            </w:r>
            <w:r>
              <w:t xml:space="preserve">“</w:t>
            </w:r>
            <w:r>
              <w:t xml:space="preserve">individual</w:t>
            </w:r>
            <w:r>
              <w:t xml:space="preserve">”</w:t>
            </w:r>
            <w:r>
              <w:t xml:space="preserve">, verified 1 Jun 2026. Numerically consistent across pack sources.</w:t>
            </w:r>
          </w:p>
        </w:tc>
      </w:tr>
      <w:tr>
        <w:tc>
          <w:p>
            <w:pPr>
              <w:pStyle w:val="Compact"/>
              <w:jc w:val="left"/>
            </w:pPr>
            <w:r>
              <w:t xml:space="preserve">A Curious Tractor Pty Ltd ACN</w:t>
            </w:r>
          </w:p>
        </w:tc>
        <w:tc>
          <w:p>
            <w:pPr>
              <w:pStyle w:val="Compact"/>
              <w:jc w:val="left"/>
            </w:pPr>
            <w:r>
              <w:rPr>
                <w:b/>
              </w:rPr>
              <w:t xml:space="preserve">697 347 676</w:t>
            </w:r>
          </w:p>
        </w:tc>
        <w:tc>
          <w:p>
            <w:pPr>
              <w:pStyle w:val="Compact"/>
              <w:jc w:val="left"/>
            </w:pPr>
            <w:r>
              <w:t xml:space="preserve">Master alignment map §7; enterprise/09; Area 09 full review</w:t>
            </w:r>
          </w:p>
        </w:tc>
        <w:tc>
          <w:p>
            <w:pPr>
              <w:pStyle w:val="Compact"/>
              <w:jc w:val="left"/>
            </w:pPr>
            <w:r>
              <w:rPr>
                <w:b/>
              </w:rPr>
              <w:t xml:space="preserve">To be confirmed by founder/legal.</w:t>
            </w:r>
            <w:r>
              <w:t xml:space="preserve"> </w:t>
            </w:r>
            <w:r>
              <w:t xml:space="preserve">Consistent across pack sources.</w:t>
            </w:r>
          </w:p>
        </w:tc>
      </w:tr>
      <w:tr>
        <w:tc>
          <w:p>
            <w:pPr>
              <w:pStyle w:val="Compact"/>
              <w:jc w:val="left"/>
            </w:pPr>
            <w:r>
              <w:t xml:space="preserve">A Curious Tractor Pty Ltd ABN</w:t>
            </w:r>
          </w:p>
        </w:tc>
        <w:tc>
          <w:p>
            <w:pPr>
              <w:pStyle w:val="Compact"/>
              <w:jc w:val="left"/>
            </w:pPr>
            <w:r>
              <w:rPr>
                <w:b/>
              </w:rPr>
              <w:t xml:space="preserve">Not captured — intentionally omitted</w:t>
            </w:r>
          </w:p>
        </w:tc>
        <w:tc>
          <w:p>
            <w:pPr>
              <w:pStyle w:val="Compact"/>
              <w:jc w:val="left"/>
            </w:pPr>
            <w:r>
              <w:t xml:space="preserve">Area 09 full review explicitly notes</w:t>
            </w:r>
            <w:r>
              <w:t xml:space="preserve"> </w:t>
            </w:r>
            <w:r>
              <w:t xml:space="preserve">“</w:t>
            </w:r>
            <w:r>
              <w:t xml:space="preserve">only the ACN is captured; the ABN … still to be confirmed</w:t>
            </w:r>
            <w:r>
              <w:t xml:space="preserve">”</w:t>
            </w:r>
          </w:p>
        </w:tc>
        <w:tc>
          <w:p>
            <w:pPr>
              <w:pStyle w:val="Compact"/>
              <w:jc w:val="left"/>
            </w:pPr>
            <w:r>
              <w:rPr>
                <w:b/>
              </w:rPr>
              <w:t xml:space="preserve">Missing by design — do NOT invent.</w:t>
            </w:r>
            <w:r>
              <w:t xml:space="preserve"> </w:t>
            </w:r>
            <w:r>
              <w:t xml:space="preserve">This is open legal question C.3. The ABN-to-be-confirmed placeholders in Sections A.3 and A.4 must stay as placeholders until legal supplies the real value.</w:t>
            </w:r>
          </w:p>
        </w:tc>
      </w:tr>
      <w:tr>
        <w:tc>
          <w:p>
            <w:pPr>
              <w:pStyle w:val="Compact"/>
              <w:jc w:val="left"/>
            </w:pPr>
            <w:r>
              <w:t xml:space="preserve">A Curious Tractor final trading-name registration (</w:t>
            </w:r>
            <w:r>
              <w:t xml:space="preserve">“</w:t>
            </w:r>
            <w:r>
              <w:t xml:space="preserve">Goods on Country</w:t>
            </w:r>
            <w:r>
              <w:t xml:space="preserve">”</w:t>
            </w:r>
            <w:r>
              <w:t xml:space="preserve">)</w:t>
            </w:r>
          </w:p>
        </w:tc>
        <w:tc>
          <w:p>
            <w:pPr>
              <w:pStyle w:val="Compact"/>
              <w:jc w:val="left"/>
            </w:pPr>
            <w:r>
              <w:t xml:space="preserve">Form not confirmed</w:t>
            </w:r>
          </w:p>
        </w:tc>
        <w:tc>
          <w:p>
            <w:pPr>
              <w:pStyle w:val="Compact"/>
              <w:jc w:val="left"/>
            </w:pPr>
            <w:r>
              <w:t xml:space="preserve">Area 09 full review open question 1</w:t>
            </w:r>
          </w:p>
        </w:tc>
        <w:tc>
          <w:p>
            <w:pPr>
              <w:pStyle w:val="Compact"/>
              <w:jc w:val="left"/>
            </w:pPr>
            <w:r>
              <w:rPr>
                <w:b/>
              </w:rPr>
              <w:t xml:space="preserve">To be confirmed by founder/legal.</w:t>
            </w:r>
          </w:p>
        </w:tc>
      </w:tr>
      <w:tr>
        <w:tc>
          <w:p>
            <w:pPr>
              <w:pStyle w:val="Compact"/>
              <w:jc w:val="left"/>
            </w:pPr>
            <w:r>
              <w:t xml:space="preserve">The Butterfly Movement Ltd — DGR / ACNC status</w:t>
            </w:r>
          </w:p>
        </w:tc>
        <w:tc>
          <w:p>
            <w:pPr>
              <w:pStyle w:val="Compact"/>
              <w:jc w:val="left"/>
            </w:pPr>
            <w:r>
              <w:t xml:space="preserve">“</w:t>
            </w:r>
            <w:r>
              <w:t xml:space="preserve">ACNC-registered, Item 1 DGR</w:t>
            </w:r>
            <w:r>
              <w:t xml:space="preserve">”</w:t>
            </w:r>
          </w:p>
        </w:tc>
        <w:tc>
          <w:p>
            <w:pPr>
              <w:pStyle w:val="Compact"/>
              <w:jc w:val="left"/>
            </w:pPr>
            <w:r>
              <w:t xml:space="preserve">Master map §7; Area 09 full review (ABN Lookup extract 6 May 2026: active, ACNC, PBI, Item 1 DGR)</w:t>
            </w:r>
          </w:p>
        </w:tc>
        <w:tc>
          <w:p>
            <w:pPr>
              <w:pStyle w:val="Compact"/>
              <w:jc w:val="left"/>
            </w:pPr>
            <w:r>
              <w:rPr>
                <w:b/>
              </w:rPr>
              <w:t xml:space="preserve">To be confirmed by legal.</w:t>
            </w:r>
            <w:r>
              <w:t xml:space="preserve"> </w:t>
            </w:r>
            <w:r>
              <w:t xml:space="preserve">Status descriptor is used; see ABN row below regarding the registration number.</w:t>
            </w:r>
          </w:p>
        </w:tc>
      </w:tr>
      <w:tr>
        <w:tc>
          <w:p>
            <w:pPr>
              <w:pStyle w:val="Compact"/>
              <w:jc w:val="left"/>
            </w:pPr>
            <w:r>
              <w:t xml:space="preserve">The Butterfly Movement Ltd — ABN</w:t>
            </w:r>
          </w:p>
        </w:tc>
        <w:tc>
          <w:p>
            <w:pPr>
              <w:pStyle w:val="Compact"/>
              <w:jc w:val="left"/>
            </w:pPr>
            <w:r>
              <w:rPr>
                <w:b/>
              </w:rPr>
              <w:t xml:space="preserve">Deliberately not stated in Sections A–D</w:t>
            </w:r>
          </w:p>
        </w:tc>
        <w:tc>
          <w:p>
            <w:pPr>
              <w:pStyle w:val="Compact"/>
              <w:jc w:val="left"/>
            </w:pPr>
            <w:r>
              <w:t xml:space="preserve">The Area 09 full review cites ABN 22 155 132 684 from an internal ABN Lookup extract (6 May 2026). The founder’s verified-facts brief for this document did</w:t>
            </w:r>
            <w:r>
              <w:t xml:space="preserve"> </w:t>
            </w:r>
            <w:r>
              <w:rPr>
                <w:b/>
              </w:rPr>
              <w:t xml:space="preserve">not</w:t>
            </w:r>
            <w:r>
              <w:t xml:space="preserve"> </w:t>
            </w:r>
            <w:r>
              <w:t xml:space="preserve">include a Butterfly ABN.</w:t>
            </w:r>
          </w:p>
        </w:tc>
        <w:tc>
          <w:p>
            <w:pPr>
              <w:pStyle w:val="Compact"/>
              <w:jc w:val="left"/>
            </w:pPr>
            <w:r>
              <w:rPr>
                <w:b/>
              </w:rPr>
              <w:t xml:space="preserve">To be confirmed by founder/legal before any external use.</w:t>
            </w:r>
            <w:r>
              <w:t xml:space="preserve"> </w:t>
            </w:r>
            <w:r>
              <w:t xml:space="preserve">Because the brief did not pre-confirm this number, it is held back from the wording block rather than published. Decision for legal: confirm the correct Butterfly ABN/registration dates, then add to the relevant variants if needed.</w:t>
            </w:r>
          </w:p>
        </w:tc>
      </w:tr>
      <w:tr>
        <w:tc>
          <w:p>
            <w:pPr>
              <w:pStyle w:val="Compact"/>
              <w:jc w:val="left"/>
            </w:pPr>
            <w:r>
              <w:t xml:space="preserve">The Butterfly Movement Ltd — operational date for Goods</w:t>
            </w:r>
          </w:p>
        </w:tc>
        <w:tc>
          <w:p>
            <w:pPr>
              <w:pStyle w:val="Compact"/>
              <w:jc w:val="left"/>
            </w:pPr>
            <w:r>
              <w:t xml:space="preserve">“</w:t>
            </w:r>
            <w:r>
              <w:t xml:space="preserve">from FY2026-27 (~1 July 2026)</w:t>
            </w:r>
            <w:r>
              <w:t xml:space="preserve">”</w:t>
            </w:r>
          </w:p>
        </w:tc>
        <w:tc>
          <w:p>
            <w:pPr>
              <w:pStyle w:val="Compact"/>
              <w:jc w:val="left"/>
            </w:pPr>
            <w:r>
              <w:t xml:space="preserve">Master map §7; Area 09 full review; governance/legal-structure.md</w:t>
            </w:r>
          </w:p>
        </w:tc>
        <w:tc>
          <w:p>
            <w:pPr>
              <w:pStyle w:val="Compact"/>
              <w:jc w:val="left"/>
            </w:pPr>
            <w:r>
              <w:rPr>
                <w:b/>
              </w:rPr>
              <w:t xml:space="preserve">To be confirmed by founder/legal.</w:t>
            </w:r>
            <w:r>
              <w:t xml:space="preserve"> </w:t>
            </w:r>
            <w:r>
              <w:t xml:space="preserve">Tied to the Butterfly handover plan (board ~1 June, handover target 26 June, audited statements 1 October per the transition plan).</w:t>
            </w:r>
          </w:p>
        </w:tc>
      </w:tr>
      <w:tr>
        <w:tc>
          <w:p>
            <w:pPr>
              <w:pStyle w:val="Compact"/>
              <w:jc w:val="left"/>
            </w:pPr>
            <w:r>
              <w:t xml:space="preserve">TABOO Foundation as the gifting source for Butterfly</w:t>
            </w:r>
          </w:p>
        </w:tc>
        <w:tc>
          <w:p>
            <w:pPr>
              <w:pStyle w:val="Compact"/>
              <w:jc w:val="left"/>
            </w:pPr>
            <w:r>
              <w:t xml:space="preserve">Stated</w:t>
            </w:r>
          </w:p>
        </w:tc>
        <w:tc>
          <w:p>
            <w:pPr>
              <w:pStyle w:val="Compact"/>
              <w:jc w:val="left"/>
            </w:pPr>
            <w:r>
              <w:t xml:space="preserve">Master map §7; enterprise/09; Area 09 full review</w:t>
            </w:r>
          </w:p>
        </w:tc>
        <w:tc>
          <w:p>
            <w:pPr>
              <w:pStyle w:val="Compact"/>
              <w:jc w:val="left"/>
            </w:pPr>
            <w:r>
              <w:rPr>
                <w:b/>
              </w:rPr>
              <w:t xml:space="preserve">To be confirmed by founder/legal.</w:t>
            </w:r>
            <w:r>
              <w:t xml:space="preserve"> </w:t>
            </w:r>
            <w:r>
              <w:t xml:space="preserve">Pack describes TABOO as continuing as the same legal entity.</w:t>
            </w:r>
          </w:p>
        </w:tc>
      </w:tr>
      <w:tr>
        <w:tc>
          <w:p>
            <w:pPr>
              <w:pStyle w:val="Compact"/>
              <w:jc w:val="left"/>
            </w:pPr>
            <w:r>
              <w:t xml:space="preserve">A Kind Tractor Ltd — ABN</w:t>
            </w:r>
          </w:p>
        </w:tc>
        <w:tc>
          <w:p>
            <w:pPr>
              <w:pStyle w:val="Compact"/>
              <w:jc w:val="left"/>
            </w:pPr>
            <w:r>
              <w:rPr>
                <w:b/>
              </w:rPr>
              <w:t xml:space="preserve">73 669 029 341</w:t>
            </w:r>
          </w:p>
        </w:tc>
        <w:tc>
          <w:p>
            <w:pPr>
              <w:pStyle w:val="Compact"/>
              <w:jc w:val="left"/>
            </w:pPr>
            <w:r>
              <w:t xml:space="preserve">Master map §7 / enterprise/09 / governance/legal-structure.md / Area 09 full review all use 73 669 029 341</w:t>
            </w:r>
          </w:p>
        </w:tc>
        <w:tc>
          <w:p>
            <w:pPr>
              <w:pStyle w:val="Compact"/>
              <w:jc w:val="left"/>
            </w:pPr>
            <w:r>
              <w:rPr>
                <w:b/>
              </w:rPr>
              <w:t xml:space="preserve">To be confirmed by founder/legal — and note an active contradiction.</w:t>
            </w:r>
            <w:r>
              <w:t xml:space="preserve"> </w:t>
            </w:r>
            <w:r>
              <w:t xml:space="preserve">The Area 09 full review records that stale website code (</w:t>
            </w:r>
            <w:r>
              <w:rPr>
                <w:rStyle w:val="VerbatimChar"/>
              </w:rPr>
              <w:t xml:space="preserve">v2/src/lib/data/grant-content.ts</w:t>
            </w:r>
            <w:r>
              <w:t xml:space="preserve">) lists a</w:t>
            </w:r>
            <w:r>
              <w:t xml:space="preserve"> </w:t>
            </w:r>
            <w:r>
              <w:rPr>
                <w:i/>
              </w:rPr>
              <w:t xml:space="preserve">different</w:t>
            </w:r>
            <w:r>
              <w:t xml:space="preserve"> </w:t>
            </w:r>
            <w:r>
              <w:t xml:space="preserve">ABN,</w:t>
            </w:r>
            <w:r>
              <w:t xml:space="preserve"> </w:t>
            </w:r>
            <w:r>
              <w:rPr>
                <w:b/>
              </w:rPr>
              <w:t xml:space="preserve">50 001 350 152</w:t>
            </w:r>
            <w:r>
              <w:t xml:space="preserve">, with charity/DGR flags set true. That code value is flagged in the source as wrong on two counts (wrong entity, and A Kind Tractor is not DGR). This document uses 73 669 029 341 per instruction and treats the code value as a data error to be fixed, not a second valid number.</w:t>
            </w:r>
            <w:r>
              <w:t xml:space="preserve"> </w:t>
            </w:r>
            <w:r>
              <w:rPr>
                <w:b/>
              </w:rPr>
              <w:t xml:space="preserve">Recommend legal/founder confirm which ABN is correct and that the code is corrected.</w:t>
            </w:r>
          </w:p>
        </w:tc>
      </w:tr>
      <w:tr>
        <w:tc>
          <w:p>
            <w:pPr>
              <w:pStyle w:val="Compact"/>
              <w:jc w:val="left"/>
            </w:pPr>
            <w:r>
              <w:t xml:space="preserve">FY references</w:t>
            </w:r>
          </w:p>
        </w:tc>
        <w:tc>
          <w:p>
            <w:pPr>
              <w:pStyle w:val="Compact"/>
              <w:jc w:val="left"/>
            </w:pPr>
            <w:r>
              <w:t xml:space="preserve">FY2026-27, migration</w:t>
            </w:r>
            <w:r>
              <w:t xml:space="preserve"> </w:t>
            </w:r>
            <w:r>
              <w:t xml:space="preserve">“</w:t>
            </w:r>
            <w:r>
              <w:t xml:space="preserve">this financial year</w:t>
            </w:r>
            <w:r>
              <w:t xml:space="preserve">”</w:t>
            </w:r>
          </w:p>
        </w:tc>
        <w:tc>
          <w:p>
            <w:pPr>
              <w:pStyle w:val="Compact"/>
              <w:jc w:val="left"/>
            </w:pPr>
            <w:r>
              <w:t xml:space="preserve">All pack sources</w:t>
            </w:r>
          </w:p>
        </w:tc>
        <w:tc>
          <w:p>
            <w:pPr>
              <w:pStyle w:val="Compact"/>
              <w:jc w:val="left"/>
            </w:pPr>
            <w:r>
              <w:t xml:space="preserve">Australian financial year (Jul–Jun). Confirm the migration is intended to complete within FY2026-27.</w:t>
            </w:r>
          </w:p>
        </w:tc>
      </w:tr>
    </w:tbl>
    <w:p>
      <w:r>
        <w:pict>
          <v:rect style="width:0;height:1.5pt" o:hralign="center" o:hrstd="t" o:hr="t"/>
        </w:pict>
      </w:r>
    </w:p>
    <w:p>
      <w:pPr>
        <w:pStyle w:val="Heading2"/>
      </w:pPr>
      <w:bookmarkStart w:id="162" w:name="sources-consulted-1"/>
      <w:r>
        <w:t xml:space="preserve">Sources consulted</w:t>
      </w:r>
      <w:bookmarkEnd w:id="162"/>
    </w:p>
    <w:p>
      <w:pPr>
        <w:numPr>
          <w:ilvl w:val="0"/>
          <w:numId w:val="1033"/>
        </w:numPr>
        <w:pStyle w:val="Compact"/>
      </w:pPr>
      <w:r>
        <w:rPr>
          <w:rStyle w:val="VerbatimChar"/>
        </w:rPr>
        <w:t xml:space="preserve">wiki/outputs/2026-06-13-goods-strategic-pack/00-master-alignment-map.md</w:t>
      </w:r>
      <w:r>
        <w:t xml:space="preserve"> </w:t>
      </w:r>
      <w:r>
        <w:t xml:space="preserve">(§7 structure/governance/people; §10 contradictions ledger; §9 raise-blockers)</w:t>
      </w:r>
    </w:p>
    <w:p>
      <w:pPr>
        <w:numPr>
          <w:ilvl w:val="0"/>
          <w:numId w:val="1033"/>
        </w:numPr>
        <w:pStyle w:val="Compact"/>
      </w:pPr>
      <w:r>
        <w:rPr>
          <w:rStyle w:val="VerbatimChar"/>
        </w:rPr>
        <w:t xml:space="preserve">wiki/articles/enterprise/09-legal-structure.md</w:t>
      </w:r>
    </w:p>
    <w:p>
      <w:pPr>
        <w:numPr>
          <w:ilvl w:val="0"/>
          <w:numId w:val="1033"/>
        </w:numPr>
        <w:pStyle w:val="Compact"/>
      </w:pPr>
      <w:r>
        <w:rPr>
          <w:rStyle w:val="VerbatimChar"/>
        </w:rPr>
        <w:t xml:space="preserve">wiki/articles/governance/legal-structure.md</w:t>
      </w:r>
    </w:p>
    <w:p>
      <w:pPr>
        <w:numPr>
          <w:ilvl w:val="0"/>
          <w:numId w:val="1033"/>
        </w:numPr>
        <w:pStyle w:val="Compact"/>
      </w:pPr>
      <w:r>
        <w:rPr>
          <w:rStyle w:val="VerbatimChar"/>
        </w:rPr>
        <w:t xml:space="preserve">wiki/outputs/2026-05-29-qbe-area-09-legal-structure-full-review.md</w:t>
      </w:r>
      <w:r>
        <w:t xml:space="preserve"> </w:t>
      </w:r>
      <w:r>
        <w:t xml:space="preserve">(current legal-reality one-pager;</w:t>
      </w:r>
      <w:r>
        <w:t xml:space="preserve"> </w:t>
      </w:r>
      <w:r>
        <w:t xml:space="preserve">“</w:t>
      </w:r>
      <w:r>
        <w:t xml:space="preserve">do not overclaim</w:t>
      </w:r>
      <w:r>
        <w:t xml:space="preserve">”</w:t>
      </w:r>
      <w:r>
        <w:t xml:space="preserve">; open founder/legal questions; ABN Lookup extracts)</w:t>
      </w:r>
    </w:p>
    <w:p>
      <w:pPr>
        <w:numPr>
          <w:ilvl w:val="0"/>
          <w:numId w:val="1033"/>
        </w:numPr>
        <w:pStyle w:val="Compact"/>
      </w:pPr>
      <w:r>
        <w:rPr>
          <w:rStyle w:val="VerbatimChar"/>
        </w:rPr>
        <w:t xml:space="preserve">wiki/outputs/2026-05-29-qbe-investment-sweep/area-9-legal-structure.md</w:t>
      </w:r>
      <w:r>
        <w:t xml:space="preserve"> </w:t>
      </w:r>
      <w:r>
        <w:t xml:space="preserve">(public-copy risk for Area 09)</w:t>
      </w:r>
    </w:p>
    <w:p>
      <w:pPr>
        <w:pStyle w:val="BlockText"/>
      </w:pPr>
      <w:r>
        <w:rPr>
          <w:b/>
        </w:rPr>
        <w:t xml:space="preserve">Reminder for the reviewer.</w:t>
      </w:r>
      <w:r>
        <w:t xml:space="preserve"> </w:t>
      </w:r>
      <w:r>
        <w:t xml:space="preserve">This is a draft for legal review, not approved copy and not legal advice. Once Keith Rovers approves the wording and Section E is confirmed, this file becomes the single source for entity wording across public pages, investor materials, grant forms and contracts — and the team should paste the relevant variant verbatim rather than paraphrasing.</w:t>
      </w:r>
    </w:p>
    <w:p>
      <w:r>
        <w:br w:type="page"/>
      </w:r>
    </w:p>
    <w:p>
      <w:pPr>
        <w:pStyle w:val="Heading1"/>
      </w:pPr>
      <w:bookmarkStart w:id="163" w:name="area-10-strategy-memo"/>
      <w:r>
        <w:t xml:space="preserve">Area 10 · Strategy Memo</w:t>
      </w:r>
      <w:bookmarkEnd w:id="163"/>
    </w:p>
    <w:p>
      <w:pPr>
        <w:pStyle w:val="Heading1"/>
      </w:pPr>
      <w:bookmarkStart w:id="164" w:name="goods-on-country-2"/>
      <w:r>
        <w:t xml:space="preserve">Goods on Country</w:t>
      </w:r>
      <w:bookmarkEnd w:id="164"/>
    </w:p>
    <w:p>
      <w:pPr>
        <w:pStyle w:val="Heading2"/>
      </w:pPr>
      <w:bookmarkStart w:id="165" w:name="Xc98adffc5721219331cdc8b1fbd5705f15e14f9"/>
      <w:r>
        <w:t xml:space="preserve">Strategy memo — the catalytic case for the first $400K</w:t>
      </w:r>
      <w:bookmarkEnd w:id="165"/>
    </w:p>
    <w:p>
      <w:pPr>
        <w:pStyle w:val="FirstParagraph"/>
      </w:pPr>
      <w:r>
        <w:rPr>
          <w:i/>
        </w:rPr>
        <w:t xml:space="preserve">Prepared for catalytic investors and philanthropic partners. Read alongside the one-pager and deck in this folder. Figures are labelled [VERIFIED] / [WORKPAPER, unaudited] / [MODELLED] / [TARGET] so you can see exactly what is proven and what we are asking you to help prove.</w:t>
      </w:r>
    </w:p>
    <w:p>
      <w:r>
        <w:pict>
          <v:rect style="width:0;height:1.5pt" o:hralign="center" o:hrstd="t" o:hr="t"/>
        </w:pict>
      </w:r>
    </w:p>
    <w:p>
      <w:pPr>
        <w:pStyle w:val="Heading3"/>
      </w:pPr>
      <w:bookmarkStart w:id="166" w:name="the-problem-we-exist-to-solve"/>
      <w:r>
        <w:t xml:space="preserve">1. The problem we exist to solve</w:t>
      </w:r>
      <w:bookmarkEnd w:id="166"/>
    </w:p>
    <w:p>
      <w:pPr>
        <w:pStyle w:val="FirstParagraph"/>
      </w:pPr>
      <w:r>
        <w:t xml:space="preserve">In remote Australia, the household goods people rely on for health and dignity are often the worst-designed things in the house. Beds are expensive to freight, impossible to wash, and quick to break. Washing machines are sold at metro prices, run far more cycles than a city household, and fail under conditions they were never built for. When they break, there is no recycling pathway, so they end up in the community dump. The human cost is direct and well understood: unwashable bedding feeds scabies and skin infections, which feed Strep A, rheumatic fever, and rheumatic heart disease — a disease almost unheard of in wealthy Australia and endemic in remote communities.</w:t>
      </w:r>
    </w:p>
    <w:p>
      <w:pPr>
        <w:pStyle w:val="BodyText"/>
      </w:pPr>
      <w:r>
        <w:t xml:space="preserve">We put it plainly: a good bed can prevent heart disease. We make beds and washing machines as environmental-health hardware, not as charity or convenience.</w:t>
      </w:r>
    </w:p>
    <w:p>
      <w:pPr>
        <w:pStyle w:val="Heading3"/>
      </w:pPr>
      <w:bookmarkStart w:id="167" w:name="what-we-have-proven"/>
      <w:r>
        <w:t xml:space="preserve">2. What we have proven</w:t>
      </w:r>
      <w:bookmarkEnd w:id="167"/>
    </w:p>
    <w:p>
      <w:pPr>
        <w:pStyle w:val="FirstParagraph"/>
      </w:pPr>
      <w:r>
        <w:t xml:space="preserve">Goods is past the concept stage. The proof is independently checkable, which is why our investor conversations open with a link rather than a logo wall.</w:t>
      </w:r>
    </w:p>
    <w:p>
      <w:pPr>
        <w:pStyle w:val="BodyText"/>
      </w:pPr>
      <w:r>
        <w:t xml:space="preserve">We have deployed</w:t>
      </w:r>
      <w:r>
        <w:t xml:space="preserve"> </w:t>
      </w:r>
      <w:r>
        <w:rPr>
          <w:b/>
        </w:rPr>
        <w:t xml:space="preserve">496 beds across 9 communities</w:t>
      </w:r>
      <w:r>
        <w:t xml:space="preserve"> </w:t>
      </w:r>
      <w:r>
        <w:t xml:space="preserve">[VERIFIED — asset register, 29 May 2026], every one of them tracked by QR code in a live register you can scan. Of those, 133 are the current flagship Stretch Bed and 363 are the earlier Basket Bed, now discontinued and open-sourced. The most recent operation — 87 beds delivered to Utopia Homelands over two days in May 2026 with the Oonchiumpa Consultancy and Utopia Council — diverted 1.74 tonnes of plastic and put beds under 36 households directly. One recipient, Ray Nelson on the Plenty Highway, told us he is no longer waking with back pain. That is the unit of impact we are scaling.</w:t>
      </w:r>
    </w:p>
    <w:p>
      <w:pPr>
        <w:pStyle w:val="BodyText"/>
      </w:pPr>
      <w:r>
        <w:t xml:space="preserve">We have a real product with real specifications. The Stretch Bed is a flat-pack, washable bed built from recycled HDPE plastic legs, two galvanised steel poles, and heavy-duty Australian canvas. It weighs 26 kg, carries 200 kg, assembles in about five minutes with no tools, and is designed for a ten-year-plus life with a five-year warranty. Each bed diverts 20 kg of plastic from landfill. It is not a clip-together kit — the poles thread through the canvas sleeves and the crossed-plank legs, and tensioning the whole assembly makes the canvas itself structural. It stands because of how it is built, not in spite of remote conditions.</w:t>
      </w:r>
    </w:p>
    <w:p>
      <w:pPr>
        <w:pStyle w:val="BodyText"/>
      </w:pPr>
      <w:r>
        <w:t xml:space="preserve">We have demand that arrived after people used the product, not before. Dianne Stokes in Tennant Creek offered to self-fund 20 beds after co-designing with us. Homeland Schools Company has requested 65 beds for children in Maningrida. Centrecorp has approved and paid for 107 beds through the Utopia pathway. The Groote Archipelago has raised an exploratory request for 500 mattresses and 300 washing machines. None of this is signed revenue, and we are careful not to present it as such — but the pattern is consistent: demand follows use.</w:t>
      </w:r>
    </w:p>
    <w:p>
      <w:pPr>
        <w:pStyle w:val="Heading3"/>
      </w:pPr>
      <w:bookmarkStart w:id="168" w:name="the-honest-commercial-reality"/>
      <w:r>
        <w:t xml:space="preserve">3. The honest commercial reality</w:t>
      </w:r>
      <w:bookmarkEnd w:id="168"/>
    </w:p>
    <w:p>
      <w:pPr>
        <w:pStyle w:val="FirstParagraph"/>
      </w:pPr>
      <w:r>
        <w:t xml:space="preserve">We are not going to hide the gap, because a catalytic investor is precisely the partner who funds it.</w:t>
      </w:r>
    </w:p>
    <w:p>
      <w:pPr>
        <w:pStyle w:val="BodyText"/>
      </w:pPr>
      <w:r>
        <w:t xml:space="preserve">Goods has received</w:t>
      </w:r>
      <w:r>
        <w:t xml:space="preserve"> </w:t>
      </w:r>
      <w:r>
        <w:rPr>
          <w:b/>
        </w:rPr>
        <w:t xml:space="preserve">AU$649,710.79</w:t>
      </w:r>
      <w:r>
        <w:t xml:space="preserve"> </w:t>
      </w:r>
      <w:r>
        <w:t xml:space="preserve">to date [WORKPAPER — Xero mirror, 29 May 2026, unaudited], against AU$732,210.79 billed, at an 88.8% collection rate. Around 89% of that is grant-funded, by design. Direct commercial revenue through the shop is AU$90 — three orders. That figure is not embarrassing; it is the point. We have proven that communities want the product and that funders will pay for deployments. We have not yet proven that the product can be made at a price that lets the business stand on its own.</w:t>
      </w:r>
    </w:p>
    <w:p>
      <w:pPr>
        <w:pStyle w:val="BodyText"/>
      </w:pPr>
      <w:r>
        <w:t xml:space="preserve">At today’s cost, the Stretch Bed sells for AU$750 [VERIFIED] against a marginal cost of AU$684.79 [WORKPAPER] and a fixed cost block near AU$109,500 a year [MODELLED]. On those numbers, breakeven sits around 1,679 beds a year while we currently deploy about 130. That is out of reach, and we will not pretend otherwise.</w:t>
      </w:r>
    </w:p>
    <w:p>
      <w:pPr>
        <w:pStyle w:val="BodyText"/>
      </w:pPr>
      <w:r>
        <w:t xml:space="preserve">The lever that changes the picture is in-sourcing the plastic. We have verified an 8.6× markup on the HDPE legs we currently buy from an external supplier. Our containerised production model — collect, shred, press, cut, and assemble on country — projects a unit cost falling from AU$684.79 to AU$425.74 in a factory configuration and AU$270.74 in a community configuration [all MODELLED]. At those costs, breakeven drops to 333–338 beds a year, which is within sight of demand. The critical caveat: we have assembled zero beds in-house so far. This number is a hypothesis, not a result.</w:t>
      </w:r>
    </w:p>
    <w:p>
      <w:pPr>
        <w:pStyle w:val="Heading3"/>
      </w:pPr>
      <w:bookmarkStart w:id="169" w:name="X45fd8a6819012980ab56d6aaf532445270ab8ac"/>
      <w:r>
        <w:t xml:space="preserve">4. What we are asking catalytic capital to do</w:t>
      </w:r>
      <w:bookmarkEnd w:id="169"/>
    </w:p>
    <w:p>
      <w:pPr>
        <w:pStyle w:val="FirstParagraph"/>
      </w:pPr>
      <w:r>
        <w:t xml:space="preserve">We are raising</w:t>
      </w:r>
      <w:r>
        <w:t xml:space="preserve"> </w:t>
      </w:r>
      <w:r>
        <w:rPr>
          <w:b/>
        </w:rPr>
        <w:t xml:space="preserve">AU$900K–$1M in blended, non-equity capital</w:t>
      </w:r>
      <w:r>
        <w:t xml:space="preserve">, and the immediate task is to close the first</w:t>
      </w:r>
      <w:r>
        <w:t xml:space="preserve"> </w:t>
      </w:r>
      <w:r>
        <w:rPr>
          <w:b/>
        </w:rPr>
        <w:t xml:space="preserve">~AU$400K of signed, match-eligible commitments by 31 August 2026</w:t>
      </w:r>
      <w:r>
        <w:t xml:space="preserve">.</w:t>
      </w:r>
    </w:p>
    <w:p>
      <w:pPr>
        <w:pStyle w:val="BodyText"/>
      </w:pPr>
      <w:r>
        <w:t xml:space="preserve">That deadline is set by the QBE Catalysing Impact program, which offers up to AU$400K from a $1M pool, on a basis of at least 1:1 matching to the external investment we secure — the more we raise, the more the match unlocks, to the $400K ceiling. The program prioritises repayable finance over grants, and the matched capital must be legally binding (signed letters of commitment, loan or investment agreements) and is verified by the program at the September 2026 Stage 2 application. The QBE match is an output of money raised, not an input. As of today we hold zero signed commitments — and we are clear that this is a conversation problem, not a discovery problem. Our warmest funders are watching each other; the first signed dollar unlocks the rest.</w:t>
      </w:r>
    </w:p>
    <w:p>
      <w:pPr>
        <w:pStyle w:val="BodyText"/>
      </w:pPr>
      <w:r>
        <w:t xml:space="preserve">The stack is designed junior-to-senior so that philanthropic and catalytic capital de-risk the commercial debt that follows. Grants form the junior layer (~AU$500K target — Snow R4/R5, Centrecorp’s next round, VFFF, with Butterfly/DGR upside once that vehicle is live in FY2026-27). The QBE match sits on top as the catalytic layer (up to AU$400K, at least 1:1 against the external capital we secure, repayable finance preferred — contingent). Concessional working-capital debt from SEFA sits at the senior base (AU$300K target, gated on a completed financial model, an independent-majority board, and a revenue covenant). Every figure except the QBE invitation is a target, not a commitment.</w:t>
      </w:r>
    </w:p>
    <w:p>
      <w:pPr>
        <w:pStyle w:val="BodyText"/>
      </w:pPr>
      <w:r>
        <w:t xml:space="preserve">Critically, we are not raising equity. The end-state of this business is community-owned production. Taking external equity that needs an exit would contradict the thing we are building. Equity becomes interesting only inside a future model where communities themselves are the owners.</w:t>
      </w:r>
    </w:p>
    <w:p>
      <w:pPr>
        <w:pStyle w:val="BodyText"/>
      </w:pPr>
      <w:r>
        <w:t xml:space="preserve">The first and most important use of funds is small and specific:</w:t>
      </w:r>
      <w:r>
        <w:t xml:space="preserve"> </w:t>
      </w:r>
      <w:r>
        <w:rPr>
          <w:b/>
        </w:rPr>
        <w:t xml:space="preserve">AU$60–80K to run a 50-bed in-source production run.</w:t>
      </w:r>
      <w:r>
        <w:t xml:space="preserve"> </w:t>
      </w:r>
      <w:r>
        <w:t xml:space="preserve">That experiment turns our central economic claim from modelled to measured. If the run confirms AU$425.74, we scale the raise on proven economics. If it misses, we re-base the raise honestly at AU$684.79 and adjust. The rest of the use of funds — plant capex (~$300–400K), a working-capital buffer (~$150–200K), and two senior hires (~$200K) — follows that result.</w:t>
      </w:r>
    </w:p>
    <w:p>
      <w:pPr>
        <w:pStyle w:val="Heading3"/>
      </w:pPr>
      <w:bookmarkStart w:id="170" w:name="X550ef833550aeff58011dbdb2c9c379ed7d6951"/>
      <w:r>
        <w:t xml:space="preserve">5. Why this is a catalytic investment, not a growth one</w:t>
      </w:r>
      <w:bookmarkEnd w:id="170"/>
    </w:p>
    <w:p>
      <w:pPr>
        <w:pStyle w:val="FirstParagraph"/>
      </w:pPr>
      <w:r>
        <w:t xml:space="preserve">Goods sits at the end of</w:t>
      </w:r>
      <w:r>
        <w:t xml:space="preserve"> </w:t>
      </w:r>
      <w:r>
        <w:t xml:space="preserve">“</w:t>
      </w:r>
      <w:r>
        <w:t xml:space="preserve">proven product, proven delivery</w:t>
      </w:r>
      <w:r>
        <w:t xml:space="preserve">”</w:t>
      </w:r>
      <w:r>
        <w:t xml:space="preserve"> </w:t>
      </w:r>
      <w:r>
        <w:t xml:space="preserve">and the very start of</w:t>
      </w:r>
      <w:r>
        <w:t xml:space="preserve"> </w:t>
      </w:r>
      <w:r>
        <w:t xml:space="preserve">“</w:t>
      </w:r>
      <w:r>
        <w:t xml:space="preserve">proven repeatable commercial engine.</w:t>
      </w:r>
      <w:r>
        <w:t xml:space="preserve">”</w:t>
      </w:r>
      <w:r>
        <w:t xml:space="preserve"> </w:t>
      </w:r>
      <w:r>
        <w:t xml:space="preserve">We are pre-commercial-revenue, we do not yet have a fiduciary board, and our core economic lever is unproven. A conventional impact investor cannot yet underwrite us. That is the exact gap catalytic capital exists to cross — funding the de-risking experiment, funding the governance and evaluation capacity around the edges, and accepting concessional terms so that commercial debt can follow. One catalytic dollar here is structured to unlock several commercial dollars behind it.</w:t>
      </w:r>
    </w:p>
    <w:p>
      <w:pPr>
        <w:pStyle w:val="BodyText"/>
      </w:pPr>
      <w:r>
        <w:t xml:space="preserve">The structure that fits is a project-level plus company-level blend, anchored on the containerised production plant, with grants and guarantees on top and concessional debt at the base. An Indigenous-owned blueprint already exists — WINYA Furniture holds 36 federal contracts as a Supply Nation supplier — so the path from social enterprise to credible remote-market manufacturer is not theoretical.</w:t>
      </w:r>
    </w:p>
    <w:p>
      <w:pPr>
        <w:pStyle w:val="Heading3"/>
      </w:pPr>
      <w:bookmarkStart w:id="171" w:name="X3d5b61178752c2bd6db908e4bc5fe948190da22"/>
      <w:r>
        <w:t xml:space="preserve">6. What we still have to build (and are not hiding)</w:t>
      </w:r>
      <w:bookmarkEnd w:id="171"/>
    </w:p>
    <w:p>
      <w:pPr>
        <w:pStyle w:val="FirstParagraph"/>
      </w:pPr>
      <w:r>
        <w:t xml:space="preserve">Five things stand between us and a closed round, and we are working each deliberately.</w:t>
      </w:r>
    </w:p>
    <w:p>
      <w:pPr>
        <w:pStyle w:val="BodyText"/>
      </w:pPr>
      <w:r>
        <w:t xml:space="preserve">Our legal structure is the keystone. Goods currently trades through Nicholas Marchesi as a sole trader and is migrating into A Curious Tractor Pty Ltd this financial year, with The Butterfly Movement Ltd becoming the DGR home in FY2026-27. The decisions still open — the final operating form, the community-production entity, and a genuine mission lock — block Supply Nation 51% certification (which itself gates four of our eight procurement channels) and IBA eligibility. Our current mission protection is cultural and relational, which is honest but not enough to carry larger capital. We are working this with MinterEllison.</w:t>
      </w:r>
    </w:p>
    <w:p>
      <w:pPr>
        <w:pStyle w:val="BodyText"/>
      </w:pPr>
      <w:r>
        <w:t xml:space="preserve">We need our first signed LOI. We need to reconcile three coexisting revenue cuts into one accountant-reviewed, Goods-only figure, and to cost founder time at a fair-market rate. We need to move from an advisory group to a board with one or two commercially experienced directors. And we need to hold the discipline we have set ourselves on public accuracy: separating verified from modelled on every metric, and only ever using consent-cleared community voices.</w:t>
      </w:r>
    </w:p>
    <w:p>
      <w:pPr>
        <w:pStyle w:val="Heading3"/>
      </w:pPr>
      <w:bookmarkStart w:id="172" w:name="why-now"/>
      <w:r>
        <w:t xml:space="preserve">7. Why now</w:t>
      </w:r>
      <w:bookmarkEnd w:id="172"/>
    </w:p>
    <w:p>
      <w:pPr>
        <w:pStyle w:val="FirstParagraph"/>
      </w:pPr>
      <w:r>
        <w:t xml:space="preserve">There is a roughly twelve-week window where four clocks align. The QBE match gate is time-boxed and binary, with Stage 2 closing in September 2026. Our proof is at its freshest, weeks after the Utopia deployment. The free program machinery — skilled volunteering and PIN mentoring — is running now and ends in August. And our warmest funders are actively watching one another, waiting for the first to move.</w:t>
      </w:r>
    </w:p>
    <w:p>
      <w:pPr>
        <w:pStyle w:val="BodyText"/>
      </w:pPr>
      <w:r>
        <w:t xml:space="preserve">We are asking a catalytic partner to be that first signed commitment. The match doubles it, the concessional debt follows it, and the de-risking run proves the economics that turn this from a funded program into a business that can ultimately belong to the communities it serves.</w:t>
      </w:r>
    </w:p>
    <w:p>
      <w:r>
        <w:pict>
          <v:rect style="width:0;height:1.5pt" o:hralign="center" o:hrstd="t" o:hr="t"/>
        </w:pict>
      </w:r>
    </w:p>
    <w:p>
      <w:pPr>
        <w:pStyle w:val="FirstParagraph"/>
      </w:pPr>
      <w:r>
        <w:rPr>
          <w:i/>
        </w:rPr>
        <w:t xml:space="preserve">Founder contacts: Ben Knight · Nicholas Marchesi. Live asset register: goodsoncountry.com/admin/assets. Re-pull Xero figures immediately before sending. All numbers per 00-master-alignment-map.md, 2026-06-13.</w:t>
      </w:r>
    </w:p>
    <w:p>
      <w:r>
        <w:br w:type="page"/>
      </w:r>
    </w:p>
    <w:p>
      <w:pPr>
        <w:pStyle w:val="Heading1"/>
      </w:pPr>
      <w:bookmarkStart w:id="173" w:name="area-10-investor-one-pager"/>
      <w:r>
        <w:t xml:space="preserve">Area 10 · Investor One-Pager</w:t>
      </w:r>
      <w:bookmarkEnd w:id="173"/>
    </w:p>
    <w:p>
      <w:pPr>
        <w:pStyle w:val="Heading1"/>
      </w:pPr>
      <w:bookmarkStart w:id="174" w:name="goods-on-country-3"/>
      <w:r>
        <w:t xml:space="preserve">GOODS ON COUNTRY</w:t>
      </w:r>
      <w:bookmarkEnd w:id="174"/>
    </w:p>
    <w:p>
      <w:pPr>
        <w:pStyle w:val="Heading3"/>
      </w:pPr>
      <w:bookmarkStart w:id="175" w:name="X0d78ca772e4b6d850a7e19bfba9e98cd6e77273"/>
      <w:r>
        <w:t xml:space="preserve">Essential household goods, designed with remote communities, built to last, owned on country.</w:t>
      </w:r>
      <w:bookmarkEnd w:id="175"/>
    </w:p>
    <w:p>
      <w:pPr>
        <w:pStyle w:val="FirstParagraph"/>
      </w:pPr>
      <w:r>
        <w:rPr>
          <w:b/>
        </w:rPr>
        <w:t xml:space="preserve">A good bed can prevent heart disease.</w:t>
      </w:r>
      <w:r>
        <w:t xml:space="preserve"> </w:t>
      </w:r>
      <w:r>
        <w:t xml:space="preserve">In remote Australia, beds and washing machines are often the worst-designed things in the house — impossible to wash, quick to break, unrecyclable when they fail. Unwashable bedding feeds scabies → Strep A → rheumatic heart disease. We make washable, repairable, flat-pack goods from recycled plastic, track every unit, and move production toward community ownership. Our endgame is to become unnecessary.</w:t>
      </w:r>
    </w:p>
    <w:p>
      <w:r>
        <w:pict>
          <v:rect style="width:0;height:1.5pt" o:hralign="center" o:hrstd="t" o:hr="t"/>
        </w:pict>
      </w:r>
    </w:p>
    <w:p>
      <w:pPr>
        <w:pStyle w:val="Heading3"/>
      </w:pPr>
      <w:bookmarkStart w:id="176" w:name="X0bf93f8e31459376ac69b267828a7bba3776ccd"/>
      <w:r>
        <w:t xml:space="preserve">The proof</w:t>
      </w:r>
      <w:r>
        <w:t xml:space="preserve"> </w:t>
      </w:r>
      <w:r>
        <w:rPr>
          <w:i/>
        </w:rPr>
        <w:t xml:space="preserve">(independently checkable — scan the register)</w:t>
      </w:r>
      <w:bookmarkEnd w:id="176"/>
    </w:p>
    <w:p>
      <w:pPr>
        <w:numPr>
          <w:ilvl w:val="0"/>
          <w:numId w:val="1034"/>
        </w:numPr>
        <w:pStyle w:val="Compact"/>
      </w:pPr>
      <w:r>
        <w:rPr>
          <w:b/>
        </w:rPr>
        <w:t xml:space="preserve">496 beds deployed across 9 communities</w:t>
      </w:r>
      <w:r>
        <w:t xml:space="preserve"> </w:t>
      </w:r>
      <w:r>
        <w:t xml:space="preserve">· every unit QR-tracked [VERIFIED — asset register, 29 May 2026]</w:t>
      </w:r>
    </w:p>
    <w:p>
      <w:pPr>
        <w:numPr>
          <w:ilvl w:val="0"/>
          <w:numId w:val="1034"/>
        </w:numPr>
        <w:pStyle w:val="Compact"/>
      </w:pPr>
      <w:r>
        <w:rPr>
          <w:b/>
        </w:rPr>
        <w:t xml:space="preserve">2,660 kg of plastic diverted</w:t>
      </w:r>
      <w:r>
        <w:t xml:space="preserve"> </w:t>
      </w:r>
      <w:r>
        <w:t xml:space="preserve">(133 Stretch Beds × 20 kg) [VERIFIED]</w:t>
      </w:r>
    </w:p>
    <w:p>
      <w:pPr>
        <w:numPr>
          <w:ilvl w:val="0"/>
          <w:numId w:val="1034"/>
        </w:numPr>
        <w:pStyle w:val="Compact"/>
      </w:pPr>
      <w:r>
        <w:rPr>
          <w:b/>
        </w:rPr>
        <w:t xml:space="preserve">AU$649,710.79 received</w:t>
      </w:r>
      <w:r>
        <w:t xml:space="preserve"> </w:t>
      </w:r>
      <w:r>
        <w:t xml:space="preserve">across funders, 88.8% collected [WORKPAPER — Xero, unaudited]</w:t>
      </w:r>
    </w:p>
    <w:p>
      <w:pPr>
        <w:numPr>
          <w:ilvl w:val="0"/>
          <w:numId w:val="1034"/>
        </w:numPr>
        <w:pStyle w:val="Compact"/>
      </w:pPr>
      <w:r>
        <w:t xml:space="preserve">Latest op:</w:t>
      </w:r>
      <w:r>
        <w:t xml:space="preserve"> </w:t>
      </w:r>
      <w:r>
        <w:rPr>
          <w:b/>
        </w:rPr>
        <w:t xml:space="preserve">87 beds to Utopia Homelands in 2 days</w:t>
      </w:r>
      <w:r>
        <w:t xml:space="preserve">, 1.74 t plastic, with Oonchiumpa &amp; Utopia Council</w:t>
      </w:r>
    </w:p>
    <w:p>
      <w:pPr>
        <w:numPr>
          <w:ilvl w:val="0"/>
          <w:numId w:val="1034"/>
        </w:numPr>
        <w:pStyle w:val="Compact"/>
      </w:pPr>
      <w:r>
        <w:rPr>
          <w:i/>
        </w:rPr>
        <w:t xml:space="preserve">“</w:t>
      </w:r>
      <w:r>
        <w:rPr>
          <w:i/>
        </w:rPr>
        <w:t xml:space="preserve">Since receiving their new beds, they are no longer experiencing back pains.</w:t>
      </w:r>
      <w:r>
        <w:rPr>
          <w:i/>
        </w:rPr>
        <w:t xml:space="preserve">”</w:t>
      </w:r>
      <w:r>
        <w:t xml:space="preserve"> </w:t>
      </w:r>
      <w:r>
        <w:t xml:space="preserve">— Ray Nelson, Plenty Highway [consented voice]</w:t>
      </w:r>
    </w:p>
    <w:p>
      <w:pPr>
        <w:pStyle w:val="Heading3"/>
      </w:pPr>
      <w:bookmarkStart w:id="177" w:name="the-product"/>
      <w:r>
        <w:t xml:space="preserve">The product</w:t>
      </w:r>
      <w:bookmarkEnd w:id="177"/>
    </w:p>
    <w:p>
      <w:pPr>
        <w:pStyle w:val="FirstParagraph"/>
      </w:pPr>
      <w:r>
        <w:t xml:space="preserve">The</w:t>
      </w:r>
      <w:r>
        <w:t xml:space="preserve"> </w:t>
      </w:r>
      <w:r>
        <w:rPr>
          <w:b/>
        </w:rPr>
        <w:t xml:space="preserve">Stretch Bed</w:t>
      </w:r>
      <w:r>
        <w:t xml:space="preserve"> </w:t>
      </w:r>
      <w:r>
        <w:t xml:space="preserve">— recycled HDPE legs, galvanised steel poles, Australian canvas. 26 kg, holds 200 kg, assembles in ~5 minutes with no tools, 10+ year life, 5-year warranty, 20 kg plastic diverted per bed. An X-trestle tension design where the canvas is structural. AU$750. The only product for direct sale; a washing-machine prototype (Pakkimjalki Kari) and an on-country production plant follow.</w:t>
      </w:r>
    </w:p>
    <w:p>
      <w:pPr>
        <w:pStyle w:val="Heading3"/>
      </w:pPr>
      <w:bookmarkStart w:id="178" w:name="the-honest-commercial-reality-1"/>
      <w:r>
        <w:t xml:space="preserve">The honest commercial reality</w:t>
      </w:r>
      <w:bookmarkEnd w:id="178"/>
    </w:p>
    <w:p>
      <w:pPr>
        <w:pStyle w:val="FirstParagraph"/>
      </w:pPr>
      <w:r>
        <w:t xml:space="preserve">~89% grant-funded, by design. Direct commercial revenue is AU$90 (3 orders) — we have proven communities want the product and funders will pay; we have</w:t>
      </w:r>
      <w:r>
        <w:t xml:space="preserve"> </w:t>
      </w:r>
      <w:r>
        <w:rPr>
          <w:b/>
        </w:rPr>
        <w:t xml:space="preserve">not yet</w:t>
      </w:r>
      <w:r>
        <w:t xml:space="preserve"> </w:t>
      </w:r>
      <w:r>
        <w:t xml:space="preserve">proven the unit economics. Today: sells at $750, costs $684.79 to make [WORKPAPER]. The lever is</w:t>
      </w:r>
      <w:r>
        <w:t xml:space="preserve"> </w:t>
      </w:r>
      <w:r>
        <w:rPr>
          <w:b/>
        </w:rPr>
        <w:t xml:space="preserve">in-sourcing the plastic</w:t>
      </w:r>
      <w:r>
        <w:t xml:space="preserve"> </w:t>
      </w:r>
      <w:r>
        <w:t xml:space="preserve">(8.6× markup verified on bought-in legs), which models a drop to</w:t>
      </w:r>
      <w:r>
        <w:t xml:space="preserve"> </w:t>
      </w:r>
      <w:r>
        <w:rPr>
          <w:b/>
        </w:rPr>
        <w:t xml:space="preserve">$425.74 (factory) / $270.74 (community)</w:t>
      </w:r>
      <w:r>
        <w:t xml:space="preserve"> </w:t>
      </w:r>
      <w:r>
        <w:t xml:space="preserve">[MODELLED — 0 beds assembled in-house yet]. That brings breakeven from ~1,679 beds/yr to ~333–338.</w:t>
      </w:r>
    </w:p>
    <w:p>
      <w:pPr>
        <w:pStyle w:val="Heading3"/>
      </w:pPr>
      <w:bookmarkStart w:id="179" w:name="the-ask-au900k1m-blended-non-equity"/>
      <w:r>
        <w:t xml:space="preserve">The ask — AU$900K–$1M, blended,</w:t>
      </w:r>
      <w:r>
        <w:t xml:space="preserve"> </w:t>
      </w:r>
      <w:r>
        <w:rPr>
          <w:b/>
        </w:rPr>
        <w:t xml:space="preserve">non-equity</w:t>
      </w:r>
      <w:bookmarkEnd w:id="179"/>
    </w:p>
    <w:p>
      <w:pPr>
        <w:pStyle w:val="FirstParagraph"/>
      </w:pPr>
      <w:r>
        <w:t xml:space="preserve">Close the first</w:t>
      </w:r>
      <w:r>
        <w:t xml:space="preserve"> </w:t>
      </w:r>
      <w:r>
        <w:rPr>
          <w:b/>
        </w:rPr>
        <w:t xml:space="preserve">~AU$400K of signed, match-eligible capital by 31 Aug 2026</w:t>
      </w:r>
      <w:r>
        <w:t xml:space="preserve"> </w:t>
      </w:r>
      <w:r>
        <w:t xml:space="preserve">to unlock the QBE Catalysing Impact match (up to $400K, contingent).</w:t>
      </w:r>
      <w:r>
        <w:t xml:space="preserve"> </w:t>
      </w:r>
      <w:r>
        <w:rPr>
          <w:b/>
        </w:rPr>
        <w:t xml:space="preserve">Signed LOIs today: 0</w:t>
      </w:r>
      <w:r>
        <w:t xml:space="preserve"> </w:t>
      </w:r>
      <w:r>
        <w:t xml:space="preserve">— a conversation problem, not a discovery problem.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Amount [TARGET]</w:t>
            </w:r>
          </w:p>
        </w:tc>
      </w:tr>
      <w:tr>
        <w:tc>
          <w:p>
            <w:pPr>
              <w:pStyle w:val="Compact"/>
              <w:jc w:val="left"/>
            </w:pPr>
            <w:r>
              <w:t xml:space="preserve">Grants (junior)</w:t>
            </w:r>
          </w:p>
        </w:tc>
        <w:tc>
          <w:p>
            <w:pPr>
              <w:pStyle w:val="Compact"/>
              <w:jc w:val="left"/>
            </w:pPr>
            <w:r>
              <w:t xml:space="preserve">Snow R4/R5, Centrecorp, VFFF</w:t>
            </w:r>
          </w:p>
        </w:tc>
        <w:tc>
          <w:p>
            <w:pPr>
              <w:pStyle w:val="Compact"/>
              <w:jc w:val="left"/>
            </w:pPr>
            <w:r>
              <w:t xml:space="preserve">~$500K</w:t>
            </w:r>
          </w:p>
        </w:tc>
      </w:tr>
      <w:tr>
        <w:tc>
          <w:p>
            <w:pPr>
              <w:pStyle w:val="Compact"/>
              <w:jc w:val="left"/>
            </w:pPr>
            <w:r>
              <w:t xml:space="preserve">Catalytic top</w:t>
            </w:r>
          </w:p>
        </w:tc>
        <w:tc>
          <w:p>
            <w:pPr>
              <w:pStyle w:val="Compact"/>
              <w:jc w:val="left"/>
            </w:pPr>
            <w:r>
              <w:t xml:space="preserve">QBE match — 1:1, repayable preferred (contingent)</w:t>
            </w:r>
          </w:p>
        </w:tc>
        <w:tc>
          <w:p>
            <w:pPr>
              <w:pStyle w:val="Compact"/>
              <w:jc w:val="left"/>
            </w:pPr>
            <w:r>
              <w:t xml:space="preserve">up to $400K</w:t>
            </w:r>
          </w:p>
        </w:tc>
      </w:tr>
      <w:tr>
        <w:tc>
          <w:p>
            <w:pPr>
              <w:pStyle w:val="Compact"/>
              <w:jc w:val="left"/>
            </w:pPr>
            <w:r>
              <w:t xml:space="preserve">Concessional debt (senior)</w:t>
            </w:r>
          </w:p>
        </w:tc>
        <w:tc>
          <w:p>
            <w:pPr>
              <w:pStyle w:val="Compact"/>
              <w:jc w:val="left"/>
            </w:pPr>
            <w:r>
              <w:t xml:space="preserve">SEFA working capital</w:t>
            </w:r>
          </w:p>
        </w:tc>
        <w:tc>
          <w:p>
            <w:pPr>
              <w:pStyle w:val="Compact"/>
              <w:jc w:val="left"/>
            </w:pPr>
            <w:r>
              <w:t xml:space="preserve">$300K</w:t>
            </w:r>
          </w:p>
        </w:tc>
      </w:tr>
    </w:tbl>
    <w:p>
      <w:pPr>
        <w:pStyle w:val="BodyText"/>
      </w:pPr>
      <w:r>
        <w:rPr>
          <w:b/>
        </w:rPr>
        <w:t xml:space="preserve">First use of funds: AU$60–80K for a 50-bed in-source proof run</w:t>
      </w:r>
      <w:r>
        <w:t xml:space="preserve"> </w:t>
      </w:r>
      <w:r>
        <w:t xml:space="preserve">— turns our core economic claim from</w:t>
      </w:r>
      <w:r>
        <w:t xml:space="preserve"> </w:t>
      </w:r>
      <w:r>
        <w:rPr>
          <w:i/>
        </w:rPr>
        <w:t xml:space="preserve">modelled</w:t>
      </w:r>
      <w:r>
        <w:t xml:space="preserve"> </w:t>
      </w:r>
      <w:r>
        <w:t xml:space="preserve">to</w:t>
      </w:r>
      <w:r>
        <w:t xml:space="preserve"> </w:t>
      </w:r>
      <w:r>
        <w:rPr>
          <w:i/>
        </w:rPr>
        <w:t xml:space="preserve">measured</w:t>
      </w:r>
      <w:r>
        <w:t xml:space="preserve">. No equity, because the end-state is</w:t>
      </w:r>
      <w:r>
        <w:t xml:space="preserve"> </w:t>
      </w:r>
      <w:r>
        <w:rPr>
          <w:b/>
        </w:rPr>
        <w:t xml:space="preserve">community-owned production</w:t>
      </w:r>
      <w:r>
        <w:t xml:space="preserve">.</w:t>
      </w:r>
    </w:p>
    <w:p>
      <w:pPr>
        <w:pStyle w:val="Heading3"/>
      </w:pPr>
      <w:bookmarkStart w:id="180" w:name="why-catalytic-why-now"/>
      <w:r>
        <w:t xml:space="preserve">Why catalytic, why now</w:t>
      </w:r>
      <w:bookmarkEnd w:id="180"/>
    </w:p>
    <w:p>
      <w:pPr>
        <w:pStyle w:val="FirstParagraph"/>
      </w:pPr>
      <w:r>
        <w:t xml:space="preserve">We are past</w:t>
      </w:r>
      <w:r>
        <w:t xml:space="preserve"> </w:t>
      </w:r>
      <w:r>
        <w:t xml:space="preserve">“</w:t>
      </w:r>
      <w:r>
        <w:t xml:space="preserve">proven product + proven delivery</w:t>
      </w:r>
      <w:r>
        <w:t xml:space="preserve">”</w:t>
      </w:r>
      <w:r>
        <w:t xml:space="preserve">, at the start of</w:t>
      </w:r>
      <w:r>
        <w:t xml:space="preserve"> </w:t>
      </w:r>
      <w:r>
        <w:t xml:space="preserve">“</w:t>
      </w:r>
      <w:r>
        <w:t xml:space="preserve">proven commercial engine</w:t>
      </w:r>
      <w:r>
        <w:t xml:space="preserve">”</w:t>
      </w:r>
      <w:r>
        <w:t xml:space="preserve"> </w:t>
      </w:r>
      <w:r>
        <w:t xml:space="preserve">— the pre-revenue, pre-board zone catalytic capital exists to cross. One catalytic dollar is structured to unlock several behind it. Four clocks align in a ~12-week window: the QBE match gate (Stage 2 closes Sep 2026), freshest proof (May Utopia op), free program support ending August, and warm funders waiting for the first to move.</w:t>
      </w:r>
    </w:p>
    <w:p>
      <w:pPr>
        <w:pStyle w:val="BodyText"/>
      </w:pPr>
      <w:r>
        <w:rPr>
          <w:b/>
        </w:rPr>
        <w:t xml:space="preserve">Be the first signed commitment.</w:t>
      </w:r>
    </w:p>
    <w:p>
      <w:r>
        <w:pict>
          <v:rect style="width:0;height:1.5pt" o:hralign="center" o:hrstd="t" o:hr="t"/>
        </w:pict>
      </w:r>
    </w:p>
    <w:p>
      <w:pPr>
        <w:pStyle w:val="FirstParagraph"/>
      </w:pPr>
      <w:r>
        <w:rPr>
          <w:i/>
        </w:rPr>
        <w:t xml:space="preserve">A Curious Tractor Pty Ltd t/a Goods on Country (migrating in) · DGR home: The Butterfly Movement Ltd (FY2026-27) · Founders: Ben Knight &amp; Nicholas Marchesi · goodsoncountry.com/admin/assets · Figures per master alignment map 2026-06-13; re-pull Xero before sending.</w:t>
      </w:r>
    </w:p>
    <w:p>
      <w:r>
        <w:br w:type="page"/>
      </w:r>
    </w:p>
    <w:p>
      <w:pPr>
        <w:pStyle w:val="Heading1"/>
      </w:pPr>
      <w:bookmarkStart w:id="181" w:name="area-12-investor-alignment"/>
      <w:r>
        <w:t xml:space="preserve">Area 12 · Investor Alignment</w:t>
      </w:r>
      <w:bookmarkEnd w:id="181"/>
    </w:p>
    <w:p>
      <w:pPr>
        <w:pStyle w:val="Heading1"/>
      </w:pPr>
      <w:bookmarkStart w:id="182" w:name="investor-alignment-goods-on-country"/>
      <w:r>
        <w:t xml:space="preserve">Investor alignment — Goods on Country</w:t>
      </w:r>
      <w:bookmarkEnd w:id="182"/>
    </w:p>
    <w:p>
      <w:pPr>
        <w:pStyle w:val="BlockText"/>
      </w:pPr>
      <w:r>
        <w:rPr>
          <w:b/>
        </w:rPr>
        <w:t xml:space="preserve">What this is.</w:t>
      </w:r>
      <w:r>
        <w:t xml:space="preserve"> </w:t>
      </w:r>
      <w:r>
        <w:t xml:space="preserve">The CASE Smart Impact Capital Investor Alignment Tool, filled in with Goods’ real pipeline. It does two jobs: states Goods’ own filter (the six knockout criteria plus ten weighted fit criteria — Tab 1), then scores every funder in the pipeline against that filter (Tab 3). The output is a defensible shortlist of who is worth the founders’ time for the first ~AU$400K of the blended raise.</w:t>
      </w:r>
    </w:p>
    <w:p>
      <w:pPr>
        <w:pStyle w:val="BlockText"/>
      </w:pPr>
      <w:r>
        <w:rPr>
          <w:b/>
        </w:rPr>
        <w:t xml:space="preserve">The discipline.</w:t>
      </w:r>
      <w:r>
        <w:t xml:space="preserve"> </w:t>
      </w:r>
      <w:r>
        <w:t xml:space="preserve">Beck Parkinson’s rule runs through this:</w:t>
      </w:r>
      <w:r>
        <w:t xml:space="preserve"> </w:t>
      </w:r>
      <w:r>
        <w:rPr>
          <w:i/>
        </w:rPr>
        <w:t xml:space="preserve">“</w:t>
      </w:r>
      <w:r>
        <w:rPr>
          <w:i/>
        </w:rPr>
        <w:t xml:space="preserve">a quick</w:t>
      </w:r>
      <w:r>
        <w:rPr>
          <w:i/>
        </w:rPr>
        <w:t xml:space="preserve"> </w:t>
      </w:r>
      <w:r>
        <w:rPr>
          <w:i/>
        </w:rPr>
        <w:t xml:space="preserve">‘</w:t>
      </w:r>
      <w:r>
        <w:rPr>
          <w:i/>
        </w:rPr>
        <w:t xml:space="preserve">no</w:t>
      </w:r>
      <w:r>
        <w:rPr>
          <w:i/>
        </w:rPr>
        <w:t xml:space="preserve">’</w:t>
      </w:r>
      <w:r>
        <w:rPr>
          <w:i/>
        </w:rPr>
        <w:t xml:space="preserve"> </w:t>
      </w:r>
      <w:r>
        <w:rPr>
          <w:i/>
        </w:rPr>
        <w:t xml:space="preserve">is much more helpful than a long drawn-out process.</w:t>
      </w:r>
      <w:r>
        <w:rPr>
          <w:i/>
        </w:rPr>
        <w:t xml:space="preserve">”</w:t>
      </w:r>
      <w:r>
        <w:t xml:space="preserve"> </w:t>
      </w:r>
      <w:r>
        <w:t xml:space="preserve">The tool exists to drop mismatches fast, not to manufacture precision. Every rating below traces to a wiki investor profile. Where a profile does not state a position, the cell reads</w:t>
      </w:r>
      <w:r>
        <w:t xml:space="preserve"> </w:t>
      </w:r>
      <w:r>
        <w:rPr>
          <w:b/>
        </w:rPr>
        <w:t xml:space="preserve">Don’t Know</w:t>
      </w:r>
      <w:r>
        <w:t xml:space="preserve"> </w:t>
      </w:r>
      <w:r>
        <w:t xml:space="preserve">— that is an honest gap, not a guess. The numbers (n/3, n/4, n/10) are a triage aid, not a probability of funding.</w:t>
      </w:r>
    </w:p>
    <w:p>
      <w:r>
        <w:pict>
          <v:rect style="width:0;height:1.5pt" o:hralign="center" o:hrstd="t" o:hr="t"/>
        </w:pict>
      </w:r>
    </w:p>
    <w:p>
      <w:pPr>
        <w:pStyle w:val="Heading2"/>
      </w:pPr>
      <w:bookmarkStart w:id="183" w:name="section-a-our-needs-goods-filter"/>
      <w:r>
        <w:t xml:space="preserve">Section A — Our Needs (Goods’ filter)</w:t>
      </w:r>
      <w:bookmarkEnd w:id="183"/>
    </w:p>
    <w:p>
      <w:pPr>
        <w:pStyle w:val="FirstParagraph"/>
      </w:pPr>
      <w:r>
        <w:t xml:space="preserve">This is Tab 1 of the CASE tool: the criteria on which Goods judges every potential investor. The six knockout criteria are pass/fail — a single fail removes an investor from the pipeline. The ten fit criteria are negotiable, each carried at a High, Medium, or Low priority.</w:t>
      </w:r>
    </w:p>
    <w:p>
      <w:pPr>
        <w:pStyle w:val="Heading3"/>
      </w:pPr>
      <w:bookmarkStart w:id="184" w:name="the-six-knockout-criteria-goods-position"/>
      <w:r>
        <w:t xml:space="preserve">The six knockout criteria — Goods’ position</w:t>
      </w:r>
      <w:bookmarkEnd w:id="1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Knockout criterion</w:t>
            </w:r>
          </w:p>
        </w:tc>
        <w:tc>
          <w:tcPr>
            <w:tcBorders>
              <w:bottom w:val="single"/>
            </w:tcBorders>
            <w:vAlign w:val="bottom"/>
          </w:tcPr>
          <w:p>
            <w:pPr>
              <w:pStyle w:val="Compact"/>
              <w:jc w:val="left"/>
            </w:pPr>
            <w:r>
              <w:t xml:space="preserve">Goods’ hard requirement</w:t>
            </w:r>
          </w:p>
        </w:tc>
      </w:tr>
      <w:tr>
        <w:tc>
          <w:p>
            <w:pPr>
              <w:pStyle w:val="Compact"/>
              <w:jc w:val="left"/>
            </w:pPr>
            <w:r>
              <w:t xml:space="preserve">1</w:t>
            </w:r>
          </w:p>
        </w:tc>
        <w:tc>
          <w:p>
            <w:pPr>
              <w:pStyle w:val="Compact"/>
              <w:jc w:val="left"/>
            </w:pPr>
            <w:r>
              <w:rPr>
                <w:b/>
              </w:rPr>
              <w:t xml:space="preserve">Investment Geography</w:t>
            </w:r>
          </w:p>
        </w:tc>
        <w:tc>
          <w:p>
            <w:pPr>
              <w:pStyle w:val="Compact"/>
              <w:jc w:val="left"/>
            </w:pPr>
            <w:r>
              <w:t xml:space="preserve">Invests in remote Aboriginal and Torres Strait Islander communities / remote Australia (NT, QLD, WA, SA). National funders qualify; funders mandated to other geographies do not.</w:t>
            </w:r>
          </w:p>
        </w:tc>
      </w:tr>
      <w:tr>
        <w:tc>
          <w:p>
            <w:pPr>
              <w:pStyle w:val="Compact"/>
              <w:jc w:val="left"/>
            </w:pPr>
            <w:r>
              <w:t xml:space="preserve">2</w:t>
            </w:r>
          </w:p>
        </w:tc>
        <w:tc>
          <w:p>
            <w:pPr>
              <w:pStyle w:val="Compact"/>
              <w:jc w:val="left"/>
            </w:pPr>
            <w:r>
              <w:rPr>
                <w:b/>
              </w:rPr>
              <w:t xml:space="preserve">Legal Structure</w:t>
            </w:r>
          </w:p>
        </w:tc>
        <w:tc>
          <w:p>
            <w:pPr>
              <w:pStyle w:val="Compact"/>
              <w:jc w:val="left"/>
            </w:pPr>
            <w:r>
              <w:t xml:space="preserve">Currently trades as Nicholas Marchesi sole trader (ABN 21 591 780 066), migrating all Goods activity into</w:t>
            </w:r>
            <w:r>
              <w:t xml:space="preserve"> </w:t>
            </w:r>
            <w:r>
              <w:rPr>
                <w:b/>
              </w:rPr>
              <w:t xml:space="preserve">A Curious Tractor Pty Ltd</w:t>
            </w:r>
            <w:r>
              <w:t xml:space="preserve"> </w:t>
            </w:r>
            <w:r>
              <w:t xml:space="preserve">(ACN 697 347 676, t/a Goods on Country) this FY; DGR pathway via</w:t>
            </w:r>
            <w:r>
              <w:t xml:space="preserve"> </w:t>
            </w:r>
            <w:r>
              <w:rPr>
                <w:b/>
              </w:rPr>
              <w:t xml:space="preserve">The Butterfly Movement Ltd</w:t>
            </w:r>
            <w:r>
              <w:t xml:space="preserve">, operational FY2026-27. The subsidiary / CLG / hybrid form is the unsettled keystone. Investor must be able to fund a for-profit Pty Ltd and/or a not-for-profit/DGR vehicle, or a hybrid;</w:t>
            </w:r>
            <w:r>
              <w:t xml:space="preserve"> </w:t>
            </w:r>
            <w:r>
              <w:rPr>
                <w:b/>
              </w:rPr>
              <w:t xml:space="preserve">equity into the eventual structure is complex and not the 2026 need.</w:t>
            </w:r>
          </w:p>
        </w:tc>
      </w:tr>
      <w:tr>
        <w:tc>
          <w:p>
            <w:pPr>
              <w:pStyle w:val="Compact"/>
              <w:jc w:val="left"/>
            </w:pPr>
            <w:r>
              <w:t xml:space="preserve">3</w:t>
            </w:r>
          </w:p>
        </w:tc>
        <w:tc>
          <w:p>
            <w:pPr>
              <w:pStyle w:val="Compact"/>
              <w:jc w:val="left"/>
            </w:pPr>
            <w:r>
              <w:rPr>
                <w:b/>
              </w:rPr>
              <w:t xml:space="preserve">Investment Size</w:t>
            </w:r>
          </w:p>
        </w:tc>
        <w:tc>
          <w:p>
            <w:pPr>
              <w:pStyle w:val="Compact"/>
              <w:jc w:val="left"/>
            </w:pPr>
            <w:r>
              <w:t xml:space="preserve">The first ~AU$400K of signed capital, sitting inside a</w:t>
            </w:r>
            <w:r>
              <w:t xml:space="preserve"> </w:t>
            </w:r>
            <w:r>
              <w:rPr>
                <w:b/>
              </w:rPr>
              <w:t xml:space="preserve">AU$900K–1M blended raise</w:t>
            </w:r>
            <w:r>
              <w:t xml:space="preserve">. Tranche-dependent: grant tickets ~AU$50–200K, concessional debt ~AU$300K, IBA blend up to AU$5M as a later anchor. Funders whose typical cheque is far above or far below the relevant tranche fail.</w:t>
            </w:r>
          </w:p>
        </w:tc>
      </w:tr>
      <w:tr>
        <w:tc>
          <w:p>
            <w:pPr>
              <w:pStyle w:val="Compact"/>
              <w:jc w:val="left"/>
            </w:pPr>
            <w:r>
              <w:t xml:space="preserve">4</w:t>
            </w:r>
          </w:p>
        </w:tc>
        <w:tc>
          <w:p>
            <w:pPr>
              <w:pStyle w:val="Compact"/>
              <w:jc w:val="left"/>
            </w:pPr>
            <w:r>
              <w:rPr>
                <w:b/>
              </w:rPr>
              <w:t xml:space="preserve">Return Expectations</w:t>
            </w:r>
          </w:p>
        </w:tc>
        <w:tc>
          <w:p>
            <w:pPr>
              <w:pStyle w:val="Compact"/>
              <w:jc w:val="left"/>
            </w:pPr>
            <w:r>
              <w:t xml:space="preserve">Concessional / social-first. Non-equity. Repayable preferred by the QBE match rule, but grants welcome. 5–10 year horizon; the eventual</w:t>
            </w:r>
            <w:r>
              <w:t xml:space="preserve"> </w:t>
            </w:r>
            <w:r>
              <w:t xml:space="preserve">“</w:t>
            </w:r>
            <w:r>
              <w:t xml:space="preserve">exit</w:t>
            </w:r>
            <w:r>
              <w:t xml:space="preserve">”</w:t>
            </w:r>
            <w:r>
              <w:t xml:space="preserve"> </w:t>
            </w:r>
            <w:r>
              <w:t xml:space="preserve">is</w:t>
            </w:r>
            <w:r>
              <w:t xml:space="preserve"> </w:t>
            </w:r>
            <w:r>
              <w:rPr>
                <w:b/>
              </w:rPr>
              <w:t xml:space="preserve">community ownership of production</w:t>
            </w:r>
            <w:r>
              <w:t xml:space="preserve">, not an investor liquidity event.</w:t>
            </w:r>
          </w:p>
        </w:tc>
      </w:tr>
      <w:tr>
        <w:tc>
          <w:p>
            <w:pPr>
              <w:pStyle w:val="Compact"/>
              <w:jc w:val="left"/>
            </w:pPr>
            <w:r>
              <w:t xml:space="preserve">5</w:t>
            </w:r>
          </w:p>
        </w:tc>
        <w:tc>
          <w:p>
            <w:pPr>
              <w:pStyle w:val="Compact"/>
              <w:jc w:val="left"/>
            </w:pPr>
            <w:r>
              <w:rPr>
                <w:b/>
              </w:rPr>
              <w:t xml:space="preserve">Capital Type</w:t>
            </w:r>
          </w:p>
        </w:tc>
        <w:tc>
          <w:p>
            <w:pPr>
              <w:pStyle w:val="Compact"/>
              <w:jc w:val="left"/>
            </w:pPr>
            <w:r>
              <w:t xml:space="preserve">Grants + concessional / recoverable / patient debt.</w:t>
            </w:r>
            <w:r>
              <w:t xml:space="preserve"> </w:t>
            </w:r>
            <w:r>
              <w:rPr>
                <w:b/>
              </w:rPr>
              <w:t xml:space="preserve">No conventional equity in 2026.</w:t>
            </w:r>
            <w:r>
              <w:t xml:space="preserve"> </w:t>
            </w:r>
            <w:r>
              <w:t xml:space="preserve">Equity is revisited only inside a future model where communities themselves become the equity holders.</w:t>
            </w:r>
          </w:p>
        </w:tc>
      </w:tr>
      <w:tr>
        <w:tc>
          <w:p>
            <w:pPr>
              <w:pStyle w:val="Compact"/>
              <w:jc w:val="left"/>
            </w:pPr>
            <w:r>
              <w:t xml:space="preserve">6</w:t>
            </w:r>
          </w:p>
        </w:tc>
        <w:tc>
          <w:p>
            <w:pPr>
              <w:pStyle w:val="Compact"/>
              <w:jc w:val="left"/>
            </w:pPr>
            <w:r>
              <w:rPr>
                <w:b/>
              </w:rPr>
              <w:t xml:space="preserve">Stage of Growth</w:t>
            </w:r>
          </w:p>
        </w:tc>
        <w:tc>
          <w:p>
            <w:pPr>
              <w:pStyle w:val="Compact"/>
              <w:jc w:val="left"/>
            </w:pPr>
            <w:r>
              <w:t xml:space="preserve">Early commercial — post-prototype, proven delivery (496 beds across 9 communities, tracked), pre-revenue commercial engine. This is a</w:t>
            </w:r>
            <w:r>
              <w:t xml:space="preserve"> </w:t>
            </w:r>
            <w:r>
              <w:rPr>
                <w:b/>
              </w:rPr>
              <w:t xml:space="preserve">de-risking round, not a growth round</w:t>
            </w:r>
            <w:r>
              <w:t xml:space="preserve"> </w:t>
            </w:r>
            <w:r>
              <w:t xml:space="preserve">(~89% grant-funded by design). Not seed; not growth-stage scale capital.</w:t>
            </w:r>
          </w:p>
        </w:tc>
      </w:tr>
    </w:tbl>
    <w:p>
      <w:pPr>
        <w:pStyle w:val="BlockText"/>
      </w:pPr>
      <w:r>
        <w:rPr>
          <w:b/>
        </w:rPr>
        <w:t xml:space="preserve">How a knockout fail shows up in the tool.</w:t>
      </w:r>
      <w:r>
        <w:t xml:space="preserve"> </w:t>
      </w:r>
      <w:r>
        <w:t xml:space="preserve">A funder fails a knockout when they are</w:t>
      </w:r>
      <w:r>
        <w:t xml:space="preserve"> </w:t>
      </w:r>
      <w:r>
        <w:rPr>
          <w:i/>
        </w:rPr>
        <w:t xml:space="preserve">Not Aligned</w:t>
      </w:r>
      <w:r>
        <w:t xml:space="preserve"> </w:t>
      </w:r>
      <w:r>
        <w:t xml:space="preserve">(or unknown) on that criterion. In the CASE logic the</w:t>
      </w:r>
      <w:r>
        <w:t xml:space="preserve"> </w:t>
      </w:r>
      <w:r>
        <w:t xml:space="preserve">“</w:t>
      </w:r>
      <w:r>
        <w:t xml:space="preserve">Knockout pass?</w:t>
      </w:r>
      <w:r>
        <w:t xml:space="preserve">”</w:t>
      </w:r>
      <w:r>
        <w:t xml:space="preserve"> </w:t>
      </w:r>
      <w:r>
        <w:t xml:space="preserve">result is</w:t>
      </w:r>
      <w:r>
        <w:t xml:space="preserve"> </w:t>
      </w:r>
      <w:r>
        <w:t xml:space="preserve">“</w:t>
      </w:r>
      <w:r>
        <w:t xml:space="preserve">Yes</w:t>
      </w:r>
      <w:r>
        <w:t xml:space="preserve">”</w:t>
      </w:r>
      <w:r>
        <w:t xml:space="preserve"> </w:t>
      </w:r>
      <w:r>
        <w:t xml:space="preserve">only when the venture is Somewhat- or Very-Aligned on</w:t>
      </w:r>
      <w:r>
        <w:t xml:space="preserve"> </w:t>
      </w:r>
      <w:r>
        <w:rPr>
          <w:b/>
        </w:rPr>
        <w:t xml:space="preserve">all six</w:t>
      </w:r>
      <w:r>
        <w:t xml:space="preserve">. One</w:t>
      </w:r>
      <w:r>
        <w:t xml:space="preserve"> </w:t>
      </w:r>
      <w:r>
        <w:rPr>
          <w:i/>
        </w:rPr>
        <w:t xml:space="preserve">Not Aligned</w:t>
      </w:r>
      <w:r>
        <w:t xml:space="preserve"> </w:t>
      </w:r>
      <w:r>
        <w:t xml:space="preserve">knockout flips the result to</w:t>
      </w:r>
      <w:r>
        <w:t xml:space="preserve"> </w:t>
      </w:r>
      <w:r>
        <w:t xml:space="preserve">“</w:t>
      </w:r>
      <w:r>
        <w:t xml:space="preserve">No</w:t>
      </w:r>
      <w:r>
        <w:t xml:space="preserve">”</w:t>
      </w:r>
      <w:r>
        <w:t xml:space="preserve">.</w:t>
      </w:r>
    </w:p>
    <w:p>
      <w:pPr>
        <w:pStyle w:val="Heading3"/>
      </w:pPr>
      <w:bookmarkStart w:id="185" w:name="X7d7a68faf5159e6972d84949f76f8dbd8003203"/>
      <w:r>
        <w:t xml:space="preserve">The ten fit criteria — Goods’ priority and why</w:t>
      </w:r>
      <w:bookmarkEnd w:id="185"/>
    </w:p>
    <w:p>
      <w:pPr>
        <w:pStyle w:val="FirstParagraph"/>
      </w:pPr>
      <w:r>
        <w:t xml:space="preserve">Priority is Goods’ call on how much each fit criterion matters right now. The CASE tool counts the High-priority fits separately (the n/4 column) and all fits together (the n/10 column).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Fit criterion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Why this priority for Goods</w:t>
            </w:r>
          </w:p>
        </w:tc>
      </w:tr>
      <w:tr>
        <w:tc>
          <w:p>
            <w:pPr>
              <w:pStyle w:val="Compact"/>
              <w:jc w:val="left"/>
            </w:pPr>
            <w:r>
              <w:rPr>
                <w:b/>
              </w:rPr>
              <w:t xml:space="preserve">Social Mission</w:t>
            </w:r>
            <w:r>
              <w:t xml:space="preserve"> </w:t>
            </w:r>
            <w:r>
              <w:t xml:space="preserve">(understands and supports our mission)</w:t>
            </w:r>
          </w:p>
        </w:tc>
        <w:tc>
          <w:p>
            <w:pPr>
              <w:pStyle w:val="Compact"/>
              <w:jc w:val="left"/>
            </w:pPr>
            <w:r>
              <w:rPr>
                <w:b/>
              </w:rPr>
              <w:t xml:space="preserve">High</w:t>
            </w:r>
          </w:p>
        </w:tc>
        <w:tc>
          <w:p>
            <w:pPr>
              <w:pStyle w:val="Compact"/>
              <w:jc w:val="left"/>
            </w:pPr>
            <w:r>
              <w:t xml:space="preserve">The mission — washable, repairable goods that prevent disease, built</w:t>
            </w:r>
            <w:r>
              <w:t xml:space="preserve"> </w:t>
            </w:r>
            <w:r>
              <w:rPr>
                <w:i/>
              </w:rPr>
              <w:t xml:space="preserve">with</w:t>
            </w:r>
            <w:r>
              <w:t xml:space="preserve"> </w:t>
            </w:r>
            <w:r>
              <w:t xml:space="preserve">communities, moving toward community ownership — is the whole proposition. A funder who does not get it will misread every later decision.</w:t>
            </w:r>
          </w:p>
        </w:tc>
      </w:tr>
      <w:tr>
        <w:tc>
          <w:p>
            <w:pPr>
              <w:pStyle w:val="Compact"/>
              <w:jc w:val="left"/>
            </w:pPr>
            <w:r>
              <w:rPr>
                <w:b/>
              </w:rPr>
              <w:t xml:space="preserve">Company Vision</w:t>
            </w:r>
            <w:r>
              <w:t xml:space="preserve"> </w:t>
            </w:r>
            <w:r>
              <w:t xml:space="preserve">(understands and supports our vision)</w:t>
            </w:r>
          </w:p>
        </w:tc>
        <w:tc>
          <w:p>
            <w:pPr>
              <w:pStyle w:val="Compact"/>
              <w:jc w:val="left"/>
            </w:pPr>
            <w:r>
              <w:rPr>
                <w:b/>
              </w:rPr>
              <w:t xml:space="preserve">High</w:t>
            </w:r>
          </w:p>
        </w:tc>
        <w:tc>
          <w:p>
            <w:pPr>
              <w:pStyle w:val="Compact"/>
              <w:jc w:val="left"/>
            </w:pPr>
            <w:r>
              <w:t xml:space="preserve">The vision is to</w:t>
            </w:r>
            <w:r>
              <w:t xml:space="preserve"> </w:t>
            </w:r>
            <w:r>
              <w:rPr>
                <w:i/>
              </w:rPr>
              <w:t xml:space="preserve">become unnecessary</w:t>
            </w:r>
            <w:r>
              <w:t xml:space="preserve"> </w:t>
            </w:r>
            <w:r>
              <w:t xml:space="preserve">— local people making and owning the goods. Funders chasing a scaling-equity story or a perpetual-charity story both misfit; we need backers who hold the</w:t>
            </w:r>
            <w:r>
              <w:t xml:space="preserve"> </w:t>
            </w:r>
            <w:r>
              <w:t xml:space="preserve">“</w:t>
            </w:r>
            <w:r>
              <w:t xml:space="preserve">design ourselves out of the job</w:t>
            </w:r>
            <w:r>
              <w:t xml:space="preserve">”</w:t>
            </w:r>
            <w:r>
              <w:t xml:space="preserve"> </w:t>
            </w:r>
            <w:r>
              <w:t xml:space="preserve">endgame.</w:t>
            </w:r>
          </w:p>
        </w:tc>
      </w:tr>
      <w:tr>
        <w:tc>
          <w:p>
            <w:pPr>
              <w:pStyle w:val="Compact"/>
              <w:jc w:val="left"/>
            </w:pPr>
            <w:r>
              <w:rPr>
                <w:b/>
              </w:rPr>
              <w:t xml:space="preserve">Governance</w:t>
            </w:r>
            <w:r>
              <w:t xml:space="preserve"> </w:t>
            </w:r>
            <w:r>
              <w:t xml:space="preserve">(their governance expectations match ours)</w:t>
            </w:r>
          </w:p>
        </w:tc>
        <w:tc>
          <w:p>
            <w:pPr>
              <w:pStyle w:val="Compact"/>
              <w:jc w:val="left"/>
            </w:pPr>
            <w:r>
              <w:rPr>
                <w:b/>
              </w:rPr>
              <w:t xml:space="preserve">Medium</w:t>
            </w:r>
          </w:p>
        </w:tc>
        <w:tc>
          <w:p>
            <w:pPr>
              <w:pStyle w:val="Compact"/>
              <w:jc w:val="left"/>
            </w:pPr>
            <w:r>
              <w:t xml:space="preserve">Goods has an advisory board, not yet a fiduciary one. A debt funder requiring an independent-majority board (SEFA) is a real gate; a grant funder comfortable with an advisory group is not. Medium because it is solvable, and the board build is already on the critical path.</w:t>
            </w:r>
          </w:p>
        </w:tc>
      </w:tr>
      <w:tr>
        <w:tc>
          <w:p>
            <w:pPr>
              <w:pStyle w:val="Compact"/>
              <w:jc w:val="left"/>
            </w:pPr>
            <w:r>
              <w:rPr>
                <w:b/>
              </w:rPr>
              <w:t xml:space="preserve">Restrictions</w:t>
            </w:r>
            <w:r>
              <w:t xml:space="preserve"> </w:t>
            </w:r>
            <w:r>
              <w:t xml:space="preserve">(use-of-funds restrictions work for us)</w:t>
            </w:r>
          </w:p>
        </w:tc>
        <w:tc>
          <w:p>
            <w:pPr>
              <w:pStyle w:val="Compact"/>
              <w:jc w:val="left"/>
            </w:pPr>
            <w:r>
              <w:rPr>
                <w:b/>
              </w:rPr>
              <w:t xml:space="preserve">Medium</w:t>
            </w:r>
          </w:p>
        </w:tc>
        <w:tc>
          <w:p>
            <w:pPr>
              <w:pStyle w:val="Compact"/>
              <w:jc w:val="left"/>
            </w:pPr>
            <w:r>
              <w:t xml:space="preserve">Some of the warmest money is geography-restricted (Centrecorp Trust-Deed-bound to Central Australia; NT-restricted Snow rounds). Restrictions are workable — Goods deploys in those places anyway — but they shape what each dollar can fund (e.g. not the in-source R&amp;D run).</w:t>
            </w:r>
          </w:p>
        </w:tc>
      </w:tr>
      <w:tr>
        <w:tc>
          <w:p>
            <w:pPr>
              <w:pStyle w:val="Compact"/>
              <w:jc w:val="left"/>
            </w:pPr>
            <w:r>
              <w:rPr>
                <w:b/>
              </w:rPr>
              <w:t xml:space="preserve">Impact Evidence</w:t>
            </w:r>
            <w:r>
              <w:t xml:space="preserve"> </w:t>
            </w:r>
            <w:r>
              <w:t xml:space="preserve">(we can provide the evidence expected)</w:t>
            </w:r>
          </w:p>
        </w:tc>
        <w:tc>
          <w:p>
            <w:pPr>
              <w:pStyle w:val="Compact"/>
              <w:jc w:val="left"/>
            </w:pPr>
            <w:r>
              <w:rPr>
                <w:b/>
              </w:rPr>
              <w:t xml:space="preserve">Medium</w:t>
            </w:r>
          </w:p>
        </w:tc>
        <w:tc>
          <w:p>
            <w:pPr>
              <w:pStyle w:val="Compact"/>
              <w:jc w:val="left"/>
            </w:pPr>
            <w:r>
              <w:t xml:space="preserve">Goods has strong delivery evidence (tracked register, consented stories) but the MEL framework and longitudinal outcomes are draft. A funder demanding mature impact metrics today is a stretch; most catalytic funders accept the de-risking framing.</w:t>
            </w:r>
          </w:p>
        </w:tc>
      </w:tr>
      <w:tr>
        <w:tc>
          <w:p>
            <w:pPr>
              <w:pStyle w:val="Compact"/>
              <w:jc w:val="left"/>
            </w:pPr>
            <w:r>
              <w:rPr>
                <w:b/>
              </w:rPr>
              <w:t xml:space="preserve">Connections</w:t>
            </w:r>
            <w:r>
              <w:t xml:space="preserve"> </w:t>
            </w:r>
            <w:r>
              <w:t xml:space="preserve">(able and willing to make useful introductions)</w:t>
            </w:r>
          </w:p>
        </w:tc>
        <w:tc>
          <w:p>
            <w:pPr>
              <w:pStyle w:val="Compact"/>
              <w:jc w:val="left"/>
            </w:pPr>
            <w:r>
              <w:rPr>
                <w:b/>
              </w:rPr>
              <w:t xml:space="preserve">High</w:t>
            </w:r>
          </w:p>
        </w:tc>
        <w:tc>
          <w:p>
            <w:pPr>
              <w:pStyle w:val="Compact"/>
              <w:jc w:val="left"/>
            </w:pPr>
            <w:r>
              <w:t xml:space="preserve">The raise is</w:t>
            </w:r>
            <w:r>
              <w:t xml:space="preserve"> </w:t>
            </w:r>
            <w:r>
              <w:t xml:space="preserve">“</w:t>
            </w:r>
            <w:r>
              <w:t xml:space="preserve">a conversation problem, not a discovery problem.</w:t>
            </w:r>
            <w:r>
              <w:t xml:space="preserve">”</w:t>
            </w:r>
            <w:r>
              <w:t xml:space="preserve"> </w:t>
            </w:r>
            <w:r>
              <w:t xml:space="preserve">A funder who opens doors to procurement, government, finance, and governance expertise is worth more than the cheque alone. The first signature’s signalling value (Snow → the rest of the stack) lives here.</w:t>
            </w:r>
          </w:p>
        </w:tc>
      </w:tr>
      <w:tr>
        <w:tc>
          <w:p>
            <w:pPr>
              <w:pStyle w:val="Compact"/>
              <w:jc w:val="left"/>
            </w:pPr>
            <w:r>
              <w:rPr>
                <w:b/>
              </w:rPr>
              <w:t xml:space="preserve">Geography experience</w:t>
            </w:r>
            <w:r>
              <w:t xml:space="preserve"> </w:t>
            </w:r>
            <w:r>
              <w:t xml:space="preserve">(experience in our locations)</w:t>
            </w:r>
          </w:p>
        </w:tc>
        <w:tc>
          <w:p>
            <w:pPr>
              <w:pStyle w:val="Compact"/>
              <w:jc w:val="left"/>
            </w:pPr>
            <w:r>
              <w:rPr>
                <w:b/>
              </w:rPr>
              <w:t xml:space="preserve">Medium</w:t>
            </w:r>
          </w:p>
        </w:tc>
        <w:tc>
          <w:p>
            <w:pPr>
              <w:pStyle w:val="Compact"/>
              <w:jc w:val="left"/>
            </w:pPr>
            <w:r>
              <w:t xml:space="preserve">Remote-Australia knowledge means a funder will not panic at slow timelines and freight realities. Useful, not decisive — a national funder willing to learn properly still qualifies.</w:t>
            </w:r>
          </w:p>
        </w:tc>
      </w:tr>
      <w:tr>
        <w:tc>
          <w:p>
            <w:pPr>
              <w:pStyle w:val="Compact"/>
              <w:jc w:val="left"/>
            </w:pPr>
            <w:r>
              <w:rPr>
                <w:b/>
              </w:rPr>
              <w:t xml:space="preserve">Industry experience</w:t>
            </w:r>
            <w:r>
              <w:t xml:space="preserve"> </w:t>
            </w:r>
            <w:r>
              <w:t xml:space="preserve">(experience in our market segment)</w:t>
            </w:r>
          </w:p>
        </w:tc>
        <w:tc>
          <w:p>
            <w:pPr>
              <w:pStyle w:val="Compact"/>
              <w:jc w:val="left"/>
            </w:pPr>
            <w:r>
              <w:rPr>
                <w:b/>
              </w:rPr>
              <w:t xml:space="preserve">Low</w:t>
            </w:r>
          </w:p>
        </w:tc>
        <w:tc>
          <w:p>
            <w:pPr>
              <w:pStyle w:val="Compact"/>
              <w:jc w:val="left"/>
            </w:pPr>
            <w:r>
              <w:t xml:space="preserve">The market — remote household goods, recycled-plastic manufacture, Indigenous procurement — is narrow; very few funders have direct sector experience, so we do not weight it heavily. WINYA-style precedent matters more than a funder’s own portfolio.</w:t>
            </w:r>
          </w:p>
        </w:tc>
      </w:tr>
      <w:tr>
        <w:tc>
          <w:p>
            <w:pPr>
              <w:pStyle w:val="Compact"/>
              <w:jc w:val="left"/>
            </w:pPr>
            <w:r>
              <w:rPr>
                <w:b/>
              </w:rPr>
              <w:t xml:space="preserve">Business-challenge experience</w:t>
            </w:r>
            <w:r>
              <w:t xml:space="preserve"> </w:t>
            </w:r>
            <w:r>
              <w:t xml:space="preserve">(experience with the specific issues we face)</w:t>
            </w:r>
          </w:p>
        </w:tc>
        <w:tc>
          <w:p>
            <w:pPr>
              <w:pStyle w:val="Compact"/>
              <w:jc w:val="left"/>
            </w:pPr>
            <w:r>
              <w:rPr>
                <w:b/>
              </w:rPr>
              <w:t xml:space="preserve">Low</w:t>
            </w:r>
          </w:p>
        </w:tc>
        <w:tc>
          <w:p>
            <w:pPr>
              <w:pStyle w:val="Compact"/>
              <w:jc w:val="left"/>
            </w:pPr>
            <w:r>
              <w:t xml:space="preserve">Helpful if a funder has backed early-commercial social enterprises through the prove-the-engine stage, but not a filter we can afford to apply strictly given the pipeline.</w:t>
            </w:r>
          </w:p>
        </w:tc>
      </w:tr>
      <w:tr>
        <w:tc>
          <w:p>
            <w:pPr>
              <w:pStyle w:val="Compact"/>
              <w:jc w:val="left"/>
            </w:pPr>
            <w:r>
              <w:rPr>
                <w:b/>
              </w:rPr>
              <w:t xml:space="preserve">Impact on future investments</w:t>
            </w:r>
            <w:r>
              <w:t xml:space="preserve"> </w:t>
            </w:r>
            <w:r>
              <w:t xml:space="preserve">(effect on our future raises)</w:t>
            </w:r>
          </w:p>
        </w:tc>
        <w:tc>
          <w:p>
            <w:pPr>
              <w:pStyle w:val="Compact"/>
              <w:jc w:val="left"/>
            </w:pPr>
            <w:r>
              <w:rPr>
                <w:b/>
              </w:rPr>
              <w:t xml:space="preserve">Medium</w:t>
            </w:r>
          </w:p>
        </w:tc>
        <w:tc>
          <w:p>
            <w:pPr>
              <w:pStyle w:val="Compact"/>
              <w:jc w:val="left"/>
            </w:pPr>
            <w:r>
              <w:t xml:space="preserve">A marquee catalytic name (Snow, PFI, IBA) de-risks the</w:t>
            </w:r>
            <w:r>
              <w:t xml:space="preserve"> </w:t>
            </w:r>
            <w:r>
              <w:rPr>
                <w:i/>
              </w:rPr>
              <w:t xml:space="preserve">next</w:t>
            </w:r>
            <w:r>
              <w:t xml:space="preserve"> </w:t>
            </w:r>
            <w:r>
              <w:t xml:space="preserve">raise and the community-ownership transition. Negative-signal risk is low here; upside is real, hence Medium.</w:t>
            </w:r>
          </w:p>
        </w:tc>
      </w:tr>
    </w:tbl>
    <w:p>
      <w:pPr>
        <w:pStyle w:val="BodyText"/>
      </w:pPr>
      <w:r>
        <w:rPr>
          <w:b/>
        </w:rPr>
        <w:t xml:space="preserve">Priority summary:</w:t>
      </w:r>
      <w:r>
        <w:t xml:space="preserve"> </w:t>
      </w:r>
      <w:r>
        <w:t xml:space="preserve">High = Social Mission, Company Vision, Connections (3 High-priority fits → the n/3 column). Medium = Governance, Restrictions, Impact Evidence, Geography experience, Impact on future investments. Low = Industry experience, Business-challenge experience.</w:t>
      </w:r>
    </w:p>
    <w:p>
      <w:pPr>
        <w:pStyle w:val="BlockText"/>
      </w:pPr>
      <w:r>
        <w:t xml:space="preserve">Note on the High-priority count. The CASE worked example treats four criteria as High; Goods carries</w:t>
      </w:r>
      <w:r>
        <w:t xml:space="preserve"> </w:t>
      </w:r>
      <w:r>
        <w:rPr>
          <w:b/>
        </w:rPr>
        <w:t xml:space="preserve">three</w:t>
      </w:r>
      <w:r>
        <w:t xml:space="preserve"> </w:t>
      </w:r>
      <w:r>
        <w:t xml:space="preserve">(Social Mission, Company Vision, Connections), so the High-priority fit column reads</w:t>
      </w:r>
      <w:r>
        <w:t xml:space="preserve"> </w:t>
      </w:r>
      <w:r>
        <w:t xml:space="preserve">“</w:t>
      </w:r>
      <w:r>
        <w:t xml:space="preserve">n/3</w:t>
      </w:r>
      <w:r>
        <w:t xml:space="preserve">”</w:t>
      </w:r>
      <w:r>
        <w:t xml:space="preserve"> </w:t>
      </w:r>
      <w:r>
        <w:t xml:space="preserve">for Goods. The populated workbook computes this automatically from the priority row.</w:t>
      </w:r>
    </w:p>
    <w:p>
      <w:r>
        <w:pict>
          <v:rect style="width:0;height:1.5pt" o:hralign="center" o:hrstd="t" o:hr="t"/>
        </w:pict>
      </w:r>
    </w:p>
    <w:p>
      <w:pPr>
        <w:pStyle w:val="Heading2"/>
      </w:pPr>
      <w:bookmarkStart w:id="186" w:name="section-b-scored-pipeline"/>
      <w:r>
        <w:t xml:space="preserve">Section B — Scored pipeline</w:t>
      </w:r>
      <w:bookmarkEnd w:id="186"/>
    </w:p>
    <w:p>
      <w:pPr>
        <w:pStyle w:val="FirstParagraph"/>
      </w:pPr>
      <w:r>
        <w:t xml:space="preserve">Every investor/funder in the wiki pipeline, scored against the Tab 1 filter.</w:t>
      </w:r>
      <w:r>
        <w:t xml:space="preserve"> </w:t>
      </w:r>
      <w:r>
        <w:rPr>
          <w:b/>
        </w:rPr>
        <w:t xml:space="preserve">Knockout pass?</w:t>
      </w:r>
      <w:r>
        <w:t xml:space="preserve"> </w:t>
      </w:r>
      <w:r>
        <w:t xml:space="preserve">= Yes only if Somewhat/Very Aligned on all six knockouts.</w:t>
      </w:r>
      <w:r>
        <w:t xml:space="preserve"> </w:t>
      </w:r>
      <w:r>
        <w:rPr>
          <w:b/>
        </w:rPr>
        <w:t xml:space="preserve">High-priority fit</w:t>
      </w:r>
      <w:r>
        <w:t xml:space="preserve"> </w:t>
      </w:r>
      <w:r>
        <w:t xml:space="preserve">= of the 3 High fits (Social Mission, Company Vision, Connections), how many are Somewhat/Very Aligned.</w:t>
      </w:r>
      <w:r>
        <w:t xml:space="preserve"> </w:t>
      </w:r>
      <w:r>
        <w:rPr>
          <w:b/>
        </w:rPr>
        <w:t xml:space="preserve">Overall fit</w:t>
      </w:r>
      <w:r>
        <w:t xml:space="preserve"> </w:t>
      </w:r>
      <w:r>
        <w:t xml:space="preserve">= of all 10 fits, how many are Somewhat/Very Aligned. The scores below are the values the populated workbook computes (the authoritative CASE-tool output) — the two deliverables agree exactly. Ratings map from the wiki alignment matrix (3 = Very Aligned, 2 = Somewhat Aligned, 1 = Don’t Know / unclear, 0 = Not Aligned). A cell the profile is silent on is</w:t>
      </w:r>
      <w:r>
        <w:t xml:space="preserve"> </w:t>
      </w:r>
      <w:r>
        <w:rPr>
          <w:b/>
        </w:rPr>
        <w:t xml:space="preserve">Don’t Know</w:t>
      </w:r>
      <w:r>
        <w:t xml:space="preserve">.</w:t>
      </w:r>
    </w:p>
    <w:p>
      <w:pPr>
        <w:pStyle w:val="BlockText"/>
      </w:pPr>
      <w:r>
        <w:rPr>
          <w:b/>
        </w:rPr>
        <w:t xml:space="preserve">Why so many 10/10s.</w:t>
      </w:r>
      <w:r>
        <w:t xml:space="preserve"> </w:t>
      </w:r>
      <w:r>
        <w:t xml:space="preserve">The CASE tool’s fit count is binary — a criterion counts as</w:t>
      </w:r>
      <w:r>
        <w:t xml:space="preserve"> </w:t>
      </w:r>
      <w:r>
        <w:t xml:space="preserve">“</w:t>
      </w:r>
      <w:r>
        <w:t xml:space="preserve">aligned</w:t>
      </w:r>
      <w:r>
        <w:t xml:space="preserve">”</w:t>
      </w:r>
      <w:r>
        <w:t xml:space="preserve"> </w:t>
      </w:r>
      <w:r>
        <w:t xml:space="preserve">whether it is</w:t>
      </w:r>
      <w:r>
        <w:t xml:space="preserve"> </w:t>
      </w:r>
      <w:r>
        <w:rPr>
          <w:i/>
        </w:rPr>
        <w:t xml:space="preserve">Very</w:t>
      </w:r>
      <w:r>
        <w:t xml:space="preserve"> </w:t>
      </w:r>
      <w:r>
        <w:t xml:space="preserve">or</w:t>
      </w:r>
      <w:r>
        <w:t xml:space="preserve"> </w:t>
      </w:r>
      <w:r>
        <w:rPr>
          <w:i/>
        </w:rPr>
        <w:t xml:space="preserve">Somewhat</w:t>
      </w:r>
      <w:r>
        <w:t xml:space="preserve"> </w:t>
      </w:r>
      <w:r>
        <w:t xml:space="preserve">aligned. So a funder rated</w:t>
      </w:r>
      <w:r>
        <w:t xml:space="preserve"> </w:t>
      </w:r>
      <w:r>
        <w:t xml:space="preserve">“</w:t>
      </w:r>
      <w:r>
        <w:t xml:space="preserve">Somewhat</w:t>
      </w:r>
      <w:r>
        <w:t xml:space="preserve">”</w:t>
      </w:r>
      <w:r>
        <w:t xml:space="preserve"> </w:t>
      </w:r>
      <w:r>
        <w:t xml:space="preserve">on several fits still scores them as aligned, and the strongest funders land at 10/10. The finer texture (which fits are</w:t>
      </w:r>
      <w:r>
        <w:t xml:space="preserve"> </w:t>
      </w:r>
      <w:r>
        <w:rPr>
          <w:i/>
        </w:rPr>
        <w:t xml:space="preserve">Very</w:t>
      </w:r>
      <w:r>
        <w:t xml:space="preserve"> </w:t>
      </w:r>
      <w:r>
        <w:t xml:space="preserve">vs only</w:t>
      </w:r>
      <w:r>
        <w:t xml:space="preserve"> </w:t>
      </w:r>
      <w:r>
        <w:rPr>
          <w:i/>
        </w:rPr>
        <w:t xml:space="preserve">Somewhat</w:t>
      </w:r>
      <w:r>
        <w:t xml:space="preserve">) lives in the wiki’s 0-3 matrix and in the per-investor notes inside the workbook; read the High-priority column and the knockout result for the real discrimination, not the all-fit total alone.</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Investor / funder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Knockout pass?</w:t>
            </w:r>
          </w:p>
        </w:tc>
        <w:tc>
          <w:tcPr>
            <w:tcBorders>
              <w:bottom w:val="single"/>
            </w:tcBorders>
            <w:vAlign w:val="bottom"/>
          </w:tcPr>
          <w:p>
            <w:pPr>
              <w:pStyle w:val="Compact"/>
              <w:jc w:val="left"/>
            </w:pPr>
            <w:r>
              <w:t xml:space="preserve">High-priority fit (/3)</w:t>
            </w:r>
          </w:p>
        </w:tc>
        <w:tc>
          <w:tcPr>
            <w:tcBorders>
              <w:bottom w:val="single"/>
            </w:tcBorders>
            <w:vAlign w:val="bottom"/>
          </w:tcPr>
          <w:p>
            <w:pPr>
              <w:pStyle w:val="Compact"/>
              <w:jc w:val="left"/>
            </w:pPr>
            <w:r>
              <w:t xml:space="preserve">Overall fit (/10)</w:t>
            </w:r>
          </w:p>
        </w:tc>
        <w:tc>
          <w:tcPr>
            <w:tcBorders>
              <w:bottom w:val="single"/>
            </w:tcBorders>
            <w:vAlign w:val="bottom"/>
          </w:tcPr>
          <w:p>
            <w:pPr>
              <w:pStyle w:val="Compact"/>
              <w:jc w:val="left"/>
            </w:pPr>
            <w:r>
              <w:t xml:space="preserve">Relationship status</w:t>
            </w:r>
          </w:p>
        </w:tc>
        <w:tc>
          <w:tcPr>
            <w:tcBorders>
              <w:bottom w:val="single"/>
            </w:tcBorders>
            <w:vAlign w:val="bottom"/>
          </w:tcPr>
          <w:p>
            <w:pPr>
              <w:pStyle w:val="Compact"/>
              <w:jc w:val="left"/>
            </w:pPr>
            <w:r>
              <w:t xml:space="preserve">Recommended next action</w:t>
            </w:r>
          </w:p>
        </w:tc>
      </w:tr>
      <w:tr>
        <w:tc>
          <w:p>
            <w:pPr>
              <w:pStyle w:val="Compact"/>
              <w:jc w:val="left"/>
            </w:pPr>
            <w:r>
              <w:rPr>
                <w:b/>
              </w:rPr>
              <w:t xml:space="preserve">QBE Foundation</w:t>
            </w:r>
          </w:p>
        </w:tc>
        <w:tc>
          <w:p>
            <w:pPr>
              <w:pStyle w:val="Compact"/>
              <w:jc w:val="left"/>
            </w:pPr>
            <w:r>
              <w:t xml:space="preserve">Private foundation (corporate)</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Anchor — program host; Stage 1 grant committed; Stage 2 (up to AU$400K, match-contingent) due Sept 2026</w:t>
            </w:r>
          </w:p>
        </w:tc>
        <w:tc>
          <w:p>
            <w:pPr>
              <w:pStyle w:val="Compact"/>
              <w:jc w:val="left"/>
            </w:pPr>
            <w:r>
              <w:t xml:space="preserve">Complete the PIN working session; use the QBE funder letter to open every other conversation; assemble the legally-binding match before 31 Aug 2026.</w:t>
            </w:r>
          </w:p>
        </w:tc>
      </w:tr>
      <w:tr>
        <w:tc>
          <w:p>
            <w:pPr>
              <w:pStyle w:val="Compact"/>
              <w:jc w:val="left"/>
            </w:pPr>
            <w:r>
              <w:rPr>
                <w:b/>
              </w:rPr>
              <w:t xml:space="preserve">Snow Foundation</w:t>
            </w:r>
          </w:p>
        </w:tc>
        <w:tc>
          <w:p>
            <w:pPr>
              <w:pStyle w:val="Compact"/>
              <w:jc w:val="left"/>
            </w:pPr>
            <w:r>
              <w:t xml:space="preserve">Community / family foundation</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Anchor partner — ~AU$493K invoiced since 2023; Sally Grimsley-Ballard on advisory group; R4/R5 (~AU$130–200K) in conversation</w:t>
            </w:r>
          </w:p>
        </w:tc>
        <w:tc>
          <w:p>
            <w:pPr>
              <w:pStyle w:val="Compact"/>
              <w:jc w:val="left"/>
            </w:pPr>
            <w:r>
              <w:t xml:space="preserve">Ask Snow to be the</w:t>
            </w:r>
            <w:r>
              <w:t xml:space="preserve"> </w:t>
            </w:r>
            <w:r>
              <w:rPr>
                <w:b/>
              </w:rPr>
              <w:t xml:space="preserve">first signature</w:t>
            </w:r>
            <w:r>
              <w:t xml:space="preserve"> </w:t>
            </w:r>
            <w:r>
              <w:t xml:space="preserve">(note 08). Open R4/R5; request a letter of support to anchor the blended stack (Jigsaw co-investment precedent).</w:t>
            </w:r>
          </w:p>
        </w:tc>
      </w:tr>
      <w:tr>
        <w:tc>
          <w:p>
            <w:pPr>
              <w:pStyle w:val="Compact"/>
              <w:jc w:val="left"/>
            </w:pPr>
            <w:r>
              <w:rPr>
                <w:b/>
              </w:rPr>
              <w:t xml:space="preserve">SEFA</w:t>
            </w:r>
          </w:p>
        </w:tc>
        <w:tc>
          <w:p>
            <w:pPr>
              <w:pStyle w:val="Compact"/>
              <w:jc w:val="left"/>
            </w:pPr>
            <w:r>
              <w:t xml:space="preserve">CDFI</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Active — opening; ~AU$300K working-capital sub-debt; no formal ask yet</w:t>
            </w:r>
          </w:p>
        </w:tc>
        <w:tc>
          <w:p>
            <w:pPr>
              <w:pStyle w:val="Compact"/>
              <w:jc w:val="left"/>
            </w:pPr>
            <w:r>
              <w:t xml:space="preserve">Email Hannah Ebeling to open the lender conversation (note 10). Be honest the three gates (financial model, independent-majority board, serviceable covenant) are not yet met; ask for her read on the path.</w:t>
            </w:r>
          </w:p>
        </w:tc>
      </w:tr>
      <w:tr>
        <w:tc>
          <w:p>
            <w:pPr>
              <w:pStyle w:val="Compact"/>
              <w:jc w:val="left"/>
            </w:pPr>
            <w:r>
              <w:rPr>
                <w:b/>
              </w:rPr>
              <w:t xml:space="preserve">IBA</w:t>
            </w:r>
          </w:p>
        </w:tc>
        <w:tc>
          <w:p>
            <w:pPr>
              <w:pStyle w:val="Compact"/>
              <w:jc w:val="left"/>
            </w:pPr>
            <w:r>
              <w:t xml:space="preserve">Government investment fund</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Active — eligibility confirmed; up to AU$5M grant+debt blend; business plan in development</w:t>
            </w:r>
          </w:p>
        </w:tc>
        <w:tc>
          <w:p>
            <w:pPr>
              <w:pStyle w:val="Compact"/>
              <w:jc w:val="left"/>
            </w:pPr>
            <w:r>
              <w:t xml:space="preserve">Build the business plan to qualify. Treat as the later senior-debt anchor, not the first-AU$400K tranche. Decide entity/Indigenous-ownership structure (gates eligibility).</w:t>
            </w:r>
          </w:p>
        </w:tc>
      </w:tr>
      <w:tr>
        <w:tc>
          <w:p>
            <w:pPr>
              <w:pStyle w:val="Compact"/>
              <w:jc w:val="left"/>
            </w:pPr>
            <w:r>
              <w:rPr>
                <w:b/>
              </w:rPr>
              <w:t xml:space="preserve">PFI (Paul Ramsay Foundation)</w:t>
            </w:r>
          </w:p>
        </w:tc>
        <w:tc>
          <w:p>
            <w:pPr>
              <w:pStyle w:val="Compact"/>
              <w:jc w:val="left"/>
            </w:pPr>
            <w:r>
              <w:t xml:space="preserve">Private foundation</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Active — recoverable-grant EOI submitted; AU$640K target; awaiting feedback</w:t>
            </w:r>
          </w:p>
        </w:tc>
        <w:tc>
          <w:p>
            <w:pPr>
              <w:pStyle w:val="Compact"/>
              <w:jc w:val="left"/>
            </w:pPr>
            <w:r>
              <w:t xml:space="preserve">Await EOI feedback; confirm whether the AU$640K figure still stands. Confirm they will open doors, not only write a cheque (the one fit gap — rated only</w:t>
            </w:r>
            <w:r>
              <w:t xml:space="preserve"> </w:t>
            </w:r>
            <w:r>
              <w:rPr>
                <w:i/>
              </w:rPr>
              <w:t xml:space="preserve">Somewhat</w:t>
            </w:r>
            <w:r>
              <w:t xml:space="preserve"> </w:t>
            </w:r>
            <w:r>
              <w:t xml:space="preserve">on Connections).</w:t>
            </w:r>
          </w:p>
        </w:tc>
      </w:tr>
      <w:tr>
        <w:tc>
          <w:p>
            <w:pPr>
              <w:pStyle w:val="Compact"/>
              <w:jc w:val="left"/>
            </w:pPr>
            <w:r>
              <w:rPr>
                <w:b/>
              </w:rPr>
              <w:t xml:space="preserve">First Australians Capital</w:t>
            </w:r>
          </w:p>
        </w:tc>
        <w:tc>
          <w:p>
            <w:pPr>
              <w:pStyle w:val="Compact"/>
              <w:jc w:val="left"/>
            </w:pPr>
            <w:r>
              <w:t xml:space="preserve">CDFI (Indigenous-led)</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Open / research — indicative AU$100–500K debt; intro via IBA or SIH</w:t>
            </w:r>
          </w:p>
        </w:tc>
        <w:tc>
          <w:p>
            <w:pPr>
              <w:pStyle w:val="Compact"/>
              <w:jc w:val="left"/>
            </w:pPr>
            <w:r>
              <w:t xml:space="preserve">Seek a warm intro via IBA or SIH. Research specific deal terms. Position as complementary to (or a split facility with) IBA senior debt.</w:t>
            </w:r>
          </w:p>
        </w:tc>
      </w:tr>
      <w:tr>
        <w:tc>
          <w:p>
            <w:pPr>
              <w:pStyle w:val="Compact"/>
              <w:jc w:val="left"/>
            </w:pPr>
            <w:r>
              <w:rPr>
                <w:b/>
              </w:rPr>
              <w:t xml:space="preserve">Minderoo Foundation</w:t>
            </w:r>
          </w:p>
        </w:tc>
        <w:tc>
          <w:p>
            <w:pPr>
              <w:pStyle w:val="Compact"/>
              <w:jc w:val="left"/>
            </w:pPr>
            <w:r>
              <w:t xml:space="preserve">Private foundation</w:t>
            </w:r>
          </w:p>
        </w:tc>
        <w:tc>
          <w:p>
            <w:pPr>
              <w:pStyle w:val="Compact"/>
              <w:jc w:val="left"/>
            </w:pPr>
            <w:r>
              <w:rPr>
                <w:b/>
              </w:rPr>
              <w:t xml:space="preserve">No</w:t>
            </w:r>
            <w:r>
              <w:t xml:space="preserve"> </w:t>
            </w:r>
            <w:r>
              <w:t xml:space="preserve">(Don’t Know on Geography — unconfirmed)</w:t>
            </w:r>
          </w:p>
        </w:tc>
        <w:tc>
          <w:p>
            <w:pPr>
              <w:pStyle w:val="Compact"/>
              <w:jc w:val="left"/>
            </w:pPr>
            <w:r>
              <w:t xml:space="preserve">3/3</w:t>
            </w:r>
          </w:p>
        </w:tc>
        <w:tc>
          <w:p>
            <w:pPr>
              <w:pStyle w:val="Compact"/>
              <w:jc w:val="left"/>
            </w:pPr>
            <w:r>
              <w:t xml:space="preserve">7/10</w:t>
            </w:r>
          </w:p>
        </w:tc>
        <w:tc>
          <w:p>
            <w:pPr>
              <w:pStyle w:val="Compact"/>
              <w:jc w:val="left"/>
            </w:pPr>
            <w:r>
              <w:t xml:space="preserve">Warm — relationship-only, no application; AU$200K catalytic-bucket target; gated on the June 2026 Minderoo Board justice-strategy decision</w:t>
            </w:r>
          </w:p>
        </w:tc>
        <w:tc>
          <w:p>
            <w:pPr>
              <w:pStyle w:val="Compact"/>
              <w:jc w:val="left"/>
            </w:pPr>
            <w:r>
              <w:t xml:space="preserve">Hold as a warm relationship via Lucy Stronach / Beck Parkinson until the June board lands. Confirm the geographic/mandate fit before any formal ask — the one unconfirmed knockout.</w:t>
            </w:r>
          </w:p>
        </w:tc>
      </w:tr>
      <w:tr>
        <w:tc>
          <w:p>
            <w:pPr>
              <w:pStyle w:val="Compact"/>
              <w:jc w:val="left"/>
            </w:pPr>
            <w:r>
              <w:rPr>
                <w:b/>
              </w:rPr>
              <w:t xml:space="preserve">Tim Fairfax Family Foundation</w:t>
            </w:r>
          </w:p>
        </w:tc>
        <w:tc>
          <w:p>
            <w:pPr>
              <w:pStyle w:val="Compact"/>
              <w:jc w:val="left"/>
            </w:pPr>
            <w:r>
              <w:t xml:space="preserve">Community / family foundation</w:t>
            </w:r>
          </w:p>
        </w:tc>
        <w:tc>
          <w:p>
            <w:pPr>
              <w:pStyle w:val="Compact"/>
              <w:jc w:val="left"/>
            </w:pPr>
            <w:r>
              <w:rPr>
                <w:b/>
              </w:rPr>
              <w:t xml:space="preserve">No</w:t>
            </w:r>
            <w:r>
              <w:t xml:space="preserve"> </w:t>
            </w:r>
            <w:r>
              <w:t xml:space="preserve">(Don’t Know on Capital Type / Stage / Size)</w:t>
            </w:r>
          </w:p>
        </w:tc>
        <w:tc>
          <w:p>
            <w:pPr>
              <w:pStyle w:val="Compact"/>
              <w:jc w:val="left"/>
            </w:pPr>
            <w:r>
              <w:t xml:space="preserve">3/3</w:t>
            </w:r>
          </w:p>
        </w:tc>
        <w:tc>
          <w:p>
            <w:pPr>
              <w:pStyle w:val="Compact"/>
              <w:jc w:val="left"/>
            </w:pPr>
            <w:r>
              <w:t xml:space="preserve">6/10</w:t>
            </w:r>
          </w:p>
        </w:tc>
        <w:tc>
          <w:p>
            <w:pPr>
              <w:pStyle w:val="Compact"/>
              <w:jc w:val="left"/>
            </w:pPr>
            <w:r>
              <w:t xml:space="preserve">Advisory — no Goods grant yet; indicative AU$50–150K grant; Katie Norman warm</w:t>
            </w:r>
          </w:p>
        </w:tc>
        <w:tc>
          <w:p>
            <w:pPr>
              <w:pStyle w:val="Compact"/>
              <w:jc w:val="left"/>
            </w:pPr>
            <w:r>
              <w:t xml:space="preserve">Keep warm via Katie Norman. Lead with Palm Island and youth-jobs proof. Confirm whether they fund at Goods’ stage and ticket before a formal ask. Grant-layer complement to Snow R4.</w:t>
            </w:r>
          </w:p>
        </w:tc>
      </w:tr>
      <w:tr>
        <w:tc>
          <w:p>
            <w:pPr>
              <w:pStyle w:val="Compact"/>
              <w:jc w:val="left"/>
            </w:pPr>
            <w:r>
              <w:rPr>
                <w:b/>
              </w:rPr>
              <w:t xml:space="preserve">Dusseldorp Forum</w:t>
            </w:r>
          </w:p>
        </w:tc>
        <w:tc>
          <w:p>
            <w:pPr>
              <w:pStyle w:val="Compact"/>
              <w:jc w:val="left"/>
            </w:pPr>
            <w:r>
              <w:t xml:space="preserve">Private foundation</w:t>
            </w:r>
          </w:p>
        </w:tc>
        <w:tc>
          <w:p>
            <w:pPr>
              <w:pStyle w:val="Compact"/>
              <w:jc w:val="left"/>
            </w:pPr>
            <w:r>
              <w:rPr>
                <w:b/>
              </w:rPr>
              <w:t xml:space="preserve">No</w:t>
            </w:r>
            <w:r>
              <w:t xml:space="preserve"> </w:t>
            </w:r>
            <w:r>
              <w:t xml:space="preserve">(no Goods-specific position — Don’t Know throughout)</w:t>
            </w:r>
          </w:p>
        </w:tc>
        <w:tc>
          <w:p>
            <w:pPr>
              <w:pStyle w:val="Compact"/>
              <w:jc w:val="left"/>
            </w:pPr>
            <w:r>
              <w:t xml:space="preserve">3/3</w:t>
            </w:r>
          </w:p>
        </w:tc>
        <w:tc>
          <w:p>
            <w:pPr>
              <w:pStyle w:val="Compact"/>
              <w:jc w:val="left"/>
            </w:pPr>
            <w:r>
              <w:t xml:space="preserve">5/10</w:t>
            </w:r>
          </w:p>
        </w:tc>
        <w:tc>
          <w:p>
            <w:pPr>
              <w:pStyle w:val="Compact"/>
              <w:jc w:val="left"/>
            </w:pPr>
            <w:r>
              <w:t xml:space="preserve">Not a Goods funder — the known AU$15K is Mounty Backyard / Contained / JusticeHub,</w:t>
            </w:r>
            <w:r>
              <w:t xml:space="preserve"> </w:t>
            </w:r>
            <w:r>
              <w:rPr>
                <w:b/>
              </w:rPr>
              <w:t xml:space="preserve">not Goods</w:t>
            </w:r>
            <w:r>
              <w:t xml:space="preserve">; longer-term partnership flagged</w:t>
            </w:r>
          </w:p>
        </w:tc>
        <w:tc>
          <w:p>
            <w:pPr>
              <w:pStyle w:val="Compact"/>
              <w:jc w:val="left"/>
            </w:pPr>
            <w:r>
              <w:t xml:space="preserve">Do not move into the Goods pipeline until a Goods-specific conversation exists. Possible relationship context only via the JustReinvest network.</w:t>
            </w:r>
          </w:p>
        </w:tc>
      </w:tr>
      <w:tr>
        <w:tc>
          <w:p>
            <w:pPr>
              <w:pStyle w:val="Compact"/>
              <w:jc w:val="left"/>
            </w:pPr>
            <w:r>
              <w:rPr>
                <w:b/>
              </w:rPr>
              <w:t xml:space="preserve">TFN (The Funding Network)</w:t>
            </w:r>
          </w:p>
        </w:tc>
        <w:tc>
          <w:p>
            <w:pPr>
              <w:pStyle w:val="Compact"/>
              <w:jc w:val="left"/>
            </w:pPr>
            <w:r>
              <w:t xml:space="preserve">Crowdfunding / live-pitch network</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Received — AU$130K (Dec 2025); relationship active</w:t>
            </w:r>
          </w:p>
        </w:tc>
        <w:tc>
          <w:p>
            <w:pPr>
              <w:pStyle w:val="Compact"/>
              <w:jc w:val="left"/>
            </w:pPr>
            <w:r>
              <w:t xml:space="preserve">Return for follow-on or, more valuably, referral — TFN is an alumni-network connector to downstream funders.</w:t>
            </w:r>
          </w:p>
        </w:tc>
      </w:tr>
      <w:tr>
        <w:tc>
          <w:p>
            <w:pPr>
              <w:pStyle w:val="Compact"/>
              <w:jc w:val="left"/>
            </w:pPr>
            <w:r>
              <w:rPr>
                <w:b/>
              </w:rPr>
              <w:t xml:space="preserve">FRRR</w:t>
            </w:r>
          </w:p>
        </w:tc>
        <w:tc>
          <w:p>
            <w:pPr>
              <w:pStyle w:val="Compact"/>
              <w:jc w:val="left"/>
            </w:pPr>
            <w:r>
              <w:t xml:space="preserve">Community / family foundation</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Received — AU$50K Backing the Future (joint with VFFF; one grant, not two); Palm Island acquittal complete Mar 2026</w:t>
            </w:r>
          </w:p>
        </w:tc>
        <w:tc>
          <w:p>
            <w:pPr>
              <w:pStyle w:val="Compact"/>
              <w:jc w:val="left"/>
            </w:pPr>
            <w:r>
              <w:t xml:space="preserve">A second ask coordinated with the QBE match process — FRRR is already a QBE Local Division Partnership, so may be receptive. Contact Steph Pearson.</w:t>
            </w:r>
          </w:p>
        </w:tc>
      </w:tr>
      <w:tr>
        <w:tc>
          <w:p>
            <w:pPr>
              <w:pStyle w:val="Compact"/>
              <w:jc w:val="left"/>
            </w:pPr>
            <w:r>
              <w:rPr>
                <w:b/>
              </w:rPr>
              <w:t xml:space="preserve">VFFF</w:t>
            </w:r>
          </w:p>
        </w:tc>
        <w:tc>
          <w:p>
            <w:pPr>
              <w:pStyle w:val="Compact"/>
              <w:jc w:val="left"/>
            </w:pPr>
            <w:r>
              <w:t xml:space="preserve">Community / family foundation</w:t>
            </w:r>
          </w:p>
        </w:tc>
        <w:tc>
          <w:p>
            <w:pPr>
              <w:pStyle w:val="Compact"/>
              <w:jc w:val="left"/>
            </w:pPr>
            <w:r>
              <w:rPr>
                <w:b/>
              </w:rPr>
              <w:t xml:space="preserve">Yes</w:t>
            </w:r>
          </w:p>
        </w:tc>
        <w:tc>
          <w:p>
            <w:pPr>
              <w:pStyle w:val="Compact"/>
              <w:jc w:val="left"/>
            </w:pPr>
            <w:r>
              <w:t xml:space="preserve">3/3</w:t>
            </w:r>
          </w:p>
        </w:tc>
        <w:tc>
          <w:p>
            <w:pPr>
              <w:pStyle w:val="Compact"/>
              <w:jc w:val="left"/>
            </w:pPr>
            <w:r>
              <w:t xml:space="preserve">9/10</w:t>
            </w:r>
          </w:p>
        </w:tc>
        <w:tc>
          <w:p>
            <w:pPr>
              <w:pStyle w:val="Compact"/>
              <w:jc w:val="left"/>
            </w:pPr>
            <w:r>
              <w:t xml:space="preserve">Received — co-funder of the AU$50K Backing the Future grant (FRRR administers)</w:t>
            </w:r>
          </w:p>
        </w:tc>
        <w:tc>
          <w:p>
            <w:pPr>
              <w:pStyle w:val="Compact"/>
              <w:jc w:val="left"/>
            </w:pPr>
            <w:r>
              <w:t xml:space="preserve">Explore a VFFF Round 2 as part of the philanthropic layer. Confirm appetite via N. Chinner / E. Schwanke.</w:t>
            </w:r>
          </w:p>
        </w:tc>
      </w:tr>
      <w:tr>
        <w:tc>
          <w:p>
            <w:pPr>
              <w:pStyle w:val="Compact"/>
              <w:jc w:val="left"/>
            </w:pPr>
            <w:r>
              <w:rPr>
                <w:b/>
              </w:rPr>
              <w:t xml:space="preserve">AMP (AMP Foundation / Spark)</w:t>
            </w:r>
          </w:p>
        </w:tc>
        <w:tc>
          <w:p>
            <w:pPr>
              <w:pStyle w:val="Compact"/>
              <w:jc w:val="left"/>
            </w:pPr>
            <w:r>
              <w:t xml:space="preserve">Private foundation</w:t>
            </w:r>
          </w:p>
        </w:tc>
        <w:tc>
          <w:p>
            <w:pPr>
              <w:pStyle w:val="Compact"/>
              <w:jc w:val="left"/>
            </w:pPr>
            <w:r>
              <w:rPr>
                <w:b/>
              </w:rPr>
              <w:t xml:space="preserve">No</w:t>
            </w:r>
            <w:r>
              <w:t xml:space="preserve"> </w:t>
            </w:r>
            <w:r>
              <w:t xml:space="preserve">(Don’t Know on Geography / Size / Stage)</w:t>
            </w:r>
          </w:p>
        </w:tc>
        <w:tc>
          <w:p>
            <w:pPr>
              <w:pStyle w:val="Compact"/>
              <w:jc w:val="left"/>
            </w:pPr>
            <w:r>
              <w:t xml:space="preserve">3/3</w:t>
            </w:r>
          </w:p>
        </w:tc>
        <w:tc>
          <w:p>
            <w:pPr>
              <w:pStyle w:val="Compact"/>
              <w:jc w:val="left"/>
            </w:pPr>
            <w:r>
              <w:t xml:space="preserve">7/10</w:t>
            </w:r>
          </w:p>
        </w:tc>
        <w:tc>
          <w:p>
            <w:pPr>
              <w:pStyle w:val="Compact"/>
              <w:jc w:val="left"/>
            </w:pPr>
            <w:r>
              <w:t xml:space="preserve">Received — AU$21.9K Spark innovation grant (Jun 2024); relationship warm</w:t>
            </w:r>
          </w:p>
        </w:tc>
        <w:tc>
          <w:p>
            <w:pPr>
              <w:pStyle w:val="Compact"/>
              <w:jc w:val="left"/>
            </w:pPr>
            <w:r>
              <w:t xml:space="preserve">Light-touch — confirm purpose, acquittal, and alumni pathway. A small grant-layer or credentialing relationship, not a core target for the first AU$400K.</w:t>
            </w:r>
          </w:p>
        </w:tc>
      </w:tr>
      <w:tr>
        <w:tc>
          <w:p>
            <w:pPr>
              <w:pStyle w:val="Compact"/>
              <w:jc w:val="left"/>
            </w:pPr>
            <w:r>
              <w:rPr>
                <w:b/>
              </w:rPr>
              <w:t xml:space="preserve">Centrecorp Foundation</w:t>
            </w:r>
          </w:p>
        </w:tc>
        <w:tc>
          <w:p>
            <w:pPr>
              <w:pStyle w:val="Compact"/>
              <w:jc w:val="left"/>
            </w:pPr>
            <w:r>
              <w:t xml:space="preserve">Community / family foundation (Indigenous)</w:t>
            </w:r>
          </w:p>
        </w:tc>
        <w:tc>
          <w:p>
            <w:pPr>
              <w:pStyle w:val="Compact"/>
              <w:jc w:val="left"/>
            </w:pPr>
            <w:r>
              <w:rPr>
                <w:b/>
              </w:rPr>
              <w:t xml:space="preserve">Yes</w:t>
            </w:r>
          </w:p>
        </w:tc>
        <w:tc>
          <w:p>
            <w:pPr>
              <w:pStyle w:val="Compact"/>
              <w:jc w:val="left"/>
            </w:pPr>
            <w:r>
              <w:t xml:space="preserve">3/3</w:t>
            </w:r>
          </w:p>
        </w:tc>
        <w:tc>
          <w:p>
            <w:pPr>
              <w:pStyle w:val="Compact"/>
              <w:jc w:val="left"/>
            </w:pPr>
            <w:r>
              <w:t xml:space="preserve">10/10</w:t>
            </w:r>
          </w:p>
        </w:tc>
        <w:tc>
          <w:p>
            <w:pPr>
              <w:pStyle w:val="Compact"/>
              <w:jc w:val="left"/>
            </w:pPr>
            <w:r>
              <w:t xml:space="preserve">Active buyer-to-capital — ~AU$123,332 paid (entangled with voided invoices, do not quote externally); next round ~130 beds (~AU$106K) to the ~26 June board</w:t>
            </w:r>
          </w:p>
        </w:tc>
        <w:tc>
          <w:p>
            <w:pPr>
              <w:pStyle w:val="Compact"/>
              <w:jc w:val="left"/>
            </w:pPr>
            <w:r>
              <w:t xml:space="preserve">Get the next-round beds commitment to a board decision this month and let it count as match-eligible external capital (note 09). Keep Trust-Deed-bound to Central Australia; name the QBE match only as a multiplier.</w:t>
            </w:r>
          </w:p>
        </w:tc>
      </w:tr>
      <w:tr>
        <w:tc>
          <w:p>
            <w:pPr>
              <w:pStyle w:val="Compact"/>
              <w:jc w:val="left"/>
            </w:pPr>
            <w:r>
              <w:rPr>
                <w:b/>
              </w:rPr>
              <w:t xml:space="preserve">QBE Ventures</w:t>
            </w:r>
          </w:p>
        </w:tc>
        <w:tc>
          <w:p>
            <w:pPr>
              <w:pStyle w:val="Compact"/>
              <w:jc w:val="left"/>
            </w:pPr>
            <w:r>
              <w:t xml:space="preserve">Corporate (CVC)</w:t>
            </w:r>
          </w:p>
        </w:tc>
        <w:tc>
          <w:p>
            <w:pPr>
              <w:pStyle w:val="Compact"/>
              <w:jc w:val="left"/>
            </w:pPr>
            <w:r>
              <w:rPr>
                <w:b/>
              </w:rPr>
              <w:t xml:space="preserve">No</w:t>
            </w:r>
            <w:r>
              <w:t xml:space="preserve"> </w:t>
            </w:r>
            <w:r>
              <w:t xml:space="preserve">(knockout fail — see below)</w:t>
            </w:r>
          </w:p>
        </w:tc>
        <w:tc>
          <w:p>
            <w:pPr>
              <w:pStyle w:val="Compact"/>
              <w:jc w:val="left"/>
            </w:pPr>
            <w:r>
              <w:t xml:space="preserve">2/3</w:t>
            </w:r>
          </w:p>
        </w:tc>
        <w:tc>
          <w:p>
            <w:pPr>
              <w:pStyle w:val="Compact"/>
              <w:jc w:val="left"/>
            </w:pPr>
            <w:r>
              <w:t xml:space="preserve">7/10</w:t>
            </w:r>
          </w:p>
        </w:tc>
        <w:tc>
          <w:p>
            <w:pPr>
              <w:pStyle w:val="Compact"/>
              <w:jc w:val="left"/>
            </w:pPr>
            <w:r>
              <w:t xml:space="preserve">Deferred to 2027</w:t>
            </w:r>
          </w:p>
        </w:tc>
        <w:tc>
          <w:p>
            <w:pPr>
              <w:pStyle w:val="Compact"/>
              <w:jc w:val="left"/>
            </w:pPr>
            <w:r>
              <w:t xml:space="preserve">Re-evaluate after the legal-structure decision lands. The Lighthouse discovery program is the only 2026-compatible pathway.</w:t>
            </w:r>
          </w:p>
        </w:tc>
      </w:tr>
    </w:tbl>
    <w:p>
      <w:pPr>
        <w:pStyle w:val="BodyText"/>
      </w:pPr>
      <w:r>
        <w:rPr>
          <w:b/>
        </w:rPr>
        <w:t xml:space="preserve">Knockout fails — the killer criterion in each case:</w:t>
      </w:r>
    </w:p>
    <w:p>
      <w:pPr>
        <w:numPr>
          <w:ilvl w:val="0"/>
          <w:numId w:val="1035"/>
        </w:numPr>
        <w:pStyle w:val="Compact"/>
      </w:pPr>
      <w:r>
        <w:rPr>
          <w:b/>
        </w:rPr>
        <w:t xml:space="preserve">QBE Ventures — FAILS.</w:t>
      </w:r>
      <w:r>
        <w:t xml:space="preserve"> </w:t>
      </w:r>
      <w:r>
        <w:t xml:space="preserve">Three knockouts fail:</w:t>
      </w:r>
      <w:r>
        <w:t xml:space="preserve"> </w:t>
      </w:r>
      <w:r>
        <w:rPr>
          <w:b/>
        </w:rPr>
        <w:t xml:space="preserve">Capital Type</w:t>
      </w:r>
      <w:r>
        <w:t xml:space="preserve"> </w:t>
      </w:r>
      <w:r>
        <w:t xml:space="preserve">(equity / SAFEs / convertible notes only — Goods needs grants + concessional debt, no equity in 2026),</w:t>
      </w:r>
      <w:r>
        <w:t xml:space="preserve"> </w:t>
      </w:r>
      <w:r>
        <w:rPr>
          <w:b/>
        </w:rPr>
        <w:t xml:space="preserve">Legal Structure</w:t>
      </w:r>
      <w:r>
        <w:t xml:space="preserve"> </w:t>
      </w:r>
      <w:r>
        <w:t xml:space="preserve">(equity into the eventual CLG/hybrid is complex and would force a new entity), and</w:t>
      </w:r>
      <w:r>
        <w:t xml:space="preserve"> </w:t>
      </w:r>
      <w:r>
        <w:rPr>
          <w:b/>
        </w:rPr>
        <w:t xml:space="preserve">Stage of Growth</w:t>
      </w:r>
      <w:r>
        <w:t xml:space="preserve"> </w:t>
      </w:r>
      <w:r>
        <w:t xml:space="preserve">(their standard cheque is AU$5–15M scale-up equity; Goods is early-commercial de-risking). Return Expectations also misaligns (market-rate equity returns vs concessional/community-ownership). The Lighthouse program is the one narrow 2026-compatible door, but the CVC mandate proper is a clear</w:t>
      </w:r>
      <w:r>
        <w:t xml:space="preserve"> </w:t>
      </w:r>
      <w:r>
        <w:t xml:space="preserve">“</w:t>
      </w:r>
      <w:r>
        <w:t xml:space="preserve">No</w:t>
      </w:r>
      <w:r>
        <w:t xml:space="preserve">”</w:t>
      </w:r>
      <w:r>
        <w:t xml:space="preserve">. Re-evaluate 2027.</w:t>
      </w:r>
    </w:p>
    <w:p>
      <w:pPr>
        <w:numPr>
          <w:ilvl w:val="0"/>
          <w:numId w:val="1035"/>
        </w:numPr>
        <w:pStyle w:val="Compact"/>
      </w:pPr>
      <w:r>
        <w:rPr>
          <w:b/>
        </w:rPr>
        <w:t xml:space="preserve">Minderoo — DOES NOT PASS YET (Don’t Know on Geography).</w:t>
      </w:r>
      <w:r>
        <w:t xml:space="preserve"> </w:t>
      </w:r>
      <w:r>
        <w:t xml:space="preserve">Every other knockout looks aligned (catalytic bucket, recoverable instrument, right size, right stage, non-equity), but Minderoo’s stated priorities are oceans and modern slavery; the geographic/mandate fit to remote-housing-durability and economic inclusion is</w:t>
      </w:r>
      <w:r>
        <w:t xml:space="preserve"> </w:t>
      </w:r>
      <w:r>
        <w:rPr>
          <w:b/>
        </w:rPr>
        <w:t xml:space="preserve">unconfirmed</w:t>
      </w:r>
      <w:r>
        <w:t xml:space="preserve"> </w:t>
      </w:r>
      <w:r>
        <w:t xml:space="preserve">in the wiki. Until that is verified it cannot be marked a knockout pass — it is a warm relationship gated on the June 2026 board, not a cleared target.</w:t>
      </w:r>
    </w:p>
    <w:p>
      <w:pPr>
        <w:numPr>
          <w:ilvl w:val="0"/>
          <w:numId w:val="1035"/>
        </w:numPr>
        <w:pStyle w:val="Compact"/>
      </w:pPr>
      <w:r>
        <w:rPr>
          <w:b/>
        </w:rPr>
        <w:t xml:space="preserve">Tim Fairfax — DOES NOT PASS YET (Don’t Know on Capital Type / Stage / Size).</w:t>
      </w:r>
      <w:r>
        <w:t xml:space="preserve"> </w:t>
      </w:r>
      <w:r>
        <w:t xml:space="preserve">Geography and mission are strong (Queensland, remote, Indigenous, community development), but the profile does not confirm they fund at Goods’ early-commercial stage, in the relevant ticket band, or with the instrument Goods needs. Marked Don’t Know on those knockouts pending confirmation; advisory relationship in the meantime.</w:t>
      </w:r>
    </w:p>
    <w:p>
      <w:pPr>
        <w:numPr>
          <w:ilvl w:val="0"/>
          <w:numId w:val="1035"/>
        </w:numPr>
        <w:pStyle w:val="Compact"/>
      </w:pPr>
      <w:r>
        <w:rPr>
          <w:b/>
        </w:rPr>
        <w:t xml:space="preserve">AMP — DOES NOT PASS YET (Don’t Know on Geography / Size / Stage).</w:t>
      </w:r>
      <w:r>
        <w:t xml:space="preserve"> </w:t>
      </w:r>
      <w:r>
        <w:t xml:space="preserve">Goods received AU$21.9K via Spark, but the wiki profile is thin: no stated geographic mandate, ticket range, or stage focus for a follow-on. Don’t Know on those knockouts. Treat as a warm credentialing relationship, not a core target.</w:t>
      </w:r>
    </w:p>
    <w:p>
      <w:pPr>
        <w:numPr>
          <w:ilvl w:val="0"/>
          <w:numId w:val="1035"/>
        </w:numPr>
        <w:pStyle w:val="Compact"/>
      </w:pPr>
      <w:r>
        <w:rPr>
          <w:b/>
        </w:rPr>
        <w:t xml:space="preserve">Dusseldorp — NOT IN THE GOODS PIPELINE.</w:t>
      </w:r>
      <w:r>
        <w:t xml:space="preserve"> </w:t>
      </w:r>
      <w:r>
        <w:t xml:space="preserve">No Goods-specific position exists; the known support belongs to other ACT work. Marked Don’t Know throughout because there is no Goods mandate to score. Do not count it as a Goods funder.</w:t>
      </w:r>
    </w:p>
    <w:p>
      <w:pPr>
        <w:pStyle w:val="BlockText"/>
      </w:pPr>
      <w:r>
        <w:t xml:space="preserve">Reading the Don’t-Know knockouts.</w:t>
      </w:r>
      <w:r>
        <w:t xml:space="preserve"> </w:t>
      </w:r>
      <w:r>
        <w:t xml:space="preserve">“</w:t>
      </w:r>
      <w:r>
        <w:t xml:space="preserve">Don’t Know</w:t>
      </w:r>
      <w:r>
        <w:t xml:space="preserve">”</w:t>
      </w:r>
      <w:r>
        <w:t xml:space="preserve"> </w:t>
      </w:r>
      <w:r>
        <w:t xml:space="preserve">on a knockout is not the same as a fail — it means the wiki does not yet confirm alignment, so the tool cannot return a</w:t>
      </w:r>
      <w:r>
        <w:t xml:space="preserve"> </w:t>
      </w:r>
      <w:r>
        <w:t xml:space="preserve">“</w:t>
      </w:r>
      <w:r>
        <w:t xml:space="preserve">Yes</w:t>
      </w:r>
      <w:r>
        <w:t xml:space="preserve">”</w:t>
      </w:r>
      <w:r>
        <w:t xml:space="preserve">. The honest action is the same in each case: confirm the unknown criterion before spending serious outreach time. This is exactly Beck Parkinson’s research posture (</w:t>
      </w:r>
      <w:r>
        <w:t xml:space="preserve">“</w:t>
      </w:r>
      <w:r>
        <w:t xml:space="preserve">research who funders have funded before; ask who they’ve rejected and why</w:t>
      </w:r>
      <w:r>
        <w:t xml:space="preserve">”</w:t>
      </w:r>
      <w:r>
        <w:t xml:space="preserve">).</w:t>
      </w:r>
    </w:p>
    <w:p>
      <w:r>
        <w:pict>
          <v:rect style="width:0;height:1.5pt" o:hralign="center" o:hrstd="t" o:hr="t"/>
        </w:pict>
      </w:r>
    </w:p>
    <w:p>
      <w:pPr>
        <w:pStyle w:val="Heading2"/>
      </w:pPr>
      <w:bookmarkStart w:id="187" w:name="Xa9e7cc58acdb848b0cbd09fe9a1a492a3bc07e8"/>
      <w:r>
        <w:t xml:space="preserve">Section C — Ranked shortlist for the first ~AU$400K</w:t>
      </w:r>
      <w:bookmarkEnd w:id="187"/>
    </w:p>
    <w:p>
      <w:pPr>
        <w:pStyle w:val="FirstParagraph"/>
      </w:pPr>
      <w:r>
        <w:t xml:space="preserve">Best-fit targets for the first ~AU$400K of signed, match-eligible capital, in priority order. The ranking weights: knockout pass, High-priority fit, relationship warmth, and — decisively — proximity to a</w:t>
      </w:r>
      <w:r>
        <w:t xml:space="preserve"> </w:t>
      </w:r>
      <w:r>
        <w:rPr>
          <w:b/>
        </w:rPr>
        <w:t xml:space="preserve">signed commitment before 31 August 2026</w:t>
      </w:r>
      <w:r>
        <w:t xml:space="preserve">, because the QBE match is an output of money raised first and signed eligible LOIs today are</w:t>
      </w:r>
      <w:r>
        <w:t xml:space="preserve"> </w:t>
      </w:r>
      <w:r>
        <w:rPr>
          <w:b/>
        </w:rPr>
        <w:t xml:space="preserve">zero</w:t>
      </w:r>
      <w:r>
        <w:t xml:space="preserve">. This is</w:t>
      </w:r>
      <w:r>
        <w:t xml:space="preserve"> </w:t>
      </w:r>
      <w:r>
        <w:t xml:space="preserve">“</w:t>
      </w:r>
      <w:r>
        <w:t xml:space="preserve">a conversation problem, not a discovery problem</w:t>
      </w:r>
      <w:r>
        <w:t xml:space="preserve">”</w:t>
      </w:r>
      <w:r>
        <w:t xml:space="preserve">, so warm relationships that can convert fast rank above colder perfect-fits.</w:t>
      </w:r>
    </w:p>
    <w:p>
      <w:pPr>
        <w:numPr>
          <w:ilvl w:val="0"/>
          <w:numId w:val="1036"/>
        </w:numPr>
      </w:pPr>
      <w:r>
        <w:rPr>
          <w:b/>
        </w:rPr>
        <w:t xml:space="preserve">Snow Foundation — the first signature.</w:t>
      </w:r>
      <w:r>
        <w:t xml:space="preserve"> </w:t>
      </w:r>
      <w:r>
        <w:t xml:space="preserve">Perfect fit (10/10, all knockouts pass), the deepest relationship (~AU$493K since 2023, advisory-group member), and the Jigsaw co-investment precedent means Snow’s signature changes the room. The ask (note 08, R4/R5 ~AU$130–200K, NT-restricted fine) is framed precisely to make Snow the first match-eligible commitment that unlocks the rest of the stack.</w:t>
      </w:r>
      <w:r>
        <w:t xml:space="preserve"> </w:t>
      </w:r>
      <w:r>
        <w:rPr>
          <w:b/>
        </w:rPr>
        <w:t xml:space="preserve">Highest priority because it is the unlock, not just a good fit.</w:t>
      </w:r>
    </w:p>
    <w:p>
      <w:pPr>
        <w:numPr>
          <w:ilvl w:val="0"/>
          <w:numId w:val="1036"/>
        </w:numPr>
      </w:pPr>
      <w:r>
        <w:rPr>
          <w:b/>
        </w:rPr>
        <w:t xml:space="preserve">Centrecorp Foundation — the nearest board decision.</w:t>
      </w:r>
      <w:r>
        <w:t xml:space="preserve"> </w:t>
      </w:r>
      <w:r>
        <w:t xml:space="preserve">Strong fit (8/10, knockouts pass), an active buyer-to-capital relationship, and — critically — a</w:t>
      </w:r>
      <w:r>
        <w:t xml:space="preserve"> </w:t>
      </w:r>
      <w:r>
        <w:rPr>
          <w:b/>
        </w:rPr>
        <w:t xml:space="preserve">board meeting this month</w:t>
      </w:r>
      <w:r>
        <w:t xml:space="preserve"> </w:t>
      </w:r>
      <w:r>
        <w:t xml:space="preserve">(~26 June). The next-round beds commitment (~130 beds, ~AU$106K, note 09) can become signed, match-eligible external capital on a near-term, known date. Trust-Deed-bound to Central Australia, so the framing stays forward-beds-only with the QBE match named as a multiplier.</w:t>
      </w:r>
      <w:r>
        <w:t xml:space="preserve"> </w:t>
      </w:r>
      <w:r>
        <w:rPr>
          <w:b/>
        </w:rPr>
        <w:t xml:space="preserve">Ranked second purely on timing — the soonest realistic signature.</w:t>
      </w:r>
    </w:p>
    <w:p>
      <w:pPr>
        <w:numPr>
          <w:ilvl w:val="0"/>
          <w:numId w:val="1036"/>
        </w:numPr>
      </w:pPr>
      <w:r>
        <w:rPr>
          <w:b/>
        </w:rPr>
        <w:t xml:space="preserve">SEFA — the senior concessional base.</w:t>
      </w:r>
      <w:r>
        <w:t xml:space="preserve"> </w:t>
      </w:r>
      <w:r>
        <w:t xml:space="preserve">Top fit (10/10, knockouts pass) and the natural senior debt at the base of the blend (~AU$300K), with a syndicate-agent option (the Jigsaw model). Ranked third for the first AU$400K because it is slower and gated: SEFA’s three covenants (completed Goods-only financial model, independent-majority fiduciary board, serviceable revenue covenant) are not yet met. The note (10) opens the conversation honestly now so the facility is ready when the gates clear.</w:t>
      </w:r>
      <w:r>
        <w:t xml:space="preserve"> </w:t>
      </w:r>
      <w:r>
        <w:rPr>
          <w:b/>
        </w:rPr>
        <w:t xml:space="preserve">A near-term conversation, a medium-term signature.</w:t>
      </w:r>
    </w:p>
    <w:p>
      <w:pPr>
        <w:numPr>
          <w:ilvl w:val="0"/>
          <w:numId w:val="1036"/>
        </w:numPr>
      </w:pPr>
      <w:r>
        <w:rPr>
          <w:b/>
        </w:rPr>
        <w:t xml:space="preserve">PFI (Paul Ramsay Foundation) — the catalytic recoverable layer.</w:t>
      </w:r>
      <w:r>
        <w:t xml:space="preserve"> </w:t>
      </w:r>
      <w:r>
        <w:t xml:space="preserve">Top fit (10/10), EOI already in, AU$640K recoverable-grant target. Ranked fourth because the ball is in their court (awaiting feedback) and the timeline is theirs, not ours. Confirm the figure still stands and that they will open doors (they are rated only</w:t>
      </w:r>
      <w:r>
        <w:t xml:space="preserve"> </w:t>
      </w:r>
      <w:r>
        <w:rPr>
          <w:i/>
        </w:rPr>
        <w:t xml:space="preserve">Somewhat</w:t>
      </w:r>
      <w:r>
        <w:t xml:space="preserve"> </w:t>
      </w:r>
      <w:r>
        <w:t xml:space="preserve">on Connections — the one soft spot).</w:t>
      </w:r>
      <w:r>
        <w:t xml:space="preserve"> </w:t>
      </w:r>
      <w:r>
        <w:rPr>
          <w:b/>
        </w:rPr>
        <w:t xml:space="preserve">High value, founder-can’t-accelerate.</w:t>
      </w:r>
    </w:p>
    <w:p>
      <w:pPr>
        <w:numPr>
          <w:ilvl w:val="0"/>
          <w:numId w:val="1036"/>
        </w:numPr>
      </w:pPr>
      <w:r>
        <w:rPr>
          <w:b/>
        </w:rPr>
        <w:t xml:space="preserve">IBA — the later senior anchor.</w:t>
      </w:r>
      <w:r>
        <w:t xml:space="preserve"> </w:t>
      </w:r>
      <w:r>
        <w:t xml:space="preserve">Top fit (10/10), eligibility confirmed, up to AU$5M. Deliberately</w:t>
      </w:r>
      <w:r>
        <w:t xml:space="preserve"> </w:t>
      </w:r>
      <w:r>
        <w:rPr>
          <w:i/>
        </w:rPr>
        <w:t xml:space="preserve">not</w:t>
      </w:r>
      <w:r>
        <w:t xml:space="preserve"> </w:t>
      </w:r>
      <w:r>
        <w:t xml:space="preserve">in the first-AU$400K tranche: it is the large later anchor, gated on the business plan and — harder — the entity/Indigenous-ownership decision. Progress the business plan in parallel; do not let it set the pace of the match.</w:t>
      </w:r>
      <w:r>
        <w:t xml:space="preserve"> </w:t>
      </w:r>
      <w:r>
        <w:rPr>
          <w:b/>
        </w:rPr>
        <w:t xml:space="preserve">The big anchor for the full raise, not the opening move.</w:t>
      </w:r>
    </w:p>
    <w:p>
      <w:pPr>
        <w:pStyle w:val="FirstParagraph"/>
      </w:pPr>
      <w:r>
        <w:rPr>
          <w:b/>
        </w:rPr>
        <w:t xml:space="preserve">Bench (keep warm, do not lead with):</w:t>
      </w:r>
      <w:r>
        <w:t xml:space="preserve"> </w:t>
      </w:r>
      <w:r>
        <w:t xml:space="preserve">First Australians Capital (10/10 — strong, but research-stage; pursue via an IBA/SIH intro as an IBA complement); FRRR (10/10) / VFFF (9/10) — received funders, coordinate a second ask with the QBE match process; TFN (10/10 — best used as a connector to new funders, not a follow-on cheque).</w:t>
      </w:r>
      <w:r>
        <w:t xml:space="preserve"> </w:t>
      </w:r>
      <w:r>
        <w:rPr>
          <w:b/>
        </w:rPr>
        <w:t xml:space="preserve">Confirm-then-consider:</w:t>
      </w:r>
      <w:r>
        <w:t xml:space="preserve"> </w:t>
      </w:r>
      <w:r>
        <w:t xml:space="preserve">Minderoo, Tim Fairfax, AMP — each has a Don’t-Know knockout to resolve before serious outreach.</w:t>
      </w:r>
      <w:r>
        <w:t xml:space="preserve"> </w:t>
      </w:r>
      <w:r>
        <w:rPr>
          <w:b/>
        </w:rPr>
        <w:t xml:space="preserve">Out:</w:t>
      </w:r>
      <w:r>
        <w:t xml:space="preserve"> </w:t>
      </w:r>
      <w:r>
        <w:t xml:space="preserve">QBE Ventures (knockout fail, 2027); Dusseldorp (not a Goods funder).</w:t>
      </w:r>
    </w:p>
    <w:p>
      <w:r>
        <w:pict>
          <v:rect style="width:0;height:1.5pt" o:hralign="center" o:hrstd="t" o:hr="t"/>
        </w:pict>
      </w:r>
    </w:p>
    <w:p>
      <w:pPr>
        <w:pStyle w:val="Heading2"/>
      </w:pPr>
      <w:bookmarkStart w:id="188" w:name="section-d-how-this-maps-to-the-case-tool"/>
      <w:r>
        <w:t xml:space="preserve">Section D — How this maps to the CASE tool</w:t>
      </w:r>
      <w:bookmarkEnd w:id="188"/>
    </w:p>
    <w:p>
      <w:pPr>
        <w:pStyle w:val="FirstParagraph"/>
      </w:pPr>
      <w:r>
        <w:t xml:space="preserve">This document is</w:t>
      </w:r>
      <w:r>
        <w:t xml:space="preserve"> </w:t>
      </w:r>
      <w:r>
        <w:rPr>
          <w:b/>
        </w:rPr>
        <w:t xml:space="preserve">Tab 1 + Tab 3 of the CASE Smart Impact Capital Investor Alignment Tool, populated</w:t>
      </w:r>
      <w:r>
        <w:t xml:space="preserve"> </w:t>
      </w:r>
      <w:r>
        <w:t xml:space="preserve">— and the companion workbook (</w:t>
      </w:r>
      <w:r>
        <w:rPr>
          <w:rStyle w:val="VerbatimChar"/>
        </w:rPr>
        <w:t xml:space="preserve">Investor-Alignment-Tool-Goods-POPULATED.xlsx</w:t>
      </w:r>
      <w:r>
        <w:t xml:space="preserve">) is the same content in the vendor’s spreadsheet. Section A is Tab 1 (</w:t>
      </w:r>
      <w:r>
        <w:t xml:space="preserve">“</w:t>
      </w:r>
      <w:r>
        <w:t xml:space="preserve">Our Needs</w:t>
      </w:r>
      <w:r>
        <w:t xml:space="preserve">”</w:t>
      </w:r>
      <w:r>
        <w:t xml:space="preserve">): Goods’ six knockout criteria and the High/Medium/Low priority on each of the ten fit criteria. Section B is Tab 3 (</w:t>
      </w:r>
      <w:r>
        <w:t xml:space="preserve">“</w:t>
      </w:r>
      <w:r>
        <w:t xml:space="preserve">Alignment Tool</w:t>
      </w:r>
      <w:r>
        <w:t xml:space="preserve">”</w:t>
      </w:r>
      <w:r>
        <w:t xml:space="preserve">): each pipeline funder rated Very/Somewhat/Not Aligned / Don’t Know across all sixteen criteria, with the tool computing the knockout pass/fail (Yes only if all six knockouts are aligned), the High-priority fit score (n/3), and the all-fit score (n/10). Tab 2 (</w:t>
      </w:r>
      <w:r>
        <w:t xml:space="preserve">“</w:t>
      </w:r>
      <w:r>
        <w:t xml:space="preserve">Investor Tracking</w:t>
      </w:r>
      <w:r>
        <w:t xml:space="preserve">”</w:t>
      </w:r>
      <w:r>
        <w:t xml:space="preserve">) holds the funder list with type, contacts, and connectors. Together they turn the diagnostic’s blank-template Area 10/12 item into a usable triage artifact, sourced entirely from the existing wiki pipeline — a populate-from-what-we-have job, not new research.</w:t>
      </w:r>
    </w:p>
    <w:p>
      <w:r>
        <w:br w:type="page"/>
      </w:r>
    </w:p>
    <w:p>
      <w:pPr>
        <w:pStyle w:val="Heading1"/>
      </w:pPr>
      <w:bookmarkStart w:id="189" w:name="funder-note-snow-foundation"/>
      <w:r>
        <w:t xml:space="preserve">Funder Note · Snow Foundation</w:t>
      </w:r>
      <w:bookmarkEnd w:id="189"/>
    </w:p>
    <w:p>
      <w:pPr>
        <w:pStyle w:val="Heading1"/>
      </w:pPr>
      <w:bookmarkStart w:id="190" w:name="cover-note-snow-foundation-round-45"/>
      <w:r>
        <w:t xml:space="preserve">Cover note: Snow Foundation, Round 4/5</w:t>
      </w:r>
      <w:bookmarkEnd w:id="190"/>
    </w:p>
    <w:p>
      <w:pPr>
        <w:pStyle w:val="BlockText"/>
      </w:pPr>
      <w:r>
        <w:t xml:space="preserve">DRAFT for founder review. Placeholders are in</w:t>
      </w:r>
      <w:r>
        <w:t xml:space="preserve"> </w:t>
      </w:r>
      <w:r>
        <w:rPr>
          <w:rStyle w:val="VerbatimChar"/>
        </w:rPr>
        <w:t xml:space="preserve">[square brackets]</w:t>
      </w:r>
      <w:r>
        <w:t xml:space="preserve">. The actual send is Ben’s to make.</w:t>
      </w:r>
    </w:p>
    <w:p>
      <w:r>
        <w:pict>
          <v:rect style="width:0;height:1.5pt" o:hralign="center" o:hrstd="t" o:hr="t"/>
        </w:pict>
      </w:r>
    </w:p>
    <w:p>
      <w:pPr>
        <w:pStyle w:val="FirstParagraph"/>
      </w:pPr>
      <w:r>
        <w:t xml:space="preserve">Dear [confirm contact / salutation],</w:t>
      </w:r>
    </w:p>
    <w:p>
      <w:pPr>
        <w:pStyle w:val="BodyText"/>
      </w:pPr>
      <w:r>
        <w:t xml:space="preserve">We are writing to ask Snow to do something specific, and to be the first to do it.</w:t>
      </w:r>
    </w:p>
    <w:p>
      <w:pPr>
        <w:pStyle w:val="BodyText"/>
      </w:pPr>
      <w:r>
        <w:t xml:space="preserve">First, thank you. You backed Goods since 2023, through every awkward middle stage. Most of what we can now show a room full of funders, we can show because you were patient first. Sally on our advisory group has meant we hear the hard questions early.</w:t>
      </w:r>
    </w:p>
    <w:p>
      <w:pPr>
        <w:pStyle w:val="BodyText"/>
      </w:pPr>
      <w:r>
        <w:t xml:space="preserve">Here is the freshest of it. Three weeks ago we delivered 87 beds to Utopia Homelands over two days, with the Oonchiumpa Consultancy and the Utopia Council. That run put a washable bed under 36 households and kept 1.74 tonnes of plastic out of the community dump. One bed went to Ray Nelson, out on the Plenty Highway. He told us he is no longer waking up with back pain. That is the whole point of the thing, said by the man sleeping on it. We now have 496 beds across 9 communities, every one tagged and trackable in a register you can scan.</w:t>
      </w:r>
    </w:p>
    <w:p>
      <w:pPr>
        <w:pStyle w:val="BodyText"/>
      </w:pPr>
      <w:r>
        <w:t xml:space="preserve">We will be straight about where the business sits, because you have earned that. Goods is about 89% grant-funded today, by design. We have proven communities want the bed and that funders will pay for deployments. We have not proven we can make it cheaply enough to stand on its own. The lever is making the recycled-plastic legs ourselves instead of buying them in at an 8.6 times markup. We have modelled what that does to the cost. We have not yet run it. That is the gap we are asking you to help close.</w:t>
      </w:r>
    </w:p>
    <w:p>
      <w:pPr>
        <w:pStyle w:val="BodyText"/>
      </w:pPr>
      <w:r>
        <w:t xml:space="preserve">So, the ask. We are opening a Round 4/5 conversation for a new commitment of around</w:t>
      </w:r>
      <w:r>
        <w:t xml:space="preserve"> </w:t>
      </w:r>
      <w:r>
        <w:rPr>
          <w:b/>
        </w:rPr>
        <w:t xml:space="preserve">AU$130,000 to $200,000</w:t>
      </w:r>
      <w:r>
        <w:t xml:space="preserve">, separate from your existing support. NT-restricted is completely fine. That money does two things. It co-funds the AU$60,000 to $80,000 in-source production run, fifty beds made end to end on country, that turns our central cost claim from modelled to measured. And it anchors a blended raise behind it.</w:t>
      </w:r>
    </w:p>
    <w:p>
      <w:pPr>
        <w:pStyle w:val="BodyText"/>
      </w:pPr>
      <w:r>
        <w:t xml:space="preserve">The second part is where timing bites. QBE’s Catalysing Impact program will match the external capital we raise, but the match only releases once a signed, eligible commitment is on the table, and it has to be signed before 31 August 2026. Today we hold zero. Our warmest funders are watching each other, waiting for the first to move. You co-invested in Jigsaw alongside the SEFA syndicate, so you know how the first signature changes the room. We are asking Snow to be that first signature. So the real ask is a decision in the next few weeks, not a grant by August.</w:t>
      </w:r>
    </w:p>
    <w:p>
      <w:pPr>
        <w:pStyle w:val="BodyText"/>
      </w:pPr>
      <w:r>
        <w:t xml:space="preserve">Could we find twenty minutes in the next fortnight to talk it through? We will bring the one-pager and the full deck, and answer anything. No pressure on the number in that call. We would rather you saw the honest version first.</w:t>
      </w:r>
    </w:p>
    <w:p>
      <w:pPr>
        <w:pStyle w:val="BodyText"/>
      </w:pPr>
      <w:r>
        <w:t xml:space="preserve">With real gratitude,</w:t>
      </w:r>
    </w:p>
    <w:p>
      <w:pPr>
        <w:pStyle w:val="BodyText"/>
      </w:pPr>
      <w:r>
        <w:t xml:space="preserve">Ben Knight &amp; Nicholas Marchesi</w:t>
      </w:r>
      <w:r>
        <w:t xml:space="preserve"> </w:t>
      </w:r>
      <w:r>
        <w:t xml:space="preserve">Goods on Country</w:t>
      </w:r>
      <w:r>
        <w:t xml:space="preserve"> </w:t>
      </w:r>
      <w:r>
        <w:t xml:space="preserve">[contact details: phone / email]</w:t>
      </w:r>
    </w:p>
    <w:p>
      <w:r>
        <w:pict>
          <v:rect style="width:0;height:1.5pt" o:hralign="center" o:hrstd="t" o:hr="t"/>
        </w:pict>
      </w:r>
    </w:p>
    <w:p>
      <w:pPr>
        <w:pStyle w:val="Heading2"/>
      </w:pPr>
      <w:bookmarkStart w:id="191" w:name="Xbdd042c6aa0a4725389a97577bbf5805d3cd9c3"/>
      <w:r>
        <w:t xml:space="preserve">Send checklist (founders, before this goes out)</w:t>
      </w:r>
      <w:bookmarkEnd w:id="191"/>
    </w:p>
    <w:p>
      <w:pPr>
        <w:numPr>
          <w:ilvl w:val="0"/>
          <w:numId w:val="1037"/>
        </w:numPr>
        <w:pStyle w:val="Compact"/>
      </w:pPr>
      <w:r>
        <w:t xml:space="preserve">☐</w:t>
      </w:r>
      <w:r>
        <w:t xml:space="preserve"> </w:t>
      </w:r>
      <w:r>
        <w:rPr>
          <w:b/>
        </w:rPr>
        <w:t xml:space="preserve">Confirm the contact and salutation.</w:t>
      </w:r>
      <w:r>
        <w:t xml:space="preserve"> </w:t>
      </w:r>
      <w:r>
        <w:t xml:space="preserve">Sally Grimsley-Ballard is on our advisory group and is the known relationship contact, but she may not be the right person to address a formal new-funding ask to. Confirm whether it goes to her, to a program/grants lead, or to both.</w:t>
      </w:r>
    </w:p>
    <w:p>
      <w:pPr>
        <w:numPr>
          <w:ilvl w:val="0"/>
          <w:numId w:val="1037"/>
        </w:numPr>
        <w:pStyle w:val="Compact"/>
      </w:pPr>
      <w:r>
        <w:t xml:space="preserve">☐</w:t>
      </w:r>
      <w:r>
        <w:t xml:space="preserve"> </w:t>
      </w:r>
      <w:r>
        <w:rPr>
          <w:b/>
        </w:rPr>
        <w:t xml:space="preserve">Confirm the exact ask amount.</w:t>
      </w:r>
      <w:r>
        <w:t xml:space="preserve"> </w:t>
      </w:r>
      <w:r>
        <w:t xml:space="preserve">The pipeline note has Round 4 at a $130K target; the band above is $130–200K. Land on one number (or one band) before sending.</w:t>
      </w:r>
    </w:p>
    <w:p>
      <w:pPr>
        <w:numPr>
          <w:ilvl w:val="0"/>
          <w:numId w:val="1037"/>
        </w:numPr>
        <w:pStyle w:val="Compact"/>
      </w:pPr>
      <w:r>
        <w:t xml:space="preserve">☒</w:t>
      </w:r>
      <w:r>
        <w:t xml:space="preserve"> </w:t>
      </w:r>
      <w:r>
        <w:rPr>
          <w:b/>
        </w:rPr>
        <w:t xml:space="preserve">Prior total reconciled (13 Jun 2026, read-only Xero MCP).</w:t>
      </w:r>
      <w:r>
        <w:t xml:space="preserve"> </w:t>
      </w:r>
      <w:r>
        <w:t xml:space="preserve">The Snow Foundation is the #1 contact by revenue in the Goods Xero org (Nicholas Marchesi, sole trader):</w:t>
      </w:r>
      <w:r>
        <w:t xml:space="preserve"> </w:t>
      </w:r>
      <w:r>
        <w:rPr>
          <w:b/>
        </w:rPr>
        <w:t xml:space="preserve">$493,129.79 invoiced over the trailing 3 years</w:t>
      </w:r>
      <w:r>
        <w:t xml:space="preserve"> </w:t>
      </w:r>
      <w:r>
        <w:t xml:space="preserve">(accrual basis, last refreshed 2026-06-12, unaudited). This reconciles the three earlier figures — $193,785 (older</w:t>
      </w:r>
      <w:r>
        <w:t xml:space="preserve"> </w:t>
      </w:r>
      <w:r>
        <w:t xml:space="preserve">“</w:t>
      </w:r>
      <w:r>
        <w:t xml:space="preserve">received 2023–25</w:t>
      </w:r>
      <w:r>
        <w:t xml:space="preserve">”</w:t>
      </w:r>
      <w:r>
        <w:t xml:space="preserve"> </w:t>
      </w:r>
      <w:r>
        <w:t xml:space="preserve">cash snapshot) and $402,930 (deck</w:t>
      </w:r>
      <w:r>
        <w:t xml:space="preserve"> </w:t>
      </w:r>
      <w:r>
        <w:t xml:space="preserve">“</w:t>
      </w:r>
      <w:r>
        <w:t xml:space="preserve">anchor</w:t>
      </w:r>
      <w:r>
        <w:t xml:space="preserve">”</w:t>
      </w:r>
      <w:r>
        <w:t xml:space="preserve"> </w:t>
      </w:r>
      <w:r>
        <w:t xml:space="preserve">subset) are narrower/earlier views now superseded by the $493,129.79 trailing-3yr invoiced total.</w:t>
      </w:r>
      <w:r>
        <w:t xml:space="preserve"> </w:t>
      </w:r>
      <w:r>
        <w:rPr>
          <w:b/>
        </w:rPr>
        <w:t xml:space="preserve">The letter stays qualitative on purpose</w:t>
      </w:r>
      <w:r>
        <w:t xml:space="preserve"> </w:t>
      </w:r>
      <w:r>
        <w:t xml:space="preserve">— Snow knows their own number, and our figure is accrual (invoiced) not cash-received. If you choose to name one, use</w:t>
      </w:r>
      <w:r>
        <w:t xml:space="preserve"> </w:t>
      </w:r>
      <w:r>
        <w:t xml:space="preserve">“</w:t>
      </w:r>
      <w:r>
        <w:t xml:space="preserve">close to half a million dollars since 2023</w:t>
      </w:r>
      <w:r>
        <w:t xml:space="preserve">”</w:t>
      </w:r>
      <w:r>
        <w:t xml:space="preserve"> </w:t>
      </w:r>
      <w:r>
        <w:t xml:space="preserve">with the accrual caveat, not a precise figure that may differ from Snow’s own records.</w:t>
      </w:r>
    </w:p>
    <w:p>
      <w:pPr>
        <w:numPr>
          <w:ilvl w:val="0"/>
          <w:numId w:val="1037"/>
        </w:numPr>
        <w:pStyle w:val="Compact"/>
      </w:pPr>
      <w:r>
        <w:t xml:space="preserve">☐</w:t>
      </w:r>
      <w:r>
        <w:t xml:space="preserve"> </w:t>
      </w:r>
      <w:r>
        <w:rPr>
          <w:b/>
        </w:rPr>
        <w:t xml:space="preserve">Attach the one-pager</w:t>
      </w:r>
      <w:r>
        <w:t xml:space="preserve"> </w:t>
      </w:r>
      <w:r>
        <w:t xml:space="preserve">(</w:t>
      </w:r>
      <w:r>
        <w:rPr>
          <w:rStyle w:val="VerbatimChar"/>
        </w:rPr>
        <w:t xml:space="preserve">02-one-pager.md</w:t>
      </w:r>
      <w:r>
        <w:t xml:space="preserve">, as PDF) and</w:t>
      </w:r>
      <w:r>
        <w:t xml:space="preserve"> </w:t>
      </w:r>
      <w:r>
        <w:rPr>
          <w:b/>
        </w:rPr>
        <w:t xml:space="preserve">offer the deck</w:t>
      </w:r>
      <w:r>
        <w:t xml:space="preserve"> </w:t>
      </w:r>
      <w:r>
        <w:t xml:space="preserve">(</w:t>
      </w:r>
      <w:r>
        <w:rPr>
          <w:rStyle w:val="VerbatimChar"/>
        </w:rPr>
        <w:t xml:space="preserve">Goods-on-Country-Investor-Deck.pptx</w:t>
      </w:r>
      <w:r>
        <w:t xml:space="preserve">).</w:t>
      </w:r>
    </w:p>
    <w:p>
      <w:pPr>
        <w:numPr>
          <w:ilvl w:val="0"/>
          <w:numId w:val="1037"/>
        </w:numPr>
        <w:pStyle w:val="Compact"/>
      </w:pPr>
      <w:r>
        <w:t xml:space="preserve">☐</w:t>
      </w:r>
      <w:r>
        <w:t xml:space="preserve"> </w:t>
      </w:r>
      <w:r>
        <w:rPr>
          <w:b/>
        </w:rPr>
        <w:t xml:space="preserve">Re-pull Xero</w:t>
      </w:r>
      <w:r>
        <w:t xml:space="preserve"> </w:t>
      </w:r>
      <w:r>
        <w:t xml:space="preserve">immediately before sending. The received/billed figures move as invoices clear (master map §10, contradiction #13). The letter itself avoids a live dollar total, but confirm nothing you say verbally contradicts the fresh pull.</w:t>
      </w:r>
    </w:p>
    <w:p>
      <w:pPr>
        <w:numPr>
          <w:ilvl w:val="0"/>
          <w:numId w:val="1037"/>
        </w:numPr>
        <w:pStyle w:val="Compact"/>
      </w:pPr>
      <w:r>
        <w:t xml:space="preserve">☐</w:t>
      </w:r>
      <w:r>
        <w:t xml:space="preserve"> </w:t>
      </w:r>
      <w:r>
        <w:rPr>
          <w:b/>
        </w:rPr>
        <w:t xml:space="preserve">Confirm Utopia/Ray Nelson detail</w:t>
      </w:r>
      <w:r>
        <w:t xml:space="preserve"> </w:t>
      </w:r>
      <w:r>
        <w:t xml:space="preserve">reads true on the day (87 beds, two days, 1.74 t, 36 households). Ray Nelson consent is cleared. Do not add other community names or quotes, they are consent-pending.</w:t>
      </w:r>
    </w:p>
    <w:p>
      <w:pPr>
        <w:numPr>
          <w:ilvl w:val="0"/>
          <w:numId w:val="1037"/>
        </w:numPr>
        <w:pStyle w:val="Compact"/>
      </w:pPr>
      <w:r>
        <w:t xml:space="preserve">☐</w:t>
      </w:r>
      <w:r>
        <w:t xml:space="preserve"> </w:t>
      </w:r>
      <w:r>
        <w:rPr>
          <w:b/>
        </w:rPr>
        <w:t xml:space="preserve">Founder sign-off</w:t>
      </w:r>
      <w:r>
        <w:t xml:space="preserve"> </w:t>
      </w:r>
      <w:r>
        <w:t xml:space="preserve">(Ben + Nicholas) on the final wording before send.</w:t>
      </w:r>
    </w:p>
    <w:p>
      <w:pPr>
        <w:pStyle w:val="FirstParagraph"/>
      </w:pPr>
      <w:r>
        <w:rPr>
          <w:i/>
        </w:rPr>
        <w:t xml:space="preserve">The actual send is Ben’s to make.</w:t>
      </w:r>
    </w:p>
    <w:p>
      <w:r>
        <w:br w:type="page"/>
      </w:r>
    </w:p>
    <w:p>
      <w:pPr>
        <w:pStyle w:val="Heading1"/>
      </w:pPr>
      <w:bookmarkStart w:id="192" w:name="funder-note-centrecorp"/>
      <w:r>
        <w:t xml:space="preserve">Funder Note · Centrecorp</w:t>
      </w:r>
      <w:bookmarkEnd w:id="192"/>
    </w:p>
    <w:p>
      <w:pPr>
        <w:pStyle w:val="Heading1"/>
      </w:pPr>
      <w:bookmarkStart w:id="193" w:name="Xab682461d424e8427a56bc67e53066a45efd348"/>
      <w:r>
        <w:t xml:space="preserve">Cover note: Centrecorp Foundation, next-round commitment</w:t>
      </w:r>
      <w:bookmarkEnd w:id="193"/>
    </w:p>
    <w:p>
      <w:pPr>
        <w:pStyle w:val="BlockText"/>
      </w:pPr>
      <w:r>
        <w:t xml:space="preserve">DRAFT for founder review. Placeholders are in</w:t>
      </w:r>
      <w:r>
        <w:t xml:space="preserve"> </w:t>
      </w:r>
      <w:r>
        <w:rPr>
          <w:rStyle w:val="VerbatimChar"/>
        </w:rPr>
        <w:t xml:space="preserve">[square brackets]</w:t>
      </w:r>
      <w:r>
        <w:t xml:space="preserve">. The actual send is Ben’s to make.</w:t>
      </w:r>
    </w:p>
    <w:p>
      <w:pPr>
        <w:pStyle w:val="BlockText"/>
      </w:pPr>
      <w:r>
        <w:rPr>
          <w:b/>
        </w:rPr>
        <w:t xml:space="preserve">Read alongside the live beds repitch</w:t>
      </w:r>
      <w:r>
        <w:t xml:space="preserve"> </w:t>
      </w:r>
      <w:r>
        <w:t xml:space="preserve">(</w:t>
      </w:r>
      <w:r>
        <w:rPr>
          <w:rStyle w:val="VerbatimChar"/>
        </w:rPr>
        <w:t xml:space="preserve">2026-06-11-centrecorp-bed-repitch.md</w:t>
      </w:r>
      <w:r>
        <w:t xml:space="preserve">). The Board deferred the 130-bed ask and asked for a tighter, Central-Australia-only package, and is hesitant about retrospective framing. This note therefore leads with what their backing</w:t>
      </w:r>
      <w:r>
        <w:t xml:space="preserve"> </w:t>
      </w:r>
      <w:r>
        <w:rPr>
          <w:i/>
        </w:rPr>
        <w:t xml:space="preserve">produced</w:t>
      </w:r>
      <w:r>
        <w:t xml:space="preserve"> </w:t>
      </w:r>
      <w:r>
        <w:t xml:space="preserve">(not a bill), keeps the ask Trust-Deed-bound to Central Australia, and names the QBE match as a multiplier rather than the headline. The substance of the ask still flows through the consolidated 26 June board package — this is the cover note that sits on top of it.</w:t>
      </w:r>
    </w:p>
    <w:p>
      <w:r>
        <w:pict>
          <v:rect style="width:0;height:1.5pt" o:hralign="center" o:hrstd="t" o:hr="t"/>
        </w:pict>
      </w:r>
    </w:p>
    <w:p>
      <w:pPr>
        <w:pStyle w:val="FirstParagraph"/>
      </w:pPr>
      <w:r>
        <w:t xml:space="preserve">Dear [confirm contact / salutation],</w:t>
      </w:r>
    </w:p>
    <w:p>
      <w:pPr>
        <w:pStyle w:val="BodyText"/>
      </w:pPr>
      <w:r>
        <w:t xml:space="preserve">We are writing ahead of your June board with one request: that Centrecorp’s next round of beds for Central Australia be a decision the board can make this month, and that it count as committed support we can build further capital behind.</w:t>
      </w:r>
    </w:p>
    <w:p>
      <w:pPr>
        <w:pStyle w:val="BodyText"/>
      </w:pPr>
      <w:r>
        <w:t xml:space="preserve">First, what your backing has already done. Three weeks ago we delivered 87 Stretch Beds across Utopia Homelands over two days, working with the Oonchiumpa Consultancy and the Utopia Council. Thirty-six went straight into households; the rest went to community institutions to place on their own terms. That run kept 1.74 tonnes of plastic out of the community dump. One bed went to Ray Nelson, out on the Plenty Highway, and he told us he is no longer waking up with back pain. That is the whole point of the thing, said by the man sleeping on it. Every bed carries a QR tag, so you can follow each one in the register rather than take our word for it. This is the delivery your support set up, and the evidence base we promised to bring back to you.</w:t>
      </w:r>
    </w:p>
    <w:p>
      <w:pPr>
        <w:pStyle w:val="BodyText"/>
      </w:pPr>
      <w:r>
        <w:t xml:space="preserve">We will be straight about where the wider business sits, because Centrecorp has earned that. Goods is about 89% grant-funded today, by design. We have proven communities want the bed and that funders will back deployments. What we have not yet proven is that we can make the beds cheaply enough to stand on their own. The next step is a 50-bed run made end to end, costed at about AU$60,000 to $80,000, that turns our central cost claim from modelled to measured.</w:t>
      </w:r>
    </w:p>
    <w:p>
      <w:pPr>
        <w:pStyle w:val="BodyText"/>
      </w:pPr>
      <w:r>
        <w:t xml:space="preserve">So, the ask. We would like Centrecorp to commit to the next round of Stretch Beds for Aboriginal families and young people in Central Australia, [confirm next-round amount / bed count; the consolidated board package proposes ~130 beds]. As before, this is restricted to Central Australian benefit: beds delivered with local partners, allocated transparently, with photos, counts and feedback reported back to you. No part of it funds product development or work outside Central Australia.</w:t>
      </w:r>
    </w:p>
    <w:p>
      <w:pPr>
        <w:pStyle w:val="BodyText"/>
      </w:pPr>
      <w:r>
        <w:t xml:space="preserve">Two things make the timing matter. Your board meets this month, and a clear decision then lets us plan delivery properly. A committed contribution from Centrecorp would also count as match-eligible external capital under QBE’s Catalysing Impact program, which matches the capital we raise and so stretches the reach of your dollar, provided a commitment is in place before 31 August 2026. Today we hold none. The real ask, then, is a board decision in the next few weeks.</w:t>
      </w:r>
    </w:p>
    <w:p>
      <w:pPr>
        <w:pStyle w:val="BodyText"/>
      </w:pPr>
      <w:r>
        <w:t xml:space="preserve">We are gathering everything the board asked for into one package, built on the work you have already funded. Could we find twenty minutes before the board to walk you through it and answer anything? We would rather you saw the honest version first.</w:t>
      </w:r>
    </w:p>
    <w:p>
      <w:pPr>
        <w:pStyle w:val="BodyText"/>
      </w:pPr>
      <w:r>
        <w:t xml:space="preserve">With real respect,</w:t>
      </w:r>
    </w:p>
    <w:p>
      <w:pPr>
        <w:pStyle w:val="BodyText"/>
      </w:pPr>
      <w:r>
        <w:t xml:space="preserve">Ben Knight &amp; Nicholas Marchesi</w:t>
      </w:r>
      <w:r>
        <w:t xml:space="preserve"> </w:t>
      </w:r>
      <w:r>
        <w:t xml:space="preserve">Goods on Country</w:t>
      </w:r>
      <w:r>
        <w:t xml:space="preserve"> </w:t>
      </w:r>
      <w:r>
        <w:t xml:space="preserve">[contact details: phone / email]</w:t>
      </w:r>
    </w:p>
    <w:p>
      <w:r>
        <w:pict>
          <v:rect style="width:0;height:1.5pt" o:hralign="center" o:hrstd="t" o:hr="t"/>
        </w:pict>
      </w:r>
    </w:p>
    <w:p>
      <w:pPr>
        <w:pStyle w:val="Heading2"/>
      </w:pPr>
      <w:bookmarkStart w:id="194" w:name="X973e525b85d33ed46d086fe403434e946482e73"/>
      <w:r>
        <w:t xml:space="preserve">Send checklist (founders, before this goes out)</w:t>
      </w:r>
      <w:bookmarkEnd w:id="194"/>
    </w:p>
    <w:p>
      <w:pPr>
        <w:numPr>
          <w:ilvl w:val="0"/>
          <w:numId w:val="1038"/>
        </w:numPr>
        <w:pStyle w:val="Compact"/>
      </w:pPr>
      <w:r>
        <w:t xml:space="preserve">☐</w:t>
      </w:r>
      <w:r>
        <w:t xml:space="preserve"> </w:t>
      </w:r>
      <w:r>
        <w:rPr>
          <w:b/>
        </w:rPr>
        <w:t xml:space="preserve">Confirm the contact, salutation and exact board date.</w:t>
      </w:r>
      <w:r>
        <w:t xml:space="preserve"> </w:t>
      </w:r>
      <w:r>
        <w:t xml:space="preserve">Randle Walker is the known relationship contact and Jodie is on the thread; confirm who the formal commitment ask is addressed to. The board is</w:t>
      </w:r>
      <w:r>
        <w:t xml:space="preserve"> </w:t>
      </w:r>
      <w:r>
        <w:t xml:space="preserve">“</w:t>
      </w:r>
      <w:r>
        <w:t xml:space="preserve">~end-June</w:t>
      </w:r>
      <w:r>
        <w:t xml:space="preserve">”</w:t>
      </w:r>
      <w:r>
        <w:t xml:space="preserve">; confirm the exact date (the repitch targets 26 June 2026).</w:t>
      </w:r>
    </w:p>
    <w:p>
      <w:pPr>
        <w:numPr>
          <w:ilvl w:val="0"/>
          <w:numId w:val="1038"/>
        </w:numPr>
        <w:pStyle w:val="Compact"/>
      </w:pPr>
      <w:r>
        <w:t xml:space="preserve">☐</w:t>
      </w:r>
      <w:r>
        <w:t xml:space="preserve"> </w:t>
      </w:r>
      <w:r>
        <w:rPr>
          <w:b/>
        </w:rPr>
        <w:t xml:space="preserve">Confirm the next-round amount / bed count.</w:t>
      </w:r>
      <w:r>
        <w:t xml:space="preserve"> </w:t>
      </w:r>
      <w:r>
        <w:t xml:space="preserve">Leave</w:t>
      </w:r>
      <w:r>
        <w:t xml:space="preserve"> </w:t>
      </w:r>
      <w:r>
        <w:rPr>
          <w:rStyle w:val="VerbatimChar"/>
        </w:rPr>
        <w:t xml:space="preserve">[confirm next-round amount]</w:t>
      </w:r>
      <w:r>
        <w:t xml:space="preserve"> </w:t>
      </w:r>
      <w:r>
        <w:t xml:space="preserve">until landed. The live consolidated repitch is ~130 Stretch Beds (≈AU$106,150 incl. GST, subject to final quote). Land on one number or band, and make sure this cover note matches the board package exactly.</w:t>
      </w:r>
    </w:p>
    <w:p>
      <w:pPr>
        <w:numPr>
          <w:ilvl w:val="0"/>
          <w:numId w:val="1038"/>
        </w:numPr>
        <w:pStyle w:val="Compact"/>
      </w:pPr>
      <w:r>
        <w:t xml:space="preserve">☐</w:t>
      </w:r>
      <w:r>
        <w:t xml:space="preserve"> </w:t>
      </w:r>
      <w:r>
        <w:rPr>
          <w:b/>
        </w:rPr>
        <w:t xml:space="preserve">Attach the one-pager</w:t>
      </w:r>
      <w:r>
        <w:t xml:space="preserve"> </w:t>
      </w:r>
      <w:r>
        <w:t xml:space="preserve">(</w:t>
      </w:r>
      <w:r>
        <w:rPr>
          <w:rStyle w:val="VerbatimChar"/>
        </w:rPr>
        <w:t xml:space="preserve">02-one-pager.md</w:t>
      </w:r>
      <w:r>
        <w:t xml:space="preserve">, as PDF) and the consolidated 26 June board package;</w:t>
      </w:r>
      <w:r>
        <w:t xml:space="preserve"> </w:t>
      </w:r>
      <w:r>
        <w:rPr>
          <w:b/>
        </w:rPr>
        <w:t xml:space="preserve">offer the deck</w:t>
      </w:r>
      <w:r>
        <w:t xml:space="preserve"> </w:t>
      </w:r>
      <w:r>
        <w:t xml:space="preserve">(</w:t>
      </w:r>
      <w:r>
        <w:rPr>
          <w:rStyle w:val="VerbatimChar"/>
        </w:rPr>
        <w:t xml:space="preserve">Goods-on-Country-Investor-Deck.pptx</w:t>
      </w:r>
      <w:r>
        <w:t xml:space="preserve">). Do not send this cover note on its own — it sits on top of the board pack.</w:t>
      </w:r>
    </w:p>
    <w:p>
      <w:pPr>
        <w:numPr>
          <w:ilvl w:val="0"/>
          <w:numId w:val="1038"/>
        </w:numPr>
        <w:pStyle w:val="Compact"/>
      </w:pPr>
      <w:r>
        <w:t xml:space="preserve">☐</w:t>
      </w:r>
      <w:r>
        <w:t xml:space="preserve"> </w:t>
      </w:r>
      <w:r>
        <w:rPr>
          <w:b/>
        </w:rPr>
        <w:t xml:space="preserve">Decide whether to name a prior contribution.</w:t>
      </w:r>
      <w:r>
        <w:t xml:space="preserve"> </w:t>
      </w:r>
      <w:r>
        <w:t xml:space="preserve">This draft stays qualitative on purpose. The pack carries an internal</w:t>
      </w:r>
      <w:r>
        <w:t xml:space="preserve"> </w:t>
      </w:r>
      <w:r>
        <w:rPr>
          <w:rStyle w:val="VerbatimChar"/>
        </w:rPr>
        <w:t xml:space="preserve">~AU$123,332 paid</w:t>
      </w:r>
      <w:r>
        <w:t xml:space="preserve"> </w:t>
      </w:r>
      <w:r>
        <w:t xml:space="preserve">figure that is entangled with voided invoices and a stale</w:t>
      </w:r>
      <w:r>
        <w:t xml:space="preserve"> </w:t>
      </w:r>
      <w:r>
        <w:rPr>
          <w:rStyle w:val="VerbatimChar"/>
        </w:rPr>
        <w:t xml:space="preserve">$292,700</w:t>
      </w:r>
      <w:r>
        <w:t xml:space="preserve"> </w:t>
      </w:r>
      <w:r>
        <w:t xml:space="preserve">commitment line, so it is not safe to quote externally yet. If a number is wanted, insert at</w:t>
      </w:r>
      <w:r>
        <w:t xml:space="preserve"> </w:t>
      </w:r>
      <w:r>
        <w:rPr>
          <w:rStyle w:val="VerbatimChar"/>
        </w:rPr>
        <w:t xml:space="preserve">[confirm exact prior contribution]</w:t>
      </w:r>
      <w:r>
        <w:t xml:space="preserve"> </w:t>
      </w:r>
      <w:r>
        <w:t xml:space="preserve">only once reconciled against the asset register.</w:t>
      </w:r>
    </w:p>
    <w:p>
      <w:pPr>
        <w:numPr>
          <w:ilvl w:val="0"/>
          <w:numId w:val="1038"/>
        </w:numPr>
        <w:pStyle w:val="Compact"/>
      </w:pPr>
      <w:r>
        <w:t xml:space="preserve">☐</w:t>
      </w:r>
      <w:r>
        <w:t xml:space="preserve"> </w:t>
      </w:r>
      <w:r>
        <w:rPr>
          <w:b/>
        </w:rPr>
        <w:t xml:space="preserve">Re-pull Xero</w:t>
      </w:r>
      <w:r>
        <w:t xml:space="preserve"> </w:t>
      </w:r>
      <w:r>
        <w:t xml:space="preserve">immediately before sending. Received/billed figures move as invoices clear (master map §10). The letter avoids a live dollar total; confirm nothing said verbally contradicts the fresh pull.</w:t>
      </w:r>
    </w:p>
    <w:p>
      <w:pPr>
        <w:numPr>
          <w:ilvl w:val="0"/>
          <w:numId w:val="1038"/>
        </w:numPr>
        <w:pStyle w:val="Compact"/>
      </w:pPr>
      <w:r>
        <w:t xml:space="preserve">☐</w:t>
      </w:r>
      <w:r>
        <w:t xml:space="preserve"> </w:t>
      </w:r>
      <w:r>
        <w:rPr>
          <w:b/>
        </w:rPr>
        <w:t xml:space="preserve">Confirm Utopia / Ray Nelson detail</w:t>
      </w:r>
      <w:r>
        <w:t xml:space="preserve"> </w:t>
      </w:r>
      <w:r>
        <w:t xml:space="preserve">reads true on the day (87 beds, two days, 1.74 t, 36 households, Oonchiumpa + Utopia Council). Ray Nelson consent is cleared. Do not add other community names or quotes — they are consent-pending.</w:t>
      </w:r>
    </w:p>
    <w:p>
      <w:pPr>
        <w:numPr>
          <w:ilvl w:val="0"/>
          <w:numId w:val="1038"/>
        </w:numPr>
        <w:pStyle w:val="Compact"/>
      </w:pPr>
      <w:r>
        <w:t xml:space="preserve">☐</w:t>
      </w:r>
      <w:r>
        <w:t xml:space="preserve"> </w:t>
      </w:r>
      <w:r>
        <w:rPr>
          <w:b/>
        </w:rPr>
        <w:t xml:space="preserve">Keep the framing Trust-Deed-safe.</w:t>
      </w:r>
      <w:r>
        <w:t xml:space="preserve"> </w:t>
      </w:r>
      <w:r>
        <w:t xml:space="preserve">Centrecorp declined the production-plant and washing-machine asks and is wary of retrospective framing. Confirm nothing here reads as funding R&amp;D, the plant, national expansion, or past work — the commitment is for forward beds delivery in Central Australia, with the QBE match named only as a multiplier.</w:t>
      </w:r>
    </w:p>
    <w:p>
      <w:pPr>
        <w:numPr>
          <w:ilvl w:val="0"/>
          <w:numId w:val="1038"/>
        </w:numPr>
        <w:pStyle w:val="Compact"/>
      </w:pPr>
      <w:r>
        <w:t xml:space="preserve">☐</w:t>
      </w:r>
      <w:r>
        <w:t xml:space="preserve"> </w:t>
      </w:r>
      <w:r>
        <w:rPr>
          <w:b/>
        </w:rPr>
        <w:t xml:space="preserve">Founder sign-off</w:t>
      </w:r>
      <w:r>
        <w:t xml:space="preserve"> </w:t>
      </w:r>
      <w:r>
        <w:t xml:space="preserve">(Ben + Nicholas) on the final wording before send.</w:t>
      </w:r>
    </w:p>
    <w:p>
      <w:pPr>
        <w:pStyle w:val="FirstParagraph"/>
      </w:pPr>
      <w:r>
        <w:rPr>
          <w:i/>
        </w:rPr>
        <w:t xml:space="preserve">The actual send is Ben’s to make.</w:t>
      </w:r>
    </w:p>
    <w:p>
      <w:r>
        <w:br w:type="page"/>
      </w:r>
    </w:p>
    <w:p>
      <w:pPr>
        <w:pStyle w:val="Heading1"/>
      </w:pPr>
      <w:bookmarkStart w:id="195" w:name="funder-note-sefa"/>
      <w:r>
        <w:t xml:space="preserve">Funder Note · SEFA</w:t>
      </w:r>
      <w:bookmarkEnd w:id="195"/>
    </w:p>
    <w:p>
      <w:pPr>
        <w:pStyle w:val="Heading1"/>
      </w:pPr>
      <w:bookmarkStart w:id="196" w:name="X3fe0f91c7c8c5dcb3e631702c818261187fffbc"/>
      <w:r>
        <w:t xml:space="preserve">Outreach note: SEFA (Social Enterprise Finance Australia)</w:t>
      </w:r>
      <w:bookmarkEnd w:id="196"/>
    </w:p>
    <w:p>
      <w:pPr>
        <w:pStyle w:val="BlockText"/>
      </w:pPr>
      <w:r>
        <w:t xml:space="preserve">DRAFT for founder review. Placeholders are in</w:t>
      </w:r>
      <w:r>
        <w:t xml:space="preserve"> </w:t>
      </w:r>
      <w:r>
        <w:rPr>
          <w:rStyle w:val="VerbatimChar"/>
        </w:rPr>
        <w:t xml:space="preserve">[square brackets]</w:t>
      </w:r>
      <w:r>
        <w:t xml:space="preserve">. This is a lender conversation, not a grant appeal — honest about debt, honest about what is and isn’t in place. The actual send is Ben’s to make.</w:t>
      </w:r>
    </w:p>
    <w:p>
      <w:r>
        <w:pict>
          <v:rect style="width:0;height:1.5pt" o:hralign="center" o:hrstd="t" o:hr="t"/>
        </w:pict>
      </w:r>
    </w:p>
    <w:p>
      <w:pPr>
        <w:pStyle w:val="FirstParagraph"/>
      </w:pPr>
      <w:r>
        <w:t xml:space="preserve">Dear [confirm contact — pipeline says Hannah Ebeling],</w:t>
      </w:r>
    </w:p>
    <w:p>
      <w:pPr>
        <w:pStyle w:val="BodyText"/>
      </w:pPr>
      <w:r>
        <w:t xml:space="preserve">We met SEFA through the QBE Catalysing Impact cohort, where you set out a line that has stayed with us: all debt does is bring cash flow from the future into the now. We are writing because Goods on Country is reaching the point where that is the right tool, and we would rather open the conversation early and honestly than arrive with a polished ask and gaps underneath it.</w:t>
      </w:r>
    </w:p>
    <w:p>
      <w:pPr>
        <w:pStyle w:val="BodyText"/>
      </w:pPr>
      <w:r>
        <w:t xml:space="preserve">Goods designs and delivers essential household goods for remote Indigenous communities. The flagship is the Stretch Bed, a washable, flat-packable bed built from recycled plastic, galvanised steel, and Australian canvas. As of 29 May 2026 we have 496 beds deployed across 9 communities, each one tagged and trackable in a register you can scan. Across funders we have received AU$649,710.79, at an 88.8% collection rate. That figure is from our Xero workpaper and is unaudited; we will say so every time.</w:t>
      </w:r>
    </w:p>
    <w:p>
      <w:pPr>
        <w:pStyle w:val="BodyText"/>
      </w:pPr>
      <w:r>
        <w:t xml:space="preserve">Here is the honest commercial position. Goods is about 89% grant-funded today, by design. We have proven communities want the bed and that funders will pay for deployments. We have not yet proven we can make it cheaply enough to stand on its own. The lever is making the recycled-plastic legs ourselves rather than buying them in at a verified 8.6 times markup. We have modelled the in-source cost at AU$425.74 against AU$684.79 today, but we have built zero beds in-house so far. A 50-bed production run, funded from the philanthropic layer, is designed to turn that claim from modelled to measured. We mention this because it is exactly the kind of clear-eyed risk a lender should weigh, not something to talk around.</w:t>
      </w:r>
    </w:p>
    <w:p>
      <w:pPr>
        <w:pStyle w:val="BodyText"/>
      </w:pPr>
      <w:r>
        <w:t xml:space="preserve">What we would bring to SEFA is the senior, concessional base of a blended raise: a working-capital line of around AU$300,000, sitting beneath philanthropic and catalytic layers that absorb first risk. The use is specific. Our sharpest operational risk is that costs land before payments arrive — material and freight go out the door weeks or months before a grant, customer, or partner pays. The line would bridge that timing gap and fund inventory against confirmed orders, not speculative stock. WINYA Furniture, an Indigenous-owned manufacturer serving the same remote market on 36 federal contracts, is proof the path from social enterprise to a serviceable procurement-backed business exists. We see a comparable pipeline ahead of us, and we present it as direction, not as booked revenue.</w:t>
      </w:r>
    </w:p>
    <w:p>
      <w:pPr>
        <w:pStyle w:val="BodyText"/>
      </w:pPr>
      <w:r>
        <w:t xml:space="preserve">We also know your gating conditions, and we are not pretending they are met. A SEFA facility needs a completed Goods-only financial model, an independent-majority fiduciary board rather than the advisory group we have today, and a revenue covenant we can actually service. None of those three is in place yet. What we are asking for now is not money. It is a first conversation, and your read on whether the path and timeline we are working to would make Goods financeable on terms that fit how SEFA lends.</w:t>
      </w:r>
    </w:p>
    <w:p>
      <w:pPr>
        <w:pStyle w:val="BodyText"/>
      </w:pPr>
      <w:r>
        <w:t xml:space="preserve">Could we find half an hour in the next few weeks? We will bring the one-pager and the model as it stands, and answer anything directly.</w:t>
      </w:r>
    </w:p>
    <w:p>
      <w:pPr>
        <w:pStyle w:val="BodyText"/>
      </w:pPr>
      <w:r>
        <w:t xml:space="preserve">With thanks,</w:t>
      </w:r>
    </w:p>
    <w:p>
      <w:pPr>
        <w:pStyle w:val="BodyText"/>
      </w:pPr>
      <w:r>
        <w:t xml:space="preserve">Ben Knight &amp; Nicholas Marchesi</w:t>
      </w:r>
      <w:r>
        <w:t xml:space="preserve"> </w:t>
      </w:r>
      <w:r>
        <w:t xml:space="preserve">Goods on Country</w:t>
      </w:r>
      <w:r>
        <w:t xml:space="preserve"> </w:t>
      </w:r>
      <w:r>
        <w:t xml:space="preserve">[contact details: phone / email]</w:t>
      </w:r>
    </w:p>
    <w:p>
      <w:r>
        <w:pict>
          <v:rect style="width:0;height:1.5pt" o:hralign="center" o:hrstd="t" o:hr="t"/>
        </w:pict>
      </w:r>
    </w:p>
    <w:p>
      <w:pPr>
        <w:pStyle w:val="Heading2"/>
      </w:pPr>
      <w:bookmarkStart w:id="197" w:name="X0a6c6d2f19803a920e93bfd530cea24e8273522"/>
      <w:r>
        <w:t xml:space="preserve">Send checklist (founders, before this goes out)</w:t>
      </w:r>
      <w:bookmarkEnd w:id="197"/>
    </w:p>
    <w:p>
      <w:pPr>
        <w:numPr>
          <w:ilvl w:val="0"/>
          <w:numId w:val="1039"/>
        </w:numPr>
        <w:pStyle w:val="Compact"/>
      </w:pPr>
      <w:r>
        <w:t xml:space="preserve">☐</w:t>
      </w:r>
      <w:r>
        <w:t xml:space="preserve"> </w:t>
      </w:r>
      <w:r>
        <w:rPr>
          <w:b/>
        </w:rPr>
        <w:t xml:space="preserve">Confirm the contact and salutation.</w:t>
      </w:r>
      <w:r>
        <w:t xml:space="preserve"> </w:t>
      </w:r>
      <w:r>
        <w:t xml:space="preserve">The pipeline note says open with Hannah Ebeling (CEO) by email, not LinkedIn. Confirm she is the right first contact, or whether it should go to her and Joel Bird. Update the greeting and the front matter</w:t>
      </w:r>
      <w:r>
        <w:t xml:space="preserve"> </w:t>
      </w:r>
      <w:r>
        <w:rPr>
          <w:rStyle w:val="VerbatimChar"/>
        </w:rPr>
        <w:t xml:space="preserve">to:</w:t>
      </w:r>
      <w:r>
        <w:t xml:space="preserve"> </w:t>
      </w:r>
      <w:r>
        <w:t xml:space="preserve">line.</w:t>
      </w:r>
    </w:p>
    <w:p>
      <w:pPr>
        <w:numPr>
          <w:ilvl w:val="0"/>
          <w:numId w:val="1039"/>
        </w:numPr>
        <w:pStyle w:val="Compact"/>
      </w:pPr>
      <w:r>
        <w:t xml:space="preserve">☐</w:t>
      </w:r>
      <w:r>
        <w:t xml:space="preserve"> </w:t>
      </w:r>
      <w:r>
        <w:rPr>
          <w:b/>
        </w:rPr>
        <w:t xml:space="preserve">Confirm readiness on the three gating conditions before sending</w:t>
      </w:r>
      <w:r>
        <w:t xml:space="preserve"> </w:t>
      </w:r>
      <w:r>
        <w:t xml:space="preserve">— and the timeline you will commit to verbally:</w:t>
      </w:r>
    </w:p>
    <w:p>
      <w:pPr>
        <w:numPr>
          <w:ilvl w:val="1"/>
          <w:numId w:val="1040"/>
        </w:numPr>
        <w:pStyle w:val="Compact"/>
      </w:pPr>
      <w:r>
        <w:t xml:space="preserve">the Goods-only, accountant-reviewed financial model (one figure, not the three revenue cuts that currently coexist);</w:t>
      </w:r>
    </w:p>
    <w:p>
      <w:pPr>
        <w:numPr>
          <w:ilvl w:val="1"/>
          <w:numId w:val="1040"/>
        </w:numPr>
        <w:pStyle w:val="Compact"/>
      </w:pPr>
      <w:r>
        <w:t xml:space="preserve">the independent-majority fiduciary board (advisory group today; 1–2 commercial/scale-up directors needed);</w:t>
      </w:r>
    </w:p>
    <w:p>
      <w:pPr>
        <w:numPr>
          <w:ilvl w:val="1"/>
          <w:numId w:val="1040"/>
        </w:numPr>
        <w:pStyle w:val="Compact"/>
      </w:pPr>
      <w:r>
        <w:t xml:space="preserve">a serviceable revenue covenant.</w:t>
      </w:r>
      <w:r>
        <w:t xml:space="preserve"> </w:t>
      </w:r>
      <w:r>
        <w:t xml:space="preserve">The letter is honest that none is in place. Do not let the call imply otherwise.</w:t>
      </w:r>
    </w:p>
    <w:p>
      <w:pPr>
        <w:numPr>
          <w:ilvl w:val="0"/>
          <w:numId w:val="1039"/>
        </w:numPr>
        <w:pStyle w:val="Compact"/>
      </w:pPr>
      <w:r>
        <w:t xml:space="preserve">☐</w:t>
      </w:r>
      <w:r>
        <w:t xml:space="preserve"> </w:t>
      </w:r>
      <w:r>
        <w:rPr>
          <w:b/>
        </w:rPr>
        <w:t xml:space="preserve">Re-pull Xero immediately before sending.</w:t>
      </w:r>
      <w:r>
        <w:t xml:space="preserve"> </w:t>
      </w:r>
      <w:r>
        <w:t xml:space="preserve">The received/collected figures move as invoices clear (master map §10, contradiction #13 — the 1 Jun pull was ~AU$1,200 higher on both received and billed). Use the freshest figure on the send date, and keep the [WORKPAPER, unaudited] label on it.</w:t>
      </w:r>
    </w:p>
    <w:p>
      <w:pPr>
        <w:numPr>
          <w:ilvl w:val="0"/>
          <w:numId w:val="1039"/>
        </w:numPr>
        <w:pStyle w:val="Compact"/>
      </w:pPr>
      <w:r>
        <w:t xml:space="preserve">☐</w:t>
      </w:r>
      <w:r>
        <w:t xml:space="preserve"> </w:t>
      </w:r>
      <w:r>
        <w:rPr>
          <w:b/>
        </w:rPr>
        <w:t xml:space="preserve">Attach the one-pager</w:t>
      </w:r>
      <w:r>
        <w:t xml:space="preserve"> </w:t>
      </w:r>
      <w:r>
        <w:t xml:space="preserve">(</w:t>
      </w:r>
      <w:r>
        <w:rPr>
          <w:rStyle w:val="VerbatimChar"/>
        </w:rPr>
        <w:t xml:space="preserve">02-one-pager.md</w:t>
      </w:r>
      <w:r>
        <w:t xml:space="preserve">, as PDF) and</w:t>
      </w:r>
      <w:r>
        <w:t xml:space="preserve"> </w:t>
      </w:r>
      <w:r>
        <w:rPr>
          <w:b/>
        </w:rPr>
        <w:t xml:space="preserve">offer the Goods-only financial model</w:t>
      </w:r>
      <w:r>
        <w:t xml:space="preserve"> </w:t>
      </w:r>
      <w:r>
        <w:t xml:space="preserve">once it is accountant-reviewed — a lender will want to open it. Do not send a model that still shows three unreconciled revenue numbers.</w:t>
      </w:r>
    </w:p>
    <w:p>
      <w:pPr>
        <w:numPr>
          <w:ilvl w:val="0"/>
          <w:numId w:val="1039"/>
        </w:numPr>
        <w:pStyle w:val="Compact"/>
      </w:pPr>
      <w:r>
        <w:t xml:space="preserve">☐</w:t>
      </w:r>
      <w:r>
        <w:t xml:space="preserve"> </w:t>
      </w:r>
      <w:r>
        <w:rPr>
          <w:b/>
        </w:rPr>
        <w:t xml:space="preserve">Hold the in-source figures as modelled.</w:t>
      </w:r>
      <w:r>
        <w:t xml:space="preserve"> </w:t>
      </w:r>
      <w:r>
        <w:t xml:space="preserve">AU$425.74 vs AU$684.79 and the 50-bed run are [MODELLED] / planned — 0 beds assembled in-house. Never present the cost-down as achieved in the call.</w:t>
      </w:r>
    </w:p>
    <w:p>
      <w:pPr>
        <w:numPr>
          <w:ilvl w:val="0"/>
          <w:numId w:val="1039"/>
        </w:numPr>
        <w:pStyle w:val="Compact"/>
      </w:pPr>
      <w:r>
        <w:t xml:space="preserve">☐</w:t>
      </w:r>
      <w:r>
        <w:t xml:space="preserve"> </w:t>
      </w:r>
      <w:r>
        <w:rPr>
          <w:b/>
        </w:rPr>
        <w:t xml:space="preserve">Keep WINYA and the procurement pipeline as direction, not booked revenue.</w:t>
      </w:r>
      <w:r>
        <w:t xml:space="preserve"> </w:t>
      </w:r>
      <w:r>
        <w:t xml:space="preserve">No LOIs are signed (0 today). Do not imply contracted volume.</w:t>
      </w:r>
    </w:p>
    <w:p>
      <w:pPr>
        <w:numPr>
          <w:ilvl w:val="0"/>
          <w:numId w:val="1039"/>
        </w:numPr>
        <w:pStyle w:val="Compact"/>
      </w:pPr>
      <w:r>
        <w:t xml:space="preserve">☐</w:t>
      </w:r>
      <w:r>
        <w:t xml:space="preserve"> </w:t>
      </w:r>
      <w:r>
        <w:rPr>
          <w:b/>
        </w:rPr>
        <w:t xml:space="preserve">Founder sign-off</w:t>
      </w:r>
      <w:r>
        <w:t xml:space="preserve"> </w:t>
      </w:r>
      <w:r>
        <w:t xml:space="preserve">(Ben + Nicholas) on the final wording before send.</w:t>
      </w:r>
    </w:p>
    <w:p>
      <w:pPr>
        <w:pStyle w:val="FirstParagraph"/>
      </w:pPr>
      <w:r>
        <w:rPr>
          <w:i/>
        </w:rPr>
        <w:t xml:space="preserve">The actual send is Ben’s to make.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Goods on Country — QBE Catalysing Impact Pack</dc:title>
  <dc:creator/>
  <cp:keywords/>
  <dcterms:created xsi:type="dcterms:W3CDTF">2026-06-13T21:31:27Z</dcterms:created>
  <dcterms:modified xsi:type="dcterms:W3CDTF">2026-06-13T21:31:27Z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June 2026</vt:lpwstr>
  </property>
  <property fmtid="{D5CDD505-2E9C-101B-9397-08002B2CF9AE}" pid="3" name="subtitle">
    <vt:lpwstr>Complete strategic pack across all diagnostic areas · DRAFT for founder review</vt:lpwstr>
  </property>
</Properties>
</file>