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E6E4E"/>
          <w:spacing w:val="40"/>
          <w:sz w:val="20"/>
          <w:szCs w:val="20"/>
        </w:rPr>
        <w:t xml:space="preserve">GOODS ON COUNTRY</w:t>
      </w:r>
    </w:p>
    <w:p>
      <w:pPr>
        <w:spacing w:after="60"/>
      </w:pPr>
      <w:r>
        <w:rPr>
          <w:rFonts w:ascii="Arial" w:cs="Arial" w:eastAsia="Arial" w:hAnsi="Arial"/>
          <w:b/>
          <w:bCs/>
          <w:color w:val="1A1A1A"/>
          <w:sz w:val="34"/>
          <w:szCs w:val="34"/>
        </w:rPr>
        <w:t xml:space="preserve">Costing Model Advisory — Response to Model Questions</w:t>
      </w:r>
    </w:p>
    <w:p>
      <w:pPr>
        <w:spacing w:after="60"/>
      </w:pPr>
      <w:r>
        <w:rPr>
          <w:rFonts w:ascii="Arial" w:cs="Arial" w:eastAsia="Arial" w:hAnsi="Arial"/>
          <w:i/>
          <w:iCs/>
          <w:color w:val="5B6770"/>
          <w:sz w:val="21"/>
          <w:szCs w:val="21"/>
        </w:rPr>
        <w:t xml:space="preserve">Answers to the twelve questions raised on the current GOC costing model, drawn from the locked v6 cost model, the product data layer and the internal knowledge base, with external checks where the question points outward.</w:t>
      </w:r>
    </w:p>
    <w:p>
      <w:pPr>
        <w:pBdr>
          <w:bottom w:val="single" w:color="2E6E4E" w:sz="6" w:space="6"/>
        </w:pBdr>
        <w:spacing w:after="60"/>
      </w:pPr>
      <w:r>
        <w:rPr>
          <w:rFonts w:ascii="Arial" w:cs="Arial" w:eastAsia="Arial" w:hAnsi="Arial"/>
          <w:color w:val="5B6770"/>
          <w:sz w:val="19"/>
          <w:szCs w:val="19"/>
        </w:rPr>
        <w:t xml:space="preserve">Prepared 6 July 2026</w:t>
      </w:r>
    </w:p>
    <w:p>
      <w:pPr>
        <w:spacing w:after="60"/>
      </w:pPr>
      <w:r>
        <w:rPr>
          <w:rFonts w:ascii="Arial" w:cs="Arial" w:eastAsia="Arial" w:hAnsi="Arial"/>
        </w:rPr>
        <w:t xml:space="preserve"/>
      </w:r>
    </w:p>
    <w:p>
      <w:pPr>
        <w:pStyle w:val="Heading1"/>
        <w:spacing w:after="140" w:before="280"/>
      </w:pPr>
      <w:r>
        <w:rPr>
          <w:rFonts w:ascii="Arial" w:cs="Arial" w:eastAsia="Arial" w:hAnsi="Arial"/>
          <w:b/>
          <w:bCs/>
          <w:color w:val="1A1A1A"/>
          <w:sz w:val="30"/>
          <w:szCs w:val="30"/>
        </w:rPr>
        <w:t xml:space="preserve">How to read this</w:t>
      </w:r>
    </w:p>
    <w:p>
      <w:pPr>
        <w:spacing w:after="120" w:before="0" w:line="264"/>
      </w:pPr>
      <w:r>
        <w:rPr>
          <w:rFonts w:ascii="Arial" w:cs="Arial" w:eastAsia="Arial" w:hAnsi="Arial"/>
          <w:color w:val="1A1A1A"/>
          <w:sz w:val="22"/>
          <w:szCs w:val="22"/>
        </w:rPr>
        <w:t xml:space="preserve">Every figure below is tagged by confidence. VERIFIED means it traces to an invoice, a supplier quote or the live Xero mirror. MODELLED means it is a forecast or an allocation. The numbers are the 2026-05-29 locked baseline of the cost model (founder day-rate $560/day; price $750/bed), which is also what drives the interactive model on the website.</w:t>
      </w:r>
    </w:p>
    <w:p>
      <w:pPr>
        <w:spacing w:after="120" w:before="0" w:line="264"/>
      </w:pPr>
      <w:r>
        <w:rPr>
          <w:rFonts w:ascii="Arial" w:cs="Arial" w:eastAsia="Arial" w:hAnsi="Arial"/>
          <w:color w:val="1A1A1A"/>
          <w:sz w:val="22"/>
          <w:szCs w:val="22"/>
        </w:rPr>
        <w:t xml:space="preserve">One framing point underpins several answers: the model deliberately separates two different questions — </w:t>
      </w:r>
      <w:r>
        <w:rPr>
          <w:rFonts w:ascii="Arial" w:cs="Arial" w:eastAsia="Arial" w:hAnsi="Arial"/>
          <w:b/>
          <w:bCs/>
          <w:color w:val="1A1A1A"/>
          <w:sz w:val="22"/>
          <w:szCs w:val="22"/>
        </w:rPr>
        <w:t xml:space="preserve">(1) what one more bed costs (the marginal number), and (2) what the whole operation costs divided by how few beds we make this year (the fully-loaded number).</w:t>
      </w:r>
      <w:r>
        <w:rPr>
          <w:rFonts w:ascii="Arial" w:cs="Arial" w:eastAsia="Arial" w:hAnsi="Arial"/>
          <w:color w:val="1A1A1A"/>
          <w:sz w:val="22"/>
          <w:szCs w:val="22"/>
        </w:rPr>
        <w:t xml:space="preserve"> The scary "~$1,900 a bed" figure is only the second one at pilot volume; it is fixed cost ÷ low volume, not a true unit cost. Fixed running costs are treated as an annual block to fund, not a per-bed tax.</w:t>
      </w:r>
    </w:p>
    <w:tbl>
      <w:tblPr>
        <w:tblW w:type="dxa" w:w="9360"/>
        <w:tblBorders>
          <w:top w:val="none"/>
          <w:left w:val="single" w:color="5B6770" w:sz="18"/>
          <w:bottom w:val="none"/>
          <w:right w:val="none"/>
          <w:insideH w:val="none"/>
          <w:insideV w:val="none"/>
        </w:tblBorders>
      </w:tblPr>
      <w:tblGrid>
        <w:gridCol w:w="9360"/>
      </w:tblGrid>
      <w:tr>
        <w:tc>
          <w:tcPr>
            <w:tcW w:type="dxa" w:w="9360"/>
            <w:shd w:fill="F4F7F5" w:val="clear"/>
            <w:tcMar>
              <w:top w:type="dxa" w:w="90"/>
              <w:left w:type="dxa" w:w="160"/>
              <w:bottom w:type="dxa" w:w="90"/>
              <w:right w:type="dxa" w:w="140"/>
            </w:tcMar>
          </w:tcPr>
          <w:p>
            <w:pPr>
              <w:spacing w:line="258"/>
            </w:pPr>
            <w:r>
              <w:rPr>
                <w:rFonts w:ascii="Arial" w:cs="Arial" w:eastAsia="Arial" w:hAnsi="Arial"/>
                <w:b/>
                <w:bCs/>
                <w:color w:val="5B6770"/>
                <w:sz w:val="20"/>
                <w:szCs w:val="20"/>
              </w:rPr>
              <w:t xml:space="preserve">AT A GLANCE  </w:t>
            </w:r>
            <w:r>
              <w:rPr>
                <w:rFonts w:ascii="Arial" w:cs="Arial" w:eastAsia="Arial" w:hAnsi="Arial"/>
                <w:color w:val="1A1A1A"/>
                <w:sz w:val="21"/>
                <w:szCs w:val="21"/>
              </w:rPr>
              <w:t xml:space="preserve">Marginal cost/bed ~$685 today (buy legs) → ~$426 in-house · Fixed block ~$109,500/yr · Operating break-even ~338 beds/yr (factory path, $750 price) · Kit payback 7.2 yrs at 120 beds → ~1.7 yrs at 500 · Price $750 · Design life 10+ yrs, 5-yr warranty.</w:t>
            </w:r>
          </w:p>
        </w:tc>
      </w:tr>
    </w:tbl>
    <w:p>
      <w:pPr>
        <w:spacing w:after="40"/>
      </w:pPr>
      <w:r>
        <w:rPr>
          <w:rFonts w:ascii="Arial" w:cs="Arial" w:eastAsia="Arial" w:hAnsi="Arial"/>
        </w:rPr>
        <w:t xml:space="preserve"/>
      </w:r>
    </w:p>
    <w:p>
      <w:pPr>
        <w:pStyle w:val="Heading1"/>
        <w:spacing w:after="140" w:before="280"/>
      </w:pPr>
      <w:r>
        <w:rPr>
          <w:rFonts w:ascii="Arial" w:cs="Arial" w:eastAsia="Arial" w:hAnsi="Arial"/>
          <w:b/>
          <w:bCs/>
          <w:color w:val="1A1A1A"/>
          <w:sz w:val="30"/>
          <w:szCs w:val="30"/>
        </w:rPr>
        <w:t xml:space="preserve">The twelve questions</w:t>
      </w:r>
    </w:p>
    <w:p>
      <w:pPr>
        <w:pStyle w:val="Heading2"/>
        <w:pBdr>
          <w:bottom w:val="single" w:color="CCD3CE" w:sz="4" w:space="4"/>
        </w:pBdr>
        <w:spacing w:after="90" w:before="260"/>
      </w:pPr>
      <w:r>
        <w:rPr>
          <w:rFonts w:ascii="Arial" w:cs="Arial" w:eastAsia="Arial" w:hAnsi="Arial"/>
          <w:b/>
          <w:bCs/>
          <w:color w:val="2E6E4E"/>
          <w:sz w:val="25"/>
          <w:szCs w:val="25"/>
        </w:rPr>
        <w:t xml:space="preserve">Q1.  </w:t>
      </w:r>
      <w:r>
        <w:rPr>
          <w:rFonts w:ascii="Arial" w:cs="Arial" w:eastAsia="Arial" w:hAnsi="Arial"/>
          <w:b/>
          <w:bCs/>
          <w:color w:val="1A1A1A"/>
          <w:sz w:val="25"/>
          <w:szCs w:val="25"/>
        </w:rPr>
        <w:t xml:space="preserve">What is inside "Administration / Head Office / Founders time"?</w:t>
      </w:r>
    </w:p>
    <w:p>
      <w:pPr>
        <w:spacing w:after="130"/>
      </w:pPr>
      <w:r>
        <w:rPr>
          <w:rFonts w:ascii="Arial" w:cs="Arial" w:eastAsia="Arial" w:hAnsi="Arial"/>
          <w:i/>
          <w:iCs/>
          <w:color w:val="5B6770"/>
          <w:sz w:val="21"/>
          <w:szCs w:val="21"/>
        </w:rPr>
        <w:t xml:space="preserve">It is unclear what the Administration / Head Office / Founders time includes. A note on the breakdown would help. Associated task: a Production Path diagram to clarify the process and find improvement opportunities.</w:t>
      </w:r>
    </w:p>
    <w:p>
      <w:pPr>
        <w:spacing w:after="120" w:before="0" w:line="264"/>
      </w:pPr>
      <w:r>
        <w:rPr>
          <w:rFonts w:ascii="Arial" w:cs="Arial" w:eastAsia="Arial" w:hAnsi="Arial"/>
          <w:color w:val="1A1A1A"/>
          <w:sz w:val="22"/>
          <w:szCs w:val="22"/>
        </w:rPr>
        <w:t xml:space="preserve">Founder time is the largest and most misunderstood line, so the model splits it deliberately. Ben and Nic are costed at </w:t>
      </w:r>
      <w:r>
        <w:rPr>
          <w:rFonts w:ascii="Arial" w:cs="Arial" w:eastAsia="Arial" w:hAnsi="Arial"/>
          <w:b/>
          <w:bCs/>
          <w:color w:val="1A1A1A"/>
          <w:sz w:val="22"/>
          <w:szCs w:val="22"/>
        </w:rPr>
        <w:t xml:space="preserve">$560/day (LOCKED), 150 days/year each</w:t>
      </w:r>
      <w:r>
        <w:rPr>
          <w:rFonts w:ascii="Arial" w:cs="Arial" w:eastAsia="Arial" w:hAnsi="Arial"/>
          <w:color w:val="1A1A1A"/>
          <w:sz w:val="22"/>
          <w:szCs w:val="22"/>
        </w:rPr>
        <w:t xml:space="preserve">, and those 150 days are split by activity:</w:t>
      </w:r>
    </w:p>
    <w:p>
      <w:pPr>
        <w:pStyle w:val="ListParagraph"/>
        <w:numPr>
          <w:ilvl w:val="0"/>
          <w:numId w:val="2"/>
        </w:numPr>
        <w:spacing w:after="70" w:line="260"/>
      </w:pPr>
      <w:r>
        <w:rPr>
          <w:rFonts w:ascii="Arial" w:cs="Arial" w:eastAsia="Arial" w:hAnsi="Arial"/>
          <w:b/>
          <w:bCs/>
          <w:color w:val="1A1A1A"/>
          <w:sz w:val="22"/>
          <w:szCs w:val="22"/>
        </w:rPr>
        <w:t xml:space="preserve">30 days — production</w:t>
      </w:r>
      <w:r>
        <w:rPr>
          <w:rFonts w:ascii="Arial" w:cs="Arial" w:eastAsia="Arial" w:hAnsi="Arial"/>
          <w:color w:val="1A1A1A"/>
          <w:sz w:val="22"/>
          <w:szCs w:val="22"/>
        </w:rPr>
        <w:t xml:space="preserve"> (~$16,800/yr). This is the ONLY founder time that enters the unit cost / fixed block, because it is the only time that touches a bed.</w:t>
      </w:r>
    </w:p>
    <w:p>
      <w:pPr>
        <w:pStyle w:val="ListParagraph"/>
        <w:numPr>
          <w:ilvl w:val="0"/>
          <w:numId w:val="2"/>
        </w:numPr>
        <w:spacing w:after="70" w:line="260"/>
      </w:pPr>
      <w:r>
        <w:rPr>
          <w:rFonts w:ascii="Arial" w:cs="Arial" w:eastAsia="Arial" w:hAnsi="Arial"/>
          <w:b/>
          <w:bCs/>
          <w:color w:val="1A1A1A"/>
          <w:sz w:val="22"/>
          <w:szCs w:val="22"/>
        </w:rPr>
        <w:t xml:space="preserve">50 days — fundraising · 25 days — commercialisation · 45 days — governance</w:t>
      </w:r>
      <w:r>
        <w:rPr>
          <w:rFonts w:ascii="Arial" w:cs="Arial" w:eastAsia="Arial" w:hAnsi="Arial"/>
          <w:color w:val="1A1A1A"/>
          <w:sz w:val="22"/>
          <w:szCs w:val="22"/>
        </w:rPr>
        <w:t xml:space="preserve"> (~$67,200/yr). These 120 days are </w:t>
      </w:r>
      <w:r>
        <w:rPr>
          <w:rFonts w:ascii="Arial" w:cs="Arial" w:eastAsia="Arial" w:hAnsi="Arial"/>
          <w:b/>
          <w:bCs/>
          <w:i/>
          <w:iCs/>
          <w:color w:val="1A1A1A"/>
          <w:sz w:val="22"/>
          <w:szCs w:val="22"/>
        </w:rPr>
        <w:t xml:space="preserve">deliberately excluded</w:t>
      </w:r>
      <w:r>
        <w:rPr>
          <w:rFonts w:ascii="Arial" w:cs="Arial" w:eastAsia="Arial" w:hAnsi="Arial"/>
          <w:color w:val="1A1A1A"/>
          <w:sz w:val="22"/>
          <w:szCs w:val="22"/>
        </w:rPr>
        <w:t xml:space="preserve"> from the cost of a bed — they are how the enterprise raises capital and wins orders, not a manufacturing cost. Loading them onto beds is what created the misleading "~$840 of founder time per bed."</w:t>
      </w:r>
    </w:p>
    <w:p>
      <w:pPr>
        <w:spacing w:after="120" w:before="0" w:line="264"/>
      </w:pPr>
      <w:r>
        <w:rPr>
          <w:rFonts w:ascii="Arial" w:cs="Arial" w:eastAsia="Arial" w:hAnsi="Arial"/>
          <w:color w:val="1A1A1A"/>
          <w:sz w:val="22"/>
          <w:szCs w:val="22"/>
        </w:rPr>
        <w:t xml:space="preserve">"Admin / back-office" is a separate line of </w:t>
      </w:r>
      <w:r>
        <w:rPr>
          <w:rFonts w:ascii="Arial" w:cs="Arial" w:eastAsia="Arial" w:hAnsi="Arial"/>
          <w:b/>
          <w:bCs/>
          <w:color w:val="1A1A1A"/>
          <w:sz w:val="22"/>
          <w:szCs w:val="22"/>
        </w:rPr>
        <w:t xml:space="preserve">$14,700/yr (MODELLED)</w:t>
      </w:r>
      <w:r>
        <w:rPr>
          <w:rFonts w:ascii="Arial" w:cs="Arial" w:eastAsia="Arial" w:hAnsi="Arial"/>
          <w:color w:val="1A1A1A"/>
          <w:sz w:val="22"/>
          <w:szCs w:val="22"/>
        </w:rPr>
        <w:t xml:space="preserve"> — software, insurance and an accounting allocation, not yet itemised. There is no separate "Head Office" line; office-type costs sit inside admin and inside workshop rent. The rest of the annual fixed block is workshop rent ~$27,000 (Goods’ 50% share of the Kirmos facility at $4,500/mo) and field travel to communities ~$51,000 (the largest single line, anchored by a verified $24,507 Utopia trip).</w:t>
      </w:r>
    </w:p>
    <w:tbl>
      <w:tblPr>
        <w:tblW w:type="dxa" w:w="9360"/>
        <w:tblBorders>
          <w:top w:val="none"/>
          <w:left w:val="single" w:color="2E6E4E" w:sz="18"/>
          <w:bottom w:val="none"/>
          <w:right w:val="none"/>
          <w:insideH w:val="none"/>
          <w:insideV w:val="none"/>
        </w:tblBorders>
      </w:tblPr>
      <w:tblGrid>
        <w:gridCol w:w="9360"/>
      </w:tblGrid>
      <w:tr>
        <w:tc>
          <w:tcPr>
            <w:tcW w:type="dxa" w:w="9360"/>
            <w:shd w:fill="E7F0EA" w:val="clear"/>
            <w:tcMar>
              <w:top w:type="dxa" w:w="90"/>
              <w:left w:type="dxa" w:w="160"/>
              <w:bottom w:type="dxa" w:w="90"/>
              <w:right w:type="dxa" w:w="140"/>
            </w:tcMar>
          </w:tcPr>
          <w:p>
            <w:pPr>
              <w:spacing w:line="258"/>
            </w:pPr>
            <w:r>
              <w:rPr>
                <w:rFonts w:ascii="Arial" w:cs="Arial" w:eastAsia="Arial" w:hAnsi="Arial"/>
                <w:b/>
                <w:bCs/>
                <w:color w:val="2E6E4E"/>
                <w:sz w:val="20"/>
                <w:szCs w:val="20"/>
              </w:rPr>
              <w:t xml:space="preserve">TASK — Production Path diagram  </w:t>
            </w:r>
            <w:r>
              <w:rPr>
                <w:rFonts w:ascii="Arial" w:cs="Arial" w:eastAsia="Arial" w:hAnsi="Arial"/>
                <w:color w:val="1A1A1A"/>
                <w:sz w:val="21"/>
                <w:szCs w:val="21"/>
              </w:rPr>
              <w:t xml:space="preserve">Endorsed. The 11-step production flow already exists in the facility guide (collect → sort → shred → tray → heat → press → cool → CNC cut → edge-finish → assemble → QA/QR-tag). Rendering it as a one-page diagram with the founder-day split and each cost line mapped to its step would directly answer this question and expose process-improvement points (e.g. the CNC/press bottleneck). Recommend building it.</w:t>
            </w:r>
          </w:p>
        </w:tc>
      </w:tr>
    </w:tbl>
    <w:p>
      <w:pPr>
        <w:pStyle w:val="Heading2"/>
        <w:pBdr>
          <w:bottom w:val="single" w:color="CCD3CE" w:sz="4" w:space="4"/>
        </w:pBdr>
        <w:spacing w:after="90" w:before="260"/>
      </w:pPr>
      <w:r>
        <w:rPr>
          <w:rFonts w:ascii="Arial" w:cs="Arial" w:eastAsia="Arial" w:hAnsi="Arial"/>
          <w:b/>
          <w:bCs/>
          <w:color w:val="2E6E4E"/>
          <w:sz w:val="25"/>
          <w:szCs w:val="25"/>
        </w:rPr>
        <w:t xml:space="preserve">Q2.  </w:t>
      </w:r>
      <w:r>
        <w:rPr>
          <w:rFonts w:ascii="Arial" w:cs="Arial" w:eastAsia="Arial" w:hAnsi="Arial"/>
          <w:b/>
          <w:bCs/>
          <w:color w:val="1A1A1A"/>
          <w:sz w:val="25"/>
          <w:szCs w:val="25"/>
        </w:rPr>
        <w:t xml:space="preserve">What do the component partners (DNA Steel, Centre Canvas) get out of it?</w:t>
      </w:r>
    </w:p>
    <w:p>
      <w:pPr>
        <w:spacing w:after="130"/>
      </w:pPr>
      <w:r>
        <w:rPr>
          <w:rFonts w:ascii="Arial" w:cs="Arial" w:eastAsia="Arial" w:hAnsi="Arial"/>
          <w:i/>
          <w:iCs/>
          <w:color w:val="5B6770"/>
          <w:sz w:val="21"/>
          <w:szCs w:val="21"/>
        </w:rPr>
        <w:t xml:space="preserve">What benefit do the component partners receive, if any? Do they use their involvement to promote their business, and what is that worth to them?</w:t>
      </w:r>
    </w:p>
    <w:p>
      <w:pPr>
        <w:spacing w:after="120" w:before="0" w:line="264"/>
      </w:pPr>
      <w:r>
        <w:rPr>
          <w:rFonts w:ascii="Arial" w:cs="Arial" w:eastAsia="Arial" w:hAnsi="Arial"/>
          <w:color w:val="1A1A1A"/>
          <w:sz w:val="22"/>
          <w:szCs w:val="22"/>
        </w:rPr>
        <w:t xml:space="preserve">These are arm’s-length local suppliers, not sponsors — both are Alice Springs businesses, which keeps spend in the same region Goods serves:</w:t>
      </w:r>
    </w:p>
    <w:p>
      <w:pPr>
        <w:pStyle w:val="ListParagraph"/>
        <w:numPr>
          <w:ilvl w:val="0"/>
          <w:numId w:val="2"/>
        </w:numPr>
        <w:spacing w:after="70" w:line="260"/>
      </w:pPr>
      <w:r>
        <w:rPr>
          <w:rFonts w:ascii="Arial" w:cs="Arial" w:eastAsia="Arial" w:hAnsi="Arial"/>
          <w:b/>
          <w:bCs/>
          <w:color w:val="1A1A1A"/>
          <w:sz w:val="22"/>
          <w:szCs w:val="22"/>
        </w:rPr>
        <w:t xml:space="preserve">DNA Steel Direct</w:t>
      </w:r>
      <w:r>
        <w:rPr>
          <w:rFonts w:ascii="Arial" w:cs="Arial" w:eastAsia="Arial" w:hAnsi="Arial"/>
          <w:color w:val="1A1A1A"/>
          <w:sz w:val="22"/>
          <w:szCs w:val="22"/>
        </w:rPr>
        <w:t xml:space="preserve"> — galvanised poles at ~$27/bed (VERIFIED). Alice Springs.</w:t>
      </w:r>
    </w:p>
    <w:p>
      <w:pPr>
        <w:pStyle w:val="ListParagraph"/>
        <w:numPr>
          <w:ilvl w:val="0"/>
          <w:numId w:val="2"/>
        </w:numPr>
        <w:spacing w:after="70" w:line="260"/>
      </w:pPr>
      <w:r>
        <w:rPr>
          <w:rFonts w:ascii="Arial" w:cs="Arial" w:eastAsia="Arial" w:hAnsi="Arial"/>
          <w:b/>
          <w:bCs/>
          <w:color w:val="1A1A1A"/>
          <w:sz w:val="22"/>
          <w:szCs w:val="22"/>
        </w:rPr>
        <w:t xml:space="preserve">Centre Canvas</w:t>
      </w:r>
      <w:r>
        <w:rPr>
          <w:rFonts w:ascii="Arial" w:cs="Arial" w:eastAsia="Arial" w:hAnsi="Arial"/>
          <w:color w:val="1A1A1A"/>
          <w:sz w:val="22"/>
          <w:szCs w:val="22"/>
        </w:rPr>
        <w:t xml:space="preserve"> — the canvas sleeping surface at ~$93.50/bed (VERIFIED across 3 invoices). Alice Springs.</w:t>
      </w:r>
    </w:p>
    <w:p>
      <w:pPr>
        <w:spacing w:after="120" w:before="0" w:line="264"/>
      </w:pPr>
      <w:r>
        <w:rPr>
          <w:rFonts w:ascii="Arial" w:cs="Arial" w:eastAsia="Arial" w:hAnsi="Arial"/>
          <w:color w:val="1A1A1A"/>
          <w:sz w:val="22"/>
          <w:szCs w:val="22"/>
        </w:rPr>
        <w:t xml:space="preserve">Their benefit today is straightforward commercial revenue plus recurring order flow that scales with bed volume (at 500 beds/yr that is ~$13,500 of steel and ~$47,000 of canvas a year). </w:t>
      </w:r>
      <w:r>
        <w:rPr>
          <w:rFonts w:ascii="Arial" w:cs="Arial" w:eastAsia="Arial" w:hAnsi="Arial"/>
          <w:b/>
          <w:bCs/>
          <w:color w:val="1A1A1A"/>
          <w:sz w:val="22"/>
          <w:szCs w:val="22"/>
        </w:rPr>
        <w:t xml:space="preserve">We do not currently hold any evidence that either partner promotes their Goods involvement, or any estimate of marketing value to them</w:t>
      </w:r>
      <w:r>
        <w:rPr>
          <w:rFonts w:ascii="Arial" w:cs="Arial" w:eastAsia="Arial" w:hAnsi="Arial"/>
          <w:color w:val="1A1A1A"/>
          <w:sz w:val="22"/>
          <w:szCs w:val="22"/>
        </w:rPr>
        <w:t xml:space="preserve"> — so the honest answer is that the reciprocal-promotion question is unquantified in our data. It is worth confirming directly, because a named local supply chain (“made with Alice Springs steel and canvas”) is a co-marketing asset both sides could use.</w:t>
      </w:r>
    </w:p>
    <w:tbl>
      <w:tblPr>
        <w:tblW w:type="dxa" w:w="9360"/>
        <w:tblBorders>
          <w:top w:val="none"/>
          <w:left w:val="single" w:color="9A6A00" w:sz="18"/>
          <w:bottom w:val="none"/>
          <w:right w:val="none"/>
          <w:insideH w:val="none"/>
          <w:insideV w:val="none"/>
        </w:tblBorders>
      </w:tblPr>
      <w:tblGrid>
        <w:gridCol w:w="9360"/>
      </w:tblGrid>
      <w:tr>
        <w:tc>
          <w:tcPr>
            <w:tcW w:type="dxa" w:w="9360"/>
            <w:shd w:fill="FBF6EC" w:val="clear"/>
            <w:tcMar>
              <w:top w:type="dxa" w:w="90"/>
              <w:left w:type="dxa" w:w="160"/>
              <w:bottom w:type="dxa" w:w="90"/>
              <w:right w:type="dxa" w:w="140"/>
            </w:tcMar>
          </w:tcPr>
          <w:p>
            <w:pPr>
              <w:spacing w:line="258"/>
            </w:pPr>
            <w:r>
              <w:rPr>
                <w:rFonts w:ascii="Arial" w:cs="Arial" w:eastAsia="Arial" w:hAnsi="Arial"/>
                <w:b/>
                <w:bCs/>
                <w:color w:val="9A6A00"/>
                <w:sz w:val="20"/>
                <w:szCs w:val="20"/>
              </w:rPr>
              <w:t xml:space="preserve">NOTE  </w:t>
            </w:r>
            <w:r>
              <w:rPr>
                <w:rFonts w:ascii="Arial" w:cs="Arial" w:eastAsia="Arial" w:hAnsi="Arial"/>
                <w:color w:val="1A1A1A"/>
                <w:sz w:val="21"/>
                <w:szCs w:val="21"/>
              </w:rPr>
              <w:t xml:space="preserve">A Centre Canvas buyer-opportunity was explored and set aside on 2026-05-30; the relationship is supplier-only for now. Contacts are on file (DNA Steel, Centre Canvas: Wayne).</w:t>
            </w:r>
          </w:p>
        </w:tc>
      </w:tr>
    </w:tbl>
    <w:p>
      <w:pPr>
        <w:pStyle w:val="Heading2"/>
        <w:pBdr>
          <w:bottom w:val="single" w:color="CCD3CE" w:sz="4" w:space="4"/>
        </w:pBdr>
        <w:spacing w:after="90" w:before="260"/>
      </w:pPr>
      <w:r>
        <w:rPr>
          <w:rFonts w:ascii="Arial" w:cs="Arial" w:eastAsia="Arial" w:hAnsi="Arial"/>
          <w:b/>
          <w:bCs/>
          <w:color w:val="2E6E4E"/>
          <w:sz w:val="25"/>
          <w:szCs w:val="25"/>
        </w:rPr>
        <w:t xml:space="preserve">Q3.  </w:t>
      </w:r>
      <w:r>
        <w:rPr>
          <w:rFonts w:ascii="Arial" w:cs="Arial" w:eastAsia="Arial" w:hAnsi="Arial"/>
          <w:b/>
          <w:bCs/>
          <w:color w:val="1A1A1A"/>
          <w:sz w:val="25"/>
          <w:szCs w:val="25"/>
        </w:rPr>
        <w:t xml:space="preserve">How big is the total market from the known buyers?</w:t>
      </w:r>
    </w:p>
    <w:p>
      <w:pPr>
        <w:spacing w:after="130"/>
      </w:pPr>
      <w:r>
        <w:rPr>
          <w:rFonts w:ascii="Arial" w:cs="Arial" w:eastAsia="Arial" w:hAnsi="Arial"/>
          <w:i/>
          <w:iCs/>
          <w:color w:val="5B6770"/>
          <w:sz w:val="21"/>
          <w:szCs w:val="21"/>
        </w:rPr>
        <w:t xml:space="preserve">Based on the identified buyers (Centrecorp, NPY, Miwatj, WHSAC, Homeland Schools), what is the total market — per annum and long term (10+ years)? Associated task: the QBE Hackathon may investigate.</w:t>
      </w:r>
    </w:p>
    <w:p>
      <w:pPr>
        <w:spacing w:after="120" w:before="0" w:line="264"/>
      </w:pPr>
      <w:r>
        <w:rPr>
          <w:rFonts w:ascii="Arial" w:cs="Arial" w:eastAsia="Arial" w:hAnsi="Arial"/>
          <w:color w:val="1A1A1A"/>
          <w:sz w:val="22"/>
          <w:szCs w:val="22"/>
        </w:rPr>
        <w:t xml:space="preserve">Two layers of evidence exist: named near-term demand already recorded, and a sized five-year addressable market.</w:t>
      </w:r>
    </w:p>
    <w:p>
      <w:pPr>
        <w:spacing w:after="120" w:before="0" w:line="264"/>
      </w:pPr>
      <w:r>
        <w:rPr>
          <w:rFonts w:ascii="Arial" w:cs="Arial" w:eastAsia="Arial" w:hAnsi="Arial"/>
          <w:b/>
          <w:bCs/>
          <w:color w:val="1A1A1A"/>
          <w:sz w:val="22"/>
          <w:szCs w:val="22"/>
        </w:rPr>
        <w:t xml:space="preserve">Named demand on the books</w:t>
      </w:r>
      <w:r>
        <w:rPr>
          <w:rFonts w:ascii="Arial" w:cs="Arial" w:eastAsia="Arial" w:hAnsi="Arial"/>
          <w:color w:val="1A1A1A"/>
          <w:sz w:val="22"/>
          <w:szCs w:val="22"/>
        </w:rPr>
        <w:t xml:space="preserve">: Centrecorp/Utopia 107 beds approved (a ~$420k receivable signal); NPY Women’s Council 200–350 beds of standing interest; WHSAC/Groote 500 mattresses + 300 washing machines (exploratory); Homeland Schools Company 65 beds; PICC 40; Dianne Stokes 20; Norman Frank 3. These are demand signals, not booked revenue.</w:t>
      </w:r>
    </w:p>
    <w:p>
      <w:pPr>
        <w:spacing w:after="120" w:before="0" w:line="264"/>
      </w:pPr>
      <w:r>
        <w:rPr>
          <w:rFonts w:ascii="Arial" w:cs="Arial" w:eastAsia="Arial" w:hAnsi="Arial"/>
          <w:b/>
          <w:bCs/>
          <w:color w:val="1A1A1A"/>
          <w:sz w:val="22"/>
          <w:szCs w:val="22"/>
        </w:rPr>
        <w:t xml:space="preserve">Sized market (next 5 years)</w:t>
      </w:r>
      <w:r>
        <w:rPr>
          <w:rFonts w:ascii="Arial" w:cs="Arial" w:eastAsia="Arial" w:hAnsi="Arial"/>
          <w:color w:val="1A1A1A"/>
          <w:sz w:val="22"/>
          <w:szCs w:val="22"/>
        </w:rPr>
        <w:t xml:space="preserve"> — from the go-to-market brief, the addressable pools total roughly 6,150 bed-equivalents per year (~30,750 over five years), with a credible-not-conservative capture of ~6,000 beds as the five-year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650"/>
        <w:gridCol w:w="1650"/>
      </w:tblGrid>
      <w:tr>
        <w:trPr>
          <w:tblHeader/>
        </w:trPr>
        <w:tc>
          <w:tcPr>
            <w:tcW w:type="dxa" w:w="456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left"/>
            </w:pPr>
            <w:r>
              <w:rPr>
                <w:rFonts w:ascii="Arial" w:cs="Arial" w:eastAsia="Arial" w:hAnsi="Arial"/>
                <w:b/>
                <w:bCs/>
                <w:color w:val="FFFFFF"/>
                <w:sz w:val="19"/>
                <w:szCs w:val="19"/>
              </w:rPr>
              <w:t xml:space="preserve">Demand pool</w:t>
            </w:r>
          </w:p>
        </w:tc>
        <w:tc>
          <w:tcPr>
            <w:tcW w:type="dxa" w:w="150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Beds/yr</w:t>
            </w:r>
          </w:p>
        </w:tc>
        <w:tc>
          <w:tcPr>
            <w:tcW w:type="dxa" w:w="165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5-yr pool</w:t>
            </w:r>
          </w:p>
        </w:tc>
        <w:tc>
          <w:tcPr>
            <w:tcW w:type="dxa" w:w="165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Realistic</w:t>
            </w:r>
          </w:p>
        </w:tc>
      </w:tr>
      <w:tr>
        <w:tc>
          <w:tcPr>
            <w:tcW w:type="dxa" w:w="456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Aboriginal Hostels Ltd replacement (~17,000 beds, 7-yr cycle)</w:t>
            </w:r>
          </w:p>
        </w:tc>
        <w:tc>
          <w:tcPr>
            <w:tcW w:type="dxa" w:w="15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2,400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12,000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1,800</w:t>
            </w:r>
          </w:p>
        </w:tc>
      </w:tr>
      <w:tr>
        <w:tc>
          <w:tcPr>
            <w:tcW w:type="dxa" w:w="456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NT remote-housing fitouts (~270 homes × ~5 beds)</w:t>
            </w:r>
          </w:p>
        </w:tc>
        <w:tc>
          <w:tcPr>
            <w:tcW w:type="dxa" w:w="15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1,350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6,750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2,025</w:t>
            </w:r>
          </w:p>
        </w:tc>
      </w:tr>
      <w:tr>
        <w:tc>
          <w:tcPr>
            <w:tcW w:type="dxa" w:w="456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State Aboriginal housing (NSW/QLD/WA/SA)</w:t>
            </w:r>
          </w:p>
        </w:tc>
        <w:tc>
          <w:tcPr>
            <w:tcW w:type="dxa" w:w="15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~1,000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5,000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500</w:t>
            </w:r>
          </w:p>
        </w:tc>
      </w:tr>
      <w:tr>
        <w:tc>
          <w:tcPr>
            <w:tcW w:type="dxa" w:w="456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Direct community + retail (Outback Stores / ALPA)</w:t>
            </w:r>
          </w:p>
        </w:tc>
        <w:tc>
          <w:tcPr>
            <w:tcW w:type="dxa" w:w="15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500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2,500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1,000</w:t>
            </w:r>
          </w:p>
        </w:tc>
      </w:tr>
      <w:tr>
        <w:tc>
          <w:tcPr>
            <w:tcW w:type="dxa" w:w="456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NACCHO / ACCHO staff + clinic housing</w:t>
            </w:r>
          </w:p>
        </w:tc>
        <w:tc>
          <w:tcPr>
            <w:tcW w:type="dxa" w:w="15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~400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2,000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500</w:t>
            </w:r>
          </w:p>
        </w:tc>
      </w:tr>
      <w:tr>
        <w:tc>
          <w:tcPr>
            <w:tcW w:type="dxa" w:w="456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Health / justice facilities</w:t>
            </w:r>
          </w:p>
        </w:tc>
        <w:tc>
          <w:tcPr>
            <w:tcW w:type="dxa" w:w="15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~200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1,000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100</w:t>
            </w:r>
          </w:p>
        </w:tc>
      </w:tr>
      <w:tr>
        <w:tc>
          <w:tcPr>
            <w:tcW w:type="dxa" w:w="456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NDIS SDA + community housing</w:t>
            </w:r>
          </w:p>
        </w:tc>
        <w:tc>
          <w:tcPr>
            <w:tcW w:type="dxa" w:w="15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300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1,500</w:t>
            </w:r>
          </w:p>
        </w:tc>
        <w:tc>
          <w:tcPr>
            <w:tcW w:type="dxa" w:w="165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75</w:t>
            </w:r>
          </w:p>
        </w:tc>
      </w:tr>
      <w:tr>
        <w:tc>
          <w:tcPr>
            <w:tcW w:type="dxa" w:w="456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left"/>
            </w:pPr>
            <w:r>
              <w:rPr>
                <w:rFonts w:ascii="Arial" w:cs="Arial" w:eastAsia="Arial" w:hAnsi="Arial"/>
                <w:b/>
                <w:bCs/>
                <w:color w:val="1A1A1A"/>
                <w:sz w:val="19"/>
                <w:szCs w:val="19"/>
              </w:rPr>
              <w:t xml:space="preserve">Total</w:t>
            </w:r>
          </w:p>
        </w:tc>
        <w:tc>
          <w:tcPr>
            <w:tcW w:type="dxa" w:w="15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bCs/>
                <w:color w:val="1A1A1A"/>
                <w:sz w:val="19"/>
                <w:szCs w:val="19"/>
              </w:rPr>
              <w:t xml:space="preserve">~6,150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bCs/>
                <w:color w:val="1A1A1A"/>
                <w:sz w:val="19"/>
                <w:szCs w:val="19"/>
              </w:rPr>
              <w:t xml:space="preserve">30,750</w:t>
            </w:r>
          </w:p>
        </w:tc>
        <w:tc>
          <w:tcPr>
            <w:tcW w:type="dxa" w:w="165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bCs/>
                <w:color w:val="1A1A1A"/>
                <w:sz w:val="19"/>
                <w:szCs w:val="19"/>
              </w:rPr>
              <w:t xml:space="preserve">~6,000</w:t>
            </w:r>
          </w:p>
        </w:tc>
      </w:tr>
    </w:tbl>
    <w:p>
      <w:pPr>
        <w:spacing w:after="120" w:before="0" w:line="264"/>
      </w:pPr>
      <w:r>
        <w:rPr>
          <w:rFonts w:ascii="Arial" w:cs="Arial" w:eastAsia="Arial" w:hAnsi="Arial"/>
          <w:b/>
          <w:bCs/>
          <w:color w:val="1A1A1A"/>
          <w:sz w:val="22"/>
          <w:szCs w:val="22"/>
        </w:rPr>
        <w:t xml:space="preserve">The binding constraint is supply, not demand</w:t>
      </w:r>
      <w:r>
        <w:rPr>
          <w:rFonts w:ascii="Arial" w:cs="Arial" w:eastAsia="Arial" w:hAnsi="Arial"/>
          <w:color w:val="1A1A1A"/>
          <w:sz w:val="22"/>
          <w:szCs w:val="22"/>
        </w:rPr>
        <w:t xml:space="preserve">: one containerised on-country facility makes ~200 beds per cycle, so ~6,000 beds in five years is ~3 facilities running continuously (or one doing six cycles a year). Long-term (10+ years), the same procurement plumbing plus the washing-machine line and other HDPE products (wall panels, shelving, tables from the same press) widen the market well beyond beds. </w:t>
      </w:r>
      <w:r>
        <w:rPr>
          <w:rFonts w:ascii="Arial" w:cs="Arial" w:eastAsia="Arial" w:hAnsi="Arial"/>
          <w:b/>
          <w:bCs/>
          <w:color w:val="1A1A1A"/>
          <w:sz w:val="22"/>
          <w:szCs w:val="22"/>
        </w:rPr>
        <w:t xml:space="preserve">QBE Hackathon task: endorsed</w:t>
      </w:r>
      <w:r>
        <w:rPr>
          <w:rFonts w:ascii="Arial" w:cs="Arial" w:eastAsia="Arial" w:hAnsi="Arial"/>
          <w:color w:val="1A1A1A"/>
          <w:sz w:val="22"/>
          <w:szCs w:val="22"/>
        </w:rPr>
        <w:t xml:space="preserve"> — the pool sizes above give it a quantified starting frame to pressure-test.</w:t>
      </w:r>
    </w:p>
    <w:p>
      <w:pPr>
        <w:pStyle w:val="Heading2"/>
        <w:pBdr>
          <w:bottom w:val="single" w:color="CCD3CE" w:sz="4" w:space="4"/>
        </w:pBdr>
        <w:spacing w:after="90" w:before="260"/>
      </w:pPr>
      <w:r>
        <w:rPr>
          <w:rFonts w:ascii="Arial" w:cs="Arial" w:eastAsia="Arial" w:hAnsi="Arial"/>
          <w:b/>
          <w:bCs/>
          <w:color w:val="2E6E4E"/>
          <w:sz w:val="25"/>
          <w:szCs w:val="25"/>
        </w:rPr>
        <w:t xml:space="preserve">Q4.  </w:t>
      </w:r>
      <w:r>
        <w:rPr>
          <w:rFonts w:ascii="Arial" w:cs="Arial" w:eastAsia="Arial" w:hAnsi="Arial"/>
          <w:b/>
          <w:bCs/>
          <w:color w:val="1A1A1A"/>
          <w:sz w:val="25"/>
          <w:szCs w:val="25"/>
        </w:rPr>
        <w:t xml:space="preserve">Is the 7.2-year payback right, and what volume breaks even?</w:t>
      </w:r>
    </w:p>
    <w:p>
      <w:pPr>
        <w:spacing w:after="130"/>
      </w:pPr>
      <w:r>
        <w:rPr>
          <w:rFonts w:ascii="Arial" w:cs="Arial" w:eastAsia="Arial" w:hAnsi="Arial"/>
          <w:i/>
          <w:iCs/>
          <w:color w:val="5B6770"/>
          <w:sz w:val="21"/>
          <w:szCs w:val="21"/>
        </w:rPr>
        <w:t xml:space="preserve">The estimated 7.2-year breakeven/payback appears long but must align with investor expectations. How is it defined? What volume is required to break even? The model references 120 and 500 beds/year.</w:t>
      </w:r>
    </w:p>
    <w:p>
      <w:pPr>
        <w:spacing w:after="120" w:before="0" w:line="264"/>
      </w:pPr>
      <w:r>
        <w:rPr>
          <w:rFonts w:ascii="Arial" w:cs="Arial" w:eastAsia="Arial" w:hAnsi="Arial"/>
          <w:color w:val="1A1A1A"/>
          <w:sz w:val="22"/>
          <w:szCs w:val="22"/>
        </w:rPr>
        <w:t xml:space="preserve">Two different ideas are being run together here, and separating them is the answer. </w:t>
      </w:r>
      <w:r>
        <w:rPr>
          <w:rFonts w:ascii="Arial" w:cs="Arial" w:eastAsia="Arial" w:hAnsi="Arial"/>
          <w:b/>
          <w:bCs/>
          <w:color w:val="1A1A1A"/>
          <w:sz w:val="22"/>
          <w:szCs w:val="22"/>
        </w:rPr>
        <w:t xml:space="preserve">"Break-even" and "payback" are not the same number in this model.</w:t>
      </w:r>
    </w:p>
    <w:p>
      <w:pPr>
        <w:pStyle w:val="ListParagraph"/>
        <w:numPr>
          <w:ilvl w:val="0"/>
          <w:numId w:val="2"/>
        </w:numPr>
        <w:spacing w:after="70" w:line="260"/>
      </w:pPr>
      <w:r>
        <w:rPr>
          <w:rFonts w:ascii="Arial" w:cs="Arial" w:eastAsia="Arial" w:hAnsi="Arial"/>
          <w:b/>
          <w:bCs/>
          <w:color w:val="1A1A1A"/>
          <w:sz w:val="22"/>
          <w:szCs w:val="22"/>
        </w:rPr>
        <w:t xml:space="preserve">Operating break-even</w:t>
      </w:r>
      <w:r>
        <w:rPr>
          <w:rFonts w:ascii="Arial" w:cs="Arial" w:eastAsia="Arial" w:hAnsi="Arial"/>
          <w:color w:val="1A1A1A"/>
          <w:sz w:val="22"/>
          <w:szCs w:val="22"/>
        </w:rPr>
        <w:t xml:space="preserve"> = annual fixed block ÷ contribution per bed. At $750 and the in-house factory cost, contribution is ~$324/bed, so break-even is </w:t>
      </w:r>
      <w:r>
        <w:rPr>
          <w:rFonts w:ascii="Arial" w:cs="Arial" w:eastAsia="Arial" w:hAnsi="Arial"/>
          <w:b/>
          <w:bCs/>
          <w:color w:val="1A1A1A"/>
          <w:sz w:val="22"/>
          <w:szCs w:val="22"/>
        </w:rPr>
        <w:t xml:space="preserve">~338 beds/year</w:t>
      </w:r>
      <w:r>
        <w:rPr>
          <w:rFonts w:ascii="Arial" w:cs="Arial" w:eastAsia="Arial" w:hAnsi="Arial"/>
          <w:color w:val="1A1A1A"/>
          <w:sz w:val="22"/>
          <w:szCs w:val="22"/>
        </w:rPr>
        <w:t xml:space="preserve">. On the buy-the-kit path contribution is only ~$65, so it needs ~1,679 beds/yr — i.e. the bought-in path cannot realistically cover fixed costs, which is the whole case for in-sourcing.</w:t>
      </w:r>
    </w:p>
    <w:p>
      <w:pPr>
        <w:pStyle w:val="ListParagraph"/>
        <w:numPr>
          <w:ilvl w:val="0"/>
          <w:numId w:val="2"/>
        </w:numPr>
        <w:spacing w:after="70" w:line="260"/>
      </w:pPr>
      <w:r>
        <w:rPr>
          <w:rFonts w:ascii="Arial" w:cs="Arial" w:eastAsia="Arial" w:hAnsi="Arial"/>
          <w:b/>
          <w:bCs/>
          <w:color w:val="1A1A1A"/>
          <w:sz w:val="22"/>
          <w:szCs w:val="22"/>
        </w:rPr>
        <w:t xml:space="preserve">Capital payback (the 7.2 years)</w:t>
      </w:r>
      <w:r>
        <w:rPr>
          <w:rFonts w:ascii="Arial" w:cs="Arial" w:eastAsia="Arial" w:hAnsi="Arial"/>
          <w:color w:val="1A1A1A"/>
          <w:sz w:val="22"/>
          <w:szCs w:val="22"/>
        </w:rPr>
        <w:t xml:space="preserve"> is a different calculation: it is the payback on the plastic-processing equipment, measured only against the $194.05/bed saving from making legs in-house instead of buying them. It is </w:t>
      </w:r>
      <w:r>
        <w:rPr>
          <w:rFonts w:ascii="Arial" w:cs="Arial" w:eastAsia="Arial" w:hAnsi="Arial"/>
          <w:b/>
          <w:bCs/>
          <w:color w:val="1A1A1A"/>
          <w:sz w:val="22"/>
          <w:szCs w:val="22"/>
        </w:rPr>
        <w:t xml:space="preserve">entirely volume-driven</w:t>
      </w:r>
      <w:r>
        <w:rPr>
          <w:rFonts w:ascii="Arial" w:cs="Arial" w:eastAsia="Arial" w:hAnsi="Arial"/>
          <w:color w:val="1A1A1A"/>
          <w:sz w:val="22"/>
          <w:szCs w:val="22"/>
        </w:rPr>
        <w:t xml:space="preserve">: payback (years) = capex ÷ $194.05 ÷ beds per year.</w:t>
      </w:r>
    </w:p>
    <w:p>
      <w:pPr>
        <w:spacing w:after="120" w:before="0" w:line="264"/>
      </w:pPr>
      <w:r>
        <w:rPr>
          <w:rFonts w:ascii="Arial" w:cs="Arial" w:eastAsia="Arial" w:hAnsi="Arial"/>
          <w:color w:val="1A1A1A"/>
          <w:sz w:val="22"/>
          <w:szCs w:val="22"/>
        </w:rPr>
        <w:t xml:space="preserve">The "7.2 years" is that formula at the midpoint capex (~$167k) and today’s run-rate of 120 beds/yr. It looks long only because 120 beds is the pilot floor. Hold the capex and raise volume and it collapses: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left"/>
            </w:pPr>
            <w:r>
              <w:rPr>
                <w:rFonts w:ascii="Arial" w:cs="Arial" w:eastAsia="Arial" w:hAnsi="Arial"/>
                <w:b/>
                <w:bCs/>
                <w:color w:val="FFFFFF"/>
                <w:sz w:val="19"/>
                <w:szCs w:val="19"/>
              </w:rPr>
              <w:t xml:space="preserve">Beds/yr</w:t>
            </w:r>
          </w:p>
        </w:tc>
        <w:tc>
          <w:tcPr>
            <w:tcW w:type="dxa" w:w="240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Capex $112k (low)</w:t>
            </w:r>
          </w:p>
        </w:tc>
        <w:tc>
          <w:tcPr>
            <w:tcW w:type="dxa" w:w="240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Capex $167k (mid)</w:t>
            </w:r>
          </w:p>
        </w:tc>
        <w:tc>
          <w:tcPr>
            <w:tcW w:type="dxa" w:w="2400"/>
            <w:tcBorders>
              <w:top w:val="single" w:color="CCD3CE" w:sz="1"/>
              <w:left w:val="single" w:color="CCD3CE" w:sz="1"/>
              <w:bottom w:val="single" w:color="CCD3CE" w:sz="1"/>
              <w:right w:val="single" w:color="CCD3CE" w:sz="1"/>
            </w:tcBorders>
            <w:shd w:fill="2E6E4E" w:val="clear"/>
            <w:tcMar>
              <w:top w:type="dxa" w:w="70"/>
              <w:left w:type="dxa" w:w="110"/>
              <w:bottom w:type="dxa" w:w="70"/>
              <w:right w:type="dxa" w:w="110"/>
            </w:tcMar>
          </w:tcPr>
          <w:p>
            <w:pPr>
              <w:jc w:val="right"/>
            </w:pPr>
            <w:r>
              <w:rPr>
                <w:rFonts w:ascii="Arial" w:cs="Arial" w:eastAsia="Arial" w:hAnsi="Arial"/>
                <w:b/>
                <w:bCs/>
                <w:color w:val="FFFFFF"/>
                <w:sz w:val="19"/>
                <w:szCs w:val="19"/>
              </w:rPr>
              <w:t xml:space="preserve">Capex $222k (high)</w:t>
            </w:r>
          </w:p>
        </w:tc>
      </w:tr>
      <w:tr>
        <w:tc>
          <w:tcPr>
            <w:tcW w:type="dxa" w:w="216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120 (today)</w:t>
            </w:r>
          </w:p>
        </w:tc>
        <w:tc>
          <w:tcPr>
            <w:tcW w:type="dxa" w:w="24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4.8 yrs</w:t>
            </w:r>
          </w:p>
        </w:tc>
        <w:tc>
          <w:tcPr>
            <w:tcW w:type="dxa" w:w="24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7.2 yrs</w:t>
            </w:r>
          </w:p>
        </w:tc>
        <w:tc>
          <w:tcPr>
            <w:tcW w:type="dxa" w:w="24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9.5 yrs</w:t>
            </w:r>
          </w:p>
        </w:tc>
      </w:tr>
      <w:tr>
        <w:tc>
          <w:tcPr>
            <w:tcW w:type="dxa" w:w="216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250 (in-source assembly)</w:t>
            </w:r>
          </w:p>
        </w:tc>
        <w:tc>
          <w:tcPr>
            <w:tcW w:type="dxa" w:w="24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2.3 yrs</w:t>
            </w:r>
          </w:p>
        </w:tc>
        <w:tc>
          <w:tcPr>
            <w:tcW w:type="dxa" w:w="24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3.4 yrs</w:t>
            </w:r>
          </w:p>
        </w:tc>
        <w:tc>
          <w:tcPr>
            <w:tcW w:type="dxa" w:w="24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4.6 yrs</w:t>
            </w:r>
          </w:p>
        </w:tc>
      </w:tr>
      <w:tr>
        <w:tc>
          <w:tcPr>
            <w:tcW w:type="dxa" w:w="216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left"/>
            </w:pPr>
            <w:r>
              <w:rPr>
                <w:rFonts w:ascii="Arial" w:cs="Arial" w:eastAsia="Arial" w:hAnsi="Arial"/>
                <w:b w:val="false"/>
                <w:bCs w:val="false"/>
                <w:color w:val="1A1A1A"/>
                <w:sz w:val="19"/>
                <w:szCs w:val="19"/>
              </w:rPr>
              <w:t xml:space="preserve">338 (break-even)</w:t>
            </w:r>
          </w:p>
        </w:tc>
        <w:tc>
          <w:tcPr>
            <w:tcW w:type="dxa" w:w="24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1.7 yrs</w:t>
            </w:r>
          </w:p>
        </w:tc>
        <w:tc>
          <w:tcPr>
            <w:tcW w:type="dxa" w:w="24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2.5 yrs</w:t>
            </w:r>
          </w:p>
        </w:tc>
        <w:tc>
          <w:tcPr>
            <w:tcW w:type="dxa" w:w="2400"/>
            <w:tcBorders>
              <w:top w:val="single" w:color="CCD3CE" w:sz="1"/>
              <w:left w:val="single" w:color="CCD3CE" w:sz="1"/>
              <w:bottom w:val="single" w:color="CCD3CE" w:sz="1"/>
              <w:right w:val="single" w:color="CCD3CE" w:sz="1"/>
            </w:tcBorders>
            <w:shd w:fill="FFFFFF" w:val="clear"/>
            <w:tcMar>
              <w:top w:type="dxa" w:w="60"/>
              <w:left w:type="dxa" w:w="110"/>
              <w:bottom w:type="dxa" w:w="60"/>
              <w:right w:type="dxa" w:w="110"/>
            </w:tcMar>
          </w:tcPr>
          <w:p>
            <w:pPr>
              <w:jc w:val="right"/>
            </w:pPr>
            <w:r>
              <w:rPr>
                <w:rFonts w:ascii="Arial" w:cs="Arial" w:eastAsia="Arial" w:hAnsi="Arial"/>
                <w:b w:val="false"/>
                <w:bCs w:val="false"/>
                <w:color w:val="1A1A1A"/>
                <w:sz w:val="19"/>
                <w:szCs w:val="19"/>
              </w:rPr>
              <w:t xml:space="preserve">3.4 yrs</w:t>
            </w:r>
          </w:p>
        </w:tc>
      </w:tr>
      <w:tr>
        <w:tc>
          <w:tcPr>
            <w:tcW w:type="dxa" w:w="216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left"/>
            </w:pPr>
            <w:r>
              <w:rPr>
                <w:rFonts w:ascii="Arial" w:cs="Arial" w:eastAsia="Arial" w:hAnsi="Arial"/>
                <w:color w:val="1A1A1A"/>
                <w:sz w:val="19"/>
                <w:szCs w:val="19"/>
              </w:rPr>
              <w:t xml:space="preserve">500 (factory target)</w:t>
            </w:r>
          </w:p>
        </w:tc>
        <w:tc>
          <w:tcPr>
            <w:tcW w:type="dxa" w:w="24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color w:val="1A1A1A"/>
                <w:sz w:val="19"/>
                <w:szCs w:val="19"/>
              </w:rPr>
              <w:t xml:space="preserve">1.2 yrs</w:t>
            </w:r>
          </w:p>
        </w:tc>
        <w:tc>
          <w:tcPr>
            <w:tcW w:type="dxa" w:w="24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color w:val="1A1A1A"/>
                <w:sz w:val="19"/>
                <w:szCs w:val="19"/>
              </w:rPr>
              <w:t xml:space="preserve">1.7 yrs</w:t>
            </w:r>
          </w:p>
        </w:tc>
        <w:tc>
          <w:tcPr>
            <w:tcW w:type="dxa" w:w="2400"/>
            <w:tcBorders>
              <w:top w:val="single" w:color="CCD3CE" w:sz="1"/>
              <w:left w:val="single" w:color="CCD3CE" w:sz="1"/>
              <w:bottom w:val="single" w:color="CCD3CE" w:sz="1"/>
              <w:right w:val="single" w:color="CCD3CE" w:sz="1"/>
            </w:tcBorders>
            <w:shd w:fill="F4F7F5" w:val="clear"/>
            <w:tcMar>
              <w:top w:type="dxa" w:w="60"/>
              <w:left w:type="dxa" w:w="110"/>
              <w:bottom w:type="dxa" w:w="60"/>
              <w:right w:type="dxa" w:w="110"/>
            </w:tcMar>
          </w:tcPr>
          <w:p>
            <w:pPr>
              <w:jc w:val="right"/>
            </w:pPr>
            <w:r>
              <w:rPr>
                <w:rFonts w:ascii="Arial" w:cs="Arial" w:eastAsia="Arial" w:hAnsi="Arial"/>
                <w:color w:val="1A1A1A"/>
                <w:sz w:val="19"/>
                <w:szCs w:val="19"/>
              </w:rPr>
              <w:t xml:space="preserve">2.3 yrs</w:t>
            </w:r>
          </w:p>
        </w:tc>
      </w:tr>
    </w:tbl>
    <w:p>
      <w:pPr>
        <w:spacing w:after="120" w:before="0" w:line="264"/>
      </w:pPr>
      <w:r>
        <w:rPr>
          <w:rFonts w:ascii="Arial" w:cs="Arial" w:eastAsia="Arial" w:hAnsi="Arial"/>
          <w:color w:val="1A1A1A"/>
          <w:sz w:val="22"/>
          <w:szCs w:val="22"/>
        </w:rPr>
        <w:t xml:space="preserve">So the honest investor line is: at the 500-bed target the plastic kit pays for itself in </w:t>
      </w:r>
      <w:r>
        <w:rPr>
          <w:rFonts w:ascii="Arial" w:cs="Arial" w:eastAsia="Arial" w:hAnsi="Arial"/>
          <w:b/>
          <w:bCs/>
          <w:color w:val="1A1A1A"/>
          <w:sz w:val="22"/>
          <w:szCs w:val="22"/>
        </w:rPr>
        <w:t xml:space="preserve">well under two years</w:t>
      </w:r>
      <w:r>
        <w:rPr>
          <w:rFonts w:ascii="Arial" w:cs="Arial" w:eastAsia="Arial" w:hAnsi="Arial"/>
          <w:color w:val="1A1A1A"/>
          <w:sz w:val="22"/>
          <w:szCs w:val="22"/>
        </w:rPr>
        <w:t xml:space="preserve">, and every bed after that keeps ~$194 of value (and the jobs) on-country instead of paying an external margin. The 7.2-year figure is real but is a low-volume artefact, not the steady-state case — it should always be shown next to the volume it assumes.</w:t>
      </w:r>
    </w:p>
    <w:p>
      <w:pPr>
        <w:pStyle w:val="Heading2"/>
        <w:pBdr>
          <w:bottom w:val="single" w:color="CCD3CE" w:sz="4" w:space="4"/>
        </w:pBdr>
        <w:spacing w:after="90" w:before="260"/>
      </w:pPr>
      <w:r>
        <w:rPr>
          <w:rFonts w:ascii="Arial" w:cs="Arial" w:eastAsia="Arial" w:hAnsi="Arial"/>
          <w:b/>
          <w:bCs/>
          <w:color w:val="2E6E4E"/>
          <w:sz w:val="25"/>
          <w:szCs w:val="25"/>
        </w:rPr>
        <w:t xml:space="preserve">Q5.  </w:t>
      </w:r>
      <w:r>
        <w:rPr>
          <w:rFonts w:ascii="Arial" w:cs="Arial" w:eastAsia="Arial" w:hAnsi="Arial"/>
          <w:b/>
          <w:bCs/>
          <w:color w:val="1A1A1A"/>
          <w:sz w:val="25"/>
          <w:szCs w:val="25"/>
        </w:rPr>
        <w:t xml:space="preserve">How does the bed compare to a cheap camping bed, and what is its true life?</w:t>
      </w:r>
    </w:p>
    <w:p>
      <w:pPr>
        <w:spacing w:after="130"/>
      </w:pPr>
      <w:r>
        <w:rPr>
          <w:rFonts w:ascii="Arial" w:cs="Arial" w:eastAsia="Arial" w:hAnsi="Arial"/>
          <w:i/>
          <w:iCs/>
          <w:color w:val="5B6770"/>
          <w:sz w:val="21"/>
          <w:szCs w:val="21"/>
        </w:rPr>
        <w:t xml:space="preserve">Has the competition been ground-truthed? A camping bed costs $100–250+ — would it survive the environment and daily use? Associated task: what is the bed’s real life — all components or the weakest (canvas)? Can the canvas be replaced so the bed lasts another 10 years?</w:t>
      </w:r>
    </w:p>
    <w:p>
      <w:pPr>
        <w:spacing w:after="120" w:before="0" w:line="264"/>
      </w:pPr>
      <w:r>
        <w:rPr>
          <w:rFonts w:ascii="Arial" w:cs="Arial" w:eastAsia="Arial" w:hAnsi="Arial"/>
          <w:color w:val="1A1A1A"/>
          <w:sz w:val="22"/>
          <w:szCs w:val="22"/>
        </w:rPr>
        <w:t xml:space="preserve">A $100–250 camping stretcher and the Stretch Bed are not the same product. Camping cots are built for occasional use — lightweight aluminium/nylon, typically ~100–150 kg rated, fabric that perishes with UV and repeated washing. The Stretch Bed is a </w:t>
      </w:r>
      <w:r>
        <w:rPr>
          <w:rFonts w:ascii="Arial" w:cs="Arial" w:eastAsia="Arial" w:hAnsi="Arial"/>
          <w:b/>
          <w:bCs/>
          <w:color w:val="1A1A1A"/>
          <w:sz w:val="22"/>
          <w:szCs w:val="22"/>
        </w:rPr>
        <w:t xml:space="preserve">permanent-use</w:t>
      </w:r>
      <w:r>
        <w:rPr>
          <w:rFonts w:ascii="Arial" w:cs="Arial" w:eastAsia="Arial" w:hAnsi="Arial"/>
          <w:color w:val="1A1A1A"/>
          <w:sz w:val="22"/>
          <w:szCs w:val="22"/>
        </w:rPr>
        <w:t xml:space="preserve"> bed: 26 kg, </w:t>
      </w:r>
      <w:r>
        <w:rPr>
          <w:rFonts w:ascii="Arial" w:cs="Arial" w:eastAsia="Arial" w:hAnsi="Arial"/>
          <w:b/>
          <w:bCs/>
          <w:color w:val="1A1A1A"/>
          <w:sz w:val="22"/>
          <w:szCs w:val="22"/>
        </w:rPr>
        <w:t xml:space="preserve">200 kg</w:t>
      </w:r>
      <w:r>
        <w:rPr>
          <w:rFonts w:ascii="Arial" w:cs="Arial" w:eastAsia="Arial" w:hAnsi="Arial"/>
          <w:color w:val="1A1A1A"/>
          <w:sz w:val="22"/>
          <w:szCs w:val="22"/>
        </w:rPr>
        <w:t xml:space="preserve"> load rating, 188×92×25 cm, recycled-HDPE X-trestle legs, galvanised steel poles and heavy-duty Australian canvas, tensioned in ~5 minutes without tools. The go-to-market analysis frames the real competitor not as camping beds but as the </w:t>
      </w:r>
      <w:r>
        <w:rPr>
          <w:rFonts w:ascii="Arial" w:cs="Arial" w:eastAsia="Arial" w:hAnsi="Arial"/>
          <w:b/>
          <w:bCs/>
          <w:color w:val="1A1A1A"/>
          <w:sz w:val="22"/>
          <w:szCs w:val="22"/>
        </w:rPr>
        <w:t xml:space="preserve">disposable goods the system buys today — beds with a 3–12 month life in remote conditions</w:t>
      </w:r>
      <w:r>
        <w:rPr>
          <w:rFonts w:ascii="Arial" w:cs="Arial" w:eastAsia="Arial" w:hAnsi="Arial"/>
          <w:color w:val="1A1A1A"/>
          <w:sz w:val="22"/>
          <w:szCs w:val="22"/>
        </w:rPr>
        <w:t xml:space="preserve">. That is the comparison that matters: unit price vs cost-per-year-of-service.</w:t>
      </w:r>
    </w:p>
    <w:p>
      <w:pPr>
        <w:spacing w:after="120" w:before="0" w:line="264"/>
      </w:pPr>
      <w:r>
        <w:rPr>
          <w:rFonts w:ascii="Arial" w:cs="Arial" w:eastAsia="Arial" w:hAnsi="Arial"/>
          <w:color w:val="1A1A1A"/>
          <w:sz w:val="22"/>
          <w:szCs w:val="22"/>
        </w:rPr>
        <w:t xml:space="preserve">On life (the associated task): the </w:t>
      </w:r>
      <w:r>
        <w:rPr>
          <w:rFonts w:ascii="Arial" w:cs="Arial" w:eastAsia="Arial" w:hAnsi="Arial"/>
          <w:b/>
          <w:bCs/>
          <w:color w:val="1A1A1A"/>
          <w:sz w:val="22"/>
          <w:szCs w:val="22"/>
        </w:rPr>
        <w:t xml:space="preserve">10+ year design life is a whole-of-product target, and the canvas is correctly identified as the wear item</w:t>
      </w:r>
      <w:r>
        <w:rPr>
          <w:rFonts w:ascii="Arial" w:cs="Arial" w:eastAsia="Arial" w:hAnsi="Arial"/>
          <w:color w:val="1A1A1A"/>
          <w:sz w:val="22"/>
          <w:szCs w:val="22"/>
        </w:rPr>
        <w:t xml:space="preserve">. The steel poles and HDPE legs comfortably exceed ten years (see Q8); the canvas is the first thing to fatigue. The design already answers the advisor’s follow-up — it is deliberately repairable and the canvas is a replaceable, washable part (~$93.50 BOM). Replacing a canvas resets the bed’s clock at low cost, so a decade-plus of service with one or two canvas swaps is realistic. The 5-year warranty sits below the 10+ year design life as the contractual promise.</w:t>
      </w:r>
    </w:p>
    <w:tbl>
      <w:tblPr>
        <w:tblW w:type="dxa" w:w="9360"/>
        <w:tblBorders>
          <w:top w:val="none"/>
          <w:left w:val="single" w:color="9A6A00" w:sz="18"/>
          <w:bottom w:val="none"/>
          <w:right w:val="none"/>
          <w:insideH w:val="none"/>
          <w:insideV w:val="none"/>
        </w:tblBorders>
      </w:tblPr>
      <w:tblGrid>
        <w:gridCol w:w="9360"/>
      </w:tblGrid>
      <w:tr>
        <w:tc>
          <w:tcPr>
            <w:tcW w:type="dxa" w:w="9360"/>
            <w:shd w:fill="FBF6EC" w:val="clear"/>
            <w:tcMar>
              <w:top w:type="dxa" w:w="90"/>
              <w:left w:type="dxa" w:w="160"/>
              <w:bottom w:type="dxa" w:w="90"/>
              <w:right w:type="dxa" w:w="140"/>
            </w:tcMar>
          </w:tcPr>
          <w:p>
            <w:pPr>
              <w:spacing w:line="258"/>
            </w:pPr>
            <w:r>
              <w:rPr>
                <w:rFonts w:ascii="Arial" w:cs="Arial" w:eastAsia="Arial" w:hAnsi="Arial"/>
                <w:b/>
                <w:bCs/>
                <w:color w:val="9A6A00"/>
                <w:sz w:val="20"/>
                <w:szCs w:val="20"/>
              </w:rPr>
              <w:t xml:space="preserve">WORTH ADDING TO THE MODEL  </w:t>
            </w:r>
            <w:r>
              <w:rPr>
                <w:rFonts w:ascii="Arial" w:cs="Arial" w:eastAsia="Arial" w:hAnsi="Arial"/>
                <w:color w:val="1A1A1A"/>
                <w:sz w:val="21"/>
                <w:szCs w:val="21"/>
              </w:rPr>
              <w:t xml:space="preserve">We do not yet carry a warranty/replacement reserve or the remote freight of a warranty swap (flagged on the model’s "easy-to-forget" tab). Because a canvas replacement pays remote freight a second time, a per-bed reserve (~4% of parts + a freight event) would make the lifecycle-cost comparison against cheap beds airtight.</w:t>
            </w:r>
          </w:p>
        </w:tc>
      </w:tr>
    </w:tbl>
    <w:p>
      <w:pPr>
        <w:pStyle w:val="Heading2"/>
        <w:pBdr>
          <w:bottom w:val="single" w:color="CCD3CE" w:sz="4" w:space="4"/>
        </w:pBdr>
        <w:spacing w:after="90" w:before="260"/>
      </w:pPr>
      <w:r>
        <w:rPr>
          <w:rFonts w:ascii="Arial" w:cs="Arial" w:eastAsia="Arial" w:hAnsi="Arial"/>
          <w:b/>
          <w:bCs/>
          <w:color w:val="2E6E4E"/>
          <w:sz w:val="25"/>
          <w:szCs w:val="25"/>
        </w:rPr>
        <w:t xml:space="preserve">Q6.  </w:t>
      </w:r>
      <w:r>
        <w:rPr>
          <w:rFonts w:ascii="Arial" w:cs="Arial" w:eastAsia="Arial" w:hAnsi="Arial"/>
          <w:b/>
          <w:bCs/>
          <w:color w:val="1A1A1A"/>
          <w:sz w:val="25"/>
          <w:szCs w:val="25"/>
        </w:rPr>
        <w:t xml:space="preserve">Is the recycling benefit in the model — financial or environmental?</w:t>
      </w:r>
    </w:p>
    <w:p>
      <w:pPr>
        <w:spacing w:after="130"/>
      </w:pPr>
      <w:r>
        <w:rPr>
          <w:rFonts w:ascii="Arial" w:cs="Arial" w:eastAsia="Arial" w:hAnsi="Arial"/>
          <w:i/>
          <w:iCs/>
          <w:color w:val="5B6770"/>
          <w:sz w:val="21"/>
          <w:szCs w:val="21"/>
        </w:rPr>
        <w:t xml:space="preserve">Is the cost benefit of recycling the plastic in the model? Financial or environmental? Associated task: how could a financial benefit of recycling be captured?</w:t>
      </w:r>
    </w:p>
    <w:p>
      <w:pPr>
        <w:spacing w:after="120" w:before="0" w:line="264"/>
      </w:pPr>
      <w:r>
        <w:rPr>
          <w:rFonts w:ascii="Arial" w:cs="Arial" w:eastAsia="Arial" w:hAnsi="Arial"/>
          <w:color w:val="1A1A1A"/>
          <w:sz w:val="22"/>
          <w:szCs w:val="22"/>
        </w:rPr>
        <w:t xml:space="preserve">Both, and the model already captures the financial side — but through in-sourcing, not through selling recyclate. </w:t>
      </w:r>
      <w:r>
        <w:rPr>
          <w:rFonts w:ascii="Arial" w:cs="Arial" w:eastAsia="Arial" w:hAnsi="Arial"/>
          <w:b/>
          <w:bCs/>
          <w:color w:val="1A1A1A"/>
          <w:sz w:val="22"/>
          <w:szCs w:val="22"/>
        </w:rPr>
        <w:t xml:space="preserve">The financial benefit is the $194.05/bed saved by pressing legs from recycled HDPE instead of buying finished legs at $344.05</w:t>
      </w:r>
      <w:r>
        <w:rPr>
          <w:rFonts w:ascii="Arial" w:cs="Arial" w:eastAsia="Arial" w:hAnsi="Arial"/>
          <w:color w:val="1A1A1A"/>
          <w:sz w:val="22"/>
          <w:szCs w:val="22"/>
        </w:rPr>
        <w:t xml:space="preserve">. At 500 beds/yr that is a recurring prize of ~$144,525/yr (the saving plus the external margin recaptured). The "idiot index" makes the point sharply: a bought kit costs 8.6× the ~$40 shred-floor cost of the same plastic, and 21.5× the ~$16 raw-polymer floor — that gap is the financial value recycling unlocks.</w:t>
      </w:r>
    </w:p>
    <w:p>
      <w:pPr>
        <w:spacing w:after="120" w:before="0" w:line="264"/>
      </w:pPr>
      <w:r>
        <w:rPr>
          <w:rFonts w:ascii="Arial" w:cs="Arial" w:eastAsia="Arial" w:hAnsi="Arial"/>
          <w:color w:val="1A1A1A"/>
          <w:sz w:val="22"/>
          <w:szCs w:val="22"/>
        </w:rPr>
        <w:t xml:space="preserve">The environmental benefit is tracked separately: </w:t>
      </w:r>
      <w:r>
        <w:rPr>
          <w:rFonts w:ascii="Arial" w:cs="Arial" w:eastAsia="Arial" w:hAnsi="Arial"/>
          <w:b/>
          <w:bCs/>
          <w:color w:val="1A1A1A"/>
          <w:sz w:val="22"/>
          <w:szCs w:val="22"/>
        </w:rPr>
        <w:t xml:space="preserve">20 kg of HDPE diverted per bed</w:t>
      </w:r>
      <w:r>
        <w:rPr>
          <w:rFonts w:ascii="Arial" w:cs="Arial" w:eastAsia="Arial" w:hAnsi="Arial"/>
          <w:color w:val="1A1A1A"/>
          <w:sz w:val="22"/>
          <w:szCs w:val="22"/>
        </w:rPr>
        <w:t xml:space="preserve"> (a design/spec figure, not yet weighbridge-verified), currently ~60% community-sourced feedstock. </w:t>
      </w:r>
      <w:r>
        <w:rPr>
          <w:rFonts w:ascii="Arial" w:cs="Arial" w:eastAsia="Arial" w:hAnsi="Arial"/>
          <w:b/>
          <w:bCs/>
          <w:color w:val="1A1A1A"/>
          <w:sz w:val="22"/>
          <w:szCs w:val="22"/>
        </w:rPr>
        <w:t xml:space="preserve">How to capture more financial benefit</w:t>
      </w:r>
      <w:r>
        <w:rPr>
          <w:rFonts w:ascii="Arial" w:cs="Arial" w:eastAsia="Arial" w:hAnsi="Arial"/>
          <w:color w:val="1A1A1A"/>
          <w:sz w:val="22"/>
          <w:szCs w:val="22"/>
        </w:rPr>
        <w:t xml:space="preserve"> (the task): (a) raise the community-collected share so feedstock trends toward the ~$0.80/kg floor; (b) run the same press for the HDPE product catalogue already in design — wall panels, shelving, table tops — so one set of recycling equipment earns across several products, not just beds. Diverted-plastic tonnage can also be attached to environmental grants and circular-economy procurement (see Q11), turning the environmental metric into a funding input.</w:t>
      </w:r>
    </w:p>
    <w:p>
      <w:pPr>
        <w:pStyle w:val="Heading2"/>
        <w:pBdr>
          <w:bottom w:val="single" w:color="CCD3CE" w:sz="4" w:space="4"/>
        </w:pBdr>
        <w:spacing w:after="90" w:before="260"/>
      </w:pPr>
      <w:r>
        <w:rPr>
          <w:rFonts w:ascii="Arial" w:cs="Arial" w:eastAsia="Arial" w:hAnsi="Arial"/>
          <w:b/>
          <w:bCs/>
          <w:color w:val="2E6E4E"/>
          <w:sz w:val="25"/>
          <w:szCs w:val="25"/>
        </w:rPr>
        <w:t xml:space="preserve">Q7.  </w:t>
      </w:r>
      <w:r>
        <w:rPr>
          <w:rFonts w:ascii="Arial" w:cs="Arial" w:eastAsia="Arial" w:hAnsi="Arial"/>
          <w:b/>
          <w:bCs/>
          <w:color w:val="1A1A1A"/>
          <w:sz w:val="25"/>
          <w:szCs w:val="25"/>
        </w:rPr>
        <w:t xml:space="preserve">Is assembly DIY, or is labour in the model — and can it go to the customer?</w:t>
      </w:r>
    </w:p>
    <w:p>
      <w:pPr>
        <w:spacing w:after="130"/>
      </w:pPr>
      <w:r>
        <w:rPr>
          <w:rFonts w:ascii="Arial" w:cs="Arial" w:eastAsia="Arial" w:hAnsi="Arial"/>
          <w:i/>
          <w:iCs/>
          <w:color w:val="5B6770"/>
          <w:sz w:val="21"/>
          <w:szCs w:val="21"/>
        </w:rPr>
        <w:t xml:space="preserve">Is the bed DIY assembly, or is assembly labour included in the model? It is not a complex process. If it is a current cost, can it be passed to the consumer?</w:t>
      </w:r>
    </w:p>
    <w:p>
      <w:pPr>
        <w:spacing w:after="120" w:before="0" w:line="264"/>
      </w:pPr>
      <w:r>
        <w:rPr>
          <w:rFonts w:ascii="Arial" w:cs="Arial" w:eastAsia="Arial" w:hAnsi="Arial"/>
          <w:color w:val="1A1A1A"/>
          <w:sz w:val="22"/>
          <w:szCs w:val="22"/>
        </w:rPr>
        <w:t xml:space="preserve">Assembly labour is in the model — it is not assumed to be free. The factory path carries </w:t>
      </w:r>
      <w:r>
        <w:rPr>
          <w:rFonts w:ascii="Arial" w:cs="Arial" w:eastAsia="Arial" w:hAnsi="Arial"/>
          <w:b/>
          <w:bCs/>
          <w:color w:val="1A1A1A"/>
          <w:sz w:val="22"/>
          <w:szCs w:val="22"/>
        </w:rPr>
        <w:t xml:space="preserve">~$80/bed of assembly labour</w:t>
      </w:r>
      <w:r>
        <w:rPr>
          <w:rFonts w:ascii="Arial" w:cs="Arial" w:eastAsia="Arial" w:hAnsi="Arial"/>
          <w:color w:val="1A1A1A"/>
          <w:sz w:val="22"/>
          <w:szCs w:val="22"/>
        </w:rPr>
        <w:t xml:space="preserve"> (5 beds/day throughput), the buy-kit path ~$65 of assembly + inbound handling, and the community path ~$130/bed at a dignified fair-wage rate. So assembly is a real, costed line, not a hidden one.</w:t>
      </w:r>
    </w:p>
    <w:p>
      <w:pPr>
        <w:spacing w:after="120" w:before="0" w:line="264"/>
      </w:pPr>
      <w:r>
        <w:rPr>
          <w:rFonts w:ascii="Arial" w:cs="Arial" w:eastAsia="Arial" w:hAnsi="Arial"/>
          <w:color w:val="1A1A1A"/>
          <w:sz w:val="22"/>
          <w:szCs w:val="22"/>
        </w:rPr>
        <w:t xml:space="preserve">On passing it to the consumer: final tensioning genuinely is a ~5-minute, no-tools job, so a flat-packed "final assembly by recipient" model is feasible and would remove that $65–130 from the delivered cost. The caution is that the primary customers are remote communities and institutional buyers receiving beds in volume, where reliable set-up and the warranty promise matter — self-assembly suits the direct/retail and camper channel better than a hostel or housing fit-out. Recommended framing: keep assembly costed, and treat customer self-assembly as a channel-specific discount lever rather than a blanket cost removal.</w:t>
      </w:r>
    </w:p>
    <w:tbl>
      <w:tblPr>
        <w:tblW w:type="dxa" w:w="9360"/>
        <w:tblBorders>
          <w:top w:val="none"/>
          <w:left w:val="single" w:color="9A6A00" w:sz="18"/>
          <w:bottom w:val="none"/>
          <w:right w:val="none"/>
          <w:insideH w:val="none"/>
          <w:insideV w:val="none"/>
        </w:tblBorders>
      </w:tblPr>
      <w:tblGrid>
        <w:gridCol w:w="9360"/>
      </w:tblGrid>
      <w:tr>
        <w:tc>
          <w:tcPr>
            <w:tcW w:type="dxa" w:w="9360"/>
            <w:shd w:fill="FBF6EC" w:val="clear"/>
            <w:tcMar>
              <w:top w:type="dxa" w:w="90"/>
              <w:left w:type="dxa" w:w="160"/>
              <w:bottom w:type="dxa" w:w="90"/>
              <w:right w:type="dxa" w:w="140"/>
            </w:tcMar>
          </w:tcPr>
          <w:p>
            <w:pPr>
              <w:spacing w:line="258"/>
            </w:pPr>
            <w:r>
              <w:rPr>
                <w:rFonts w:ascii="Arial" w:cs="Arial" w:eastAsia="Arial" w:hAnsi="Arial"/>
                <w:b/>
                <w:bCs/>
                <w:color w:val="9A6A00"/>
                <w:sz w:val="20"/>
                <w:szCs w:val="20"/>
              </w:rPr>
              <w:t xml:space="preserve">MODEL TIDY-UP  </w:t>
            </w:r>
            <w:r>
              <w:rPr>
                <w:rFonts w:ascii="Arial" w:cs="Arial" w:eastAsia="Arial" w:hAnsi="Arial"/>
                <w:color w:val="1A1A1A"/>
                <w:sz w:val="21"/>
                <w:szCs w:val="21"/>
              </w:rPr>
              <w:t xml:space="preserve">Assembly currently appears two ways — a ~$40 marginal-assembly figure and a $55.95 "Defy-charged" figure. Worth reconciling to one number (our-assembly vs supplier-charged) so the line is unambiguous.</w:t>
            </w:r>
          </w:p>
        </w:tc>
      </w:tr>
    </w:tbl>
    <w:p>
      <w:pPr>
        <w:pStyle w:val="Heading2"/>
        <w:pBdr>
          <w:bottom w:val="single" w:color="CCD3CE" w:sz="4" w:space="4"/>
        </w:pBdr>
        <w:spacing w:after="90" w:before="260"/>
      </w:pPr>
      <w:r>
        <w:rPr>
          <w:rFonts w:ascii="Arial" w:cs="Arial" w:eastAsia="Arial" w:hAnsi="Arial"/>
          <w:b/>
          <w:bCs/>
          <w:color w:val="2E6E4E"/>
          <w:sz w:val="25"/>
          <w:szCs w:val="25"/>
        </w:rPr>
        <w:t xml:space="preserve">Q8.  </w:t>
      </w:r>
      <w:r>
        <w:rPr>
          <w:rFonts w:ascii="Arial" w:cs="Arial" w:eastAsia="Arial" w:hAnsi="Arial"/>
          <w:b/>
          <w:bCs/>
          <w:color w:val="1A1A1A"/>
          <w:sz w:val="25"/>
          <w:szCs w:val="25"/>
        </w:rPr>
        <w:t xml:space="preserve">Are the plastic legs over-engineered — could they be down-scaled to cut cost?</w:t>
      </w:r>
    </w:p>
    <w:p>
      <w:pPr>
        <w:spacing w:after="130"/>
      </w:pPr>
      <w:r>
        <w:rPr>
          <w:rFonts w:ascii="Arial" w:cs="Arial" w:eastAsia="Arial" w:hAnsi="Arial"/>
          <w:i/>
          <w:iCs/>
          <w:color w:val="5B6770"/>
          <w:sz w:val="21"/>
          <w:szCs w:val="21"/>
        </w:rPr>
        <w:t xml:space="preserve">The plastic legs look like they may last 50 years. If so, could they be down-scaled for a cost reduction, more in line with the ~10-year components like the canvas? A 10-year life may be sufficient and more in line with a sustainable business.</w:t>
      </w:r>
    </w:p>
    <w:p>
      <w:pPr>
        <w:spacing w:after="120" w:before="0" w:line="264"/>
      </w:pPr>
      <w:r>
        <w:rPr>
          <w:rFonts w:ascii="Arial" w:cs="Arial" w:eastAsia="Arial" w:hAnsi="Arial"/>
          <w:color w:val="1A1A1A"/>
          <w:sz w:val="22"/>
          <w:szCs w:val="22"/>
        </w:rPr>
        <w:t xml:space="preserve">This is a sound first-principles observation and the model supports exploring it. The legs are the most robust and most expensive material component (bought $344/kit; made ~$150), and their bulk is what carries the "20 kg HDPE per bed" figure. If they are engineered for ~50 years while the bed’s design life is 10+ years, there is genuine material — and cost — to recover by matching leg life to product life.</w:t>
      </w:r>
    </w:p>
    <w:p>
      <w:pPr>
        <w:spacing w:after="120" w:before="0" w:line="264"/>
      </w:pPr>
      <w:r>
        <w:rPr>
          <w:rFonts w:ascii="Arial" w:cs="Arial" w:eastAsia="Arial" w:hAnsi="Arial"/>
          <w:color w:val="1A1A1A"/>
          <w:sz w:val="22"/>
          <w:szCs w:val="22"/>
        </w:rPr>
        <w:t xml:space="preserve">The trade-offs to weigh, all of which the model can flex:</w:t>
      </w:r>
    </w:p>
    <w:p>
      <w:pPr>
        <w:pStyle w:val="ListParagraph"/>
        <w:numPr>
          <w:ilvl w:val="0"/>
          <w:numId w:val="2"/>
        </w:numPr>
        <w:spacing w:after="70" w:line="260"/>
      </w:pPr>
      <w:r>
        <w:rPr>
          <w:rFonts w:ascii="Arial" w:cs="Arial" w:eastAsia="Arial" w:hAnsi="Arial"/>
          <w:b/>
          <w:bCs/>
          <w:color w:val="1A1A1A"/>
          <w:sz w:val="22"/>
          <w:szCs w:val="22"/>
        </w:rPr>
        <w:t xml:space="preserve">Cost</w:t>
      </w:r>
      <w:r>
        <w:rPr>
          <w:rFonts w:ascii="Arial" w:cs="Arial" w:eastAsia="Arial" w:hAnsi="Arial"/>
          <w:color w:val="1A1A1A"/>
          <w:sz w:val="22"/>
          <w:szCs w:val="22"/>
        </w:rPr>
        <w:t xml:space="preserve"> — less HDPE per leg moves cost toward the ~$40 shred floor / ~$16 polymer floor; real savings on the single dearest part.</w:t>
      </w:r>
    </w:p>
    <w:p>
      <w:pPr>
        <w:pStyle w:val="ListParagraph"/>
        <w:numPr>
          <w:ilvl w:val="0"/>
          <w:numId w:val="2"/>
        </w:numPr>
        <w:spacing w:after="70" w:line="260"/>
      </w:pPr>
      <w:r>
        <w:rPr>
          <w:rFonts w:ascii="Arial" w:cs="Arial" w:eastAsia="Arial" w:hAnsi="Arial"/>
          <w:b/>
          <w:bCs/>
          <w:color w:val="1A1A1A"/>
          <w:sz w:val="22"/>
          <w:szCs w:val="22"/>
        </w:rPr>
        <w:t xml:space="preserve">Impact metric</w:t>
      </w:r>
      <w:r>
        <w:rPr>
          <w:rFonts w:ascii="Arial" w:cs="Arial" w:eastAsia="Arial" w:hAnsi="Arial"/>
          <w:color w:val="1A1A1A"/>
          <w:sz w:val="22"/>
          <w:szCs w:val="22"/>
        </w:rPr>
        <w:t xml:space="preserve"> — every kilo removed cuts the "20 kg diverted/bed" story, which is a headline impact and grant metric. Downscaling trades environmental narrative for margin; that swap should be explicit.</w:t>
      </w:r>
    </w:p>
    <w:p>
      <w:pPr>
        <w:pStyle w:val="ListParagraph"/>
        <w:numPr>
          <w:ilvl w:val="0"/>
          <w:numId w:val="2"/>
        </w:numPr>
        <w:spacing w:after="70" w:line="260"/>
      </w:pPr>
      <w:r>
        <w:rPr>
          <w:rFonts w:ascii="Arial" w:cs="Arial" w:eastAsia="Arial" w:hAnsi="Arial"/>
          <w:b/>
          <w:bCs/>
          <w:color w:val="1A1A1A"/>
          <w:sz w:val="22"/>
          <w:szCs w:val="22"/>
        </w:rPr>
        <w:t xml:space="preserve">Durability proposition</w:t>
      </w:r>
      <w:r>
        <w:rPr>
          <w:rFonts w:ascii="Arial" w:cs="Arial" w:eastAsia="Arial" w:hAnsi="Arial"/>
          <w:color w:val="1A1A1A"/>
          <w:sz w:val="22"/>
          <w:szCs w:val="22"/>
        </w:rPr>
        <w:t xml:space="preserve"> — "virtually indestructible" is part of why the bed beats disposable competitors (Q5). The target is enough material for a confident 10–15 year leg, not maximum mass.</w:t>
      </w:r>
    </w:p>
    <w:p>
      <w:pPr>
        <w:spacing w:after="120" w:before="0" w:line="264"/>
      </w:pPr>
      <w:r>
        <w:rPr>
          <w:rFonts w:ascii="Arial" w:cs="Arial" w:eastAsia="Arial" w:hAnsi="Arial"/>
          <w:color w:val="1A1A1A"/>
          <w:sz w:val="22"/>
          <w:szCs w:val="22"/>
        </w:rPr>
        <w:t xml:space="preserve">Recommendation: treat leg wall-thickness/mass as a design variable and run a small cost-vs-plastic-diverted study — it is one of the cleaner process-improvement opportunities in the whole cost stack.</w:t>
      </w:r>
    </w:p>
    <w:p>
      <w:pPr>
        <w:pStyle w:val="Heading2"/>
        <w:pBdr>
          <w:bottom w:val="single" w:color="CCD3CE" w:sz="4" w:space="4"/>
        </w:pBdr>
        <w:spacing w:after="90" w:before="260"/>
      </w:pPr>
      <w:r>
        <w:rPr>
          <w:rFonts w:ascii="Arial" w:cs="Arial" w:eastAsia="Arial" w:hAnsi="Arial"/>
          <w:b/>
          <w:bCs/>
          <w:color w:val="2E6E4E"/>
          <w:sz w:val="25"/>
          <w:szCs w:val="25"/>
        </w:rPr>
        <w:t xml:space="preserve">Q9.  </w:t>
      </w:r>
      <w:r>
        <w:rPr>
          <w:rFonts w:ascii="Arial" w:cs="Arial" w:eastAsia="Arial" w:hAnsi="Arial"/>
          <w:b/>
          <w:bCs/>
          <w:color w:val="1A1A1A"/>
          <w:sz w:val="25"/>
          <w:szCs w:val="25"/>
        </w:rPr>
        <w:t xml:space="preserve">Is recycling-equipment maintenance in the unit costs (containerised model)?</w:t>
      </w:r>
    </w:p>
    <w:p>
      <w:pPr>
        <w:spacing w:after="130"/>
      </w:pPr>
      <w:r>
        <w:rPr>
          <w:rFonts w:ascii="Arial" w:cs="Arial" w:eastAsia="Arial" w:hAnsi="Arial"/>
          <w:i/>
          <w:iCs/>
          <w:color w:val="5B6770"/>
          <w:sz w:val="21"/>
          <w:szCs w:val="21"/>
        </w:rPr>
        <w:t xml:space="preserve">What maintenance is required on the plastic-recycling equipment for the containerised model, and has it been factored into the unit costs?</w:t>
      </w:r>
    </w:p>
    <w:p>
      <w:pPr>
        <w:spacing w:after="120" w:before="0" w:line="264"/>
      </w:pPr>
      <w:r>
        <w:rPr>
          <w:rFonts w:ascii="Arial" w:cs="Arial" w:eastAsia="Arial" w:hAnsi="Arial"/>
          <w:color w:val="1A1A1A"/>
          <w:sz w:val="22"/>
          <w:szCs w:val="22"/>
        </w:rPr>
        <w:t xml:space="preserve">Honestly: not yet. Machine maintenance and downtime for the make-your-own-legs path is on the model’s "easy-to-forget" list and is currently </w:t>
      </w:r>
      <w:r>
        <w:rPr>
          <w:rFonts w:ascii="Arial" w:cs="Arial" w:eastAsia="Arial" w:hAnsi="Arial"/>
          <w:b/>
          <w:bCs/>
          <w:color w:val="1A1A1A"/>
          <w:sz w:val="22"/>
          <w:szCs w:val="22"/>
        </w:rPr>
        <w:t xml:space="preserve">excluded</w:t>
      </w:r>
      <w:r>
        <w:rPr>
          <w:rFonts w:ascii="Arial" w:cs="Arial" w:eastAsia="Arial" w:hAnsi="Arial"/>
          <w:color w:val="1A1A1A"/>
          <w:sz w:val="22"/>
          <w:szCs w:val="22"/>
        </w:rPr>
        <w:t xml:space="preserve"> — the in-house leg cost of ~$150 explicitly ignores upkeep and capital recovery. The containerised model is a two-container plant (a shredding container and a production container with granulator, heated press and CNC), so the real maintenance items are press heater elements, CNC tooling/bits, granulator blades, seals and general downtime.</w:t>
      </w:r>
    </w:p>
    <w:p>
      <w:pPr>
        <w:spacing w:after="120" w:before="0" w:line="264"/>
      </w:pPr>
      <w:r>
        <w:rPr>
          <w:rFonts w:ascii="Arial" w:cs="Arial" w:eastAsia="Arial" w:hAnsi="Arial"/>
          <w:color w:val="1A1A1A"/>
          <w:sz w:val="22"/>
          <w:szCs w:val="22"/>
        </w:rPr>
        <w:t xml:space="preserve">This is a known gap rather than an oversight, and it matters because it sits inside the same $150 leg cost that drives the Q4 payback. Recommended: add a maintenance line as a percentage of equipment capex (a 5–10%/yr placeholder until a vendor service quote lands) so the in-house leg cost and the payback are not flattering. It will modestly raise the make-cost and lengthen payback, but it makes the capital case defensible under diligence.</w:t>
      </w:r>
    </w:p>
    <w:p>
      <w:pPr>
        <w:pStyle w:val="Heading2"/>
        <w:pBdr>
          <w:bottom w:val="single" w:color="CCD3CE" w:sz="4" w:space="4"/>
        </w:pBdr>
        <w:spacing w:after="90" w:before="260"/>
      </w:pPr>
      <w:r>
        <w:rPr>
          <w:rFonts w:ascii="Arial" w:cs="Arial" w:eastAsia="Arial" w:hAnsi="Arial"/>
          <w:b/>
          <w:bCs/>
          <w:color w:val="2E6E4E"/>
          <w:sz w:val="25"/>
          <w:szCs w:val="25"/>
        </w:rPr>
        <w:t xml:space="preserve">Q10.  </w:t>
      </w:r>
      <w:r>
        <w:rPr>
          <w:rFonts w:ascii="Arial" w:cs="Arial" w:eastAsia="Arial" w:hAnsi="Arial"/>
          <w:b/>
          <w:bCs/>
          <w:color w:val="1A1A1A"/>
          <w:sz w:val="25"/>
          <w:szCs w:val="25"/>
        </w:rPr>
        <w:t xml:space="preserve">Have other plastic recyclers (Replas, Plastic Forests) been approached for cheaper supply?</w:t>
      </w:r>
    </w:p>
    <w:p>
      <w:pPr>
        <w:spacing w:after="130"/>
      </w:pPr>
      <w:r>
        <w:rPr>
          <w:rFonts w:ascii="Arial" w:cs="Arial" w:eastAsia="Arial" w:hAnsi="Arial"/>
          <w:i/>
          <w:iCs/>
          <w:color w:val="5B6770"/>
          <w:sz w:val="21"/>
          <w:szCs w:val="21"/>
        </w:rPr>
        <w:t xml:space="preserve">Have ACT spoken to other recycled-plastic producers (e.g. Replas, Plastic Forests) — larger, longer-established, possibly cheaper? Associated task: request ACT approval to speak with other producers.</w:t>
      </w:r>
    </w:p>
    <w:p>
      <w:pPr>
        <w:spacing w:after="120" w:before="0" w:line="264"/>
      </w:pPr>
      <w:r>
        <w:rPr>
          <w:rFonts w:ascii="Arial" w:cs="Arial" w:eastAsia="Arial" w:hAnsi="Arial"/>
          <w:color w:val="1A1A1A"/>
          <w:sz w:val="22"/>
          <w:szCs w:val="22"/>
        </w:rPr>
        <w:t xml:space="preserve">We have no record of Goods approaching either. Both are real and larger than the current supplier: </w:t>
      </w:r>
      <w:r>
        <w:rPr>
          <w:rFonts w:ascii="Arial" w:cs="Arial" w:eastAsia="Arial" w:hAnsi="Arial"/>
          <w:b/>
          <w:bCs/>
          <w:color w:val="1A1A1A"/>
          <w:sz w:val="22"/>
          <w:szCs w:val="22"/>
        </w:rPr>
        <w:t xml:space="preserve">Replas</w:t>
      </w:r>
      <w:r>
        <w:rPr>
          <w:rFonts w:ascii="Arial" w:cs="Arial" w:eastAsia="Arial" w:hAnsi="Arial"/>
          <w:color w:val="1A1A1A"/>
          <w:sz w:val="22"/>
          <w:szCs w:val="22"/>
        </w:rPr>
        <w:t xml:space="preserve"> is a 30-year mixed-recycled-plastic manufacturer (200+ products, min. 85% recycled content, ~3,000 t/yr and able to scale to 10,000 t); </w:t>
      </w:r>
      <w:r>
        <w:rPr>
          <w:rFonts w:ascii="Arial" w:cs="Arial" w:eastAsia="Arial" w:hAnsi="Arial"/>
          <w:b/>
          <w:bCs/>
          <w:color w:val="1A1A1A"/>
          <w:sz w:val="22"/>
          <w:szCs w:val="22"/>
        </w:rPr>
        <w:t xml:space="preserve">Plastic Forests</w:t>
      </w:r>
      <w:r>
        <w:rPr>
          <w:rFonts w:ascii="Arial" w:cs="Arial" w:eastAsia="Arial" w:hAnsi="Arial"/>
          <w:color w:val="1A1A1A"/>
          <w:sz w:val="22"/>
          <w:szCs w:val="22"/>
        </w:rPr>
        <w:t xml:space="preserve"> is a 10-year soft-plastics specialist out of Albury (fence posts, cable cover, garden products).</w:t>
      </w:r>
    </w:p>
    <w:p>
      <w:pPr>
        <w:spacing w:after="120" w:before="0" w:line="264"/>
      </w:pPr>
      <w:r>
        <w:rPr>
          <w:rFonts w:ascii="Arial" w:cs="Arial" w:eastAsia="Arial" w:hAnsi="Arial"/>
          <w:color w:val="1A1A1A"/>
          <w:sz w:val="22"/>
          <w:szCs w:val="22"/>
        </w:rPr>
        <w:t xml:space="preserve">But cheaper legs from a mainland producer would cut against the core model, so this needs care rather than a reflex. Two points:</w:t>
      </w:r>
    </w:p>
    <w:p>
      <w:pPr>
        <w:pStyle w:val="ListParagraph"/>
        <w:numPr>
          <w:ilvl w:val="0"/>
          <w:numId w:val="2"/>
        </w:numPr>
        <w:spacing w:after="70" w:line="260"/>
      </w:pPr>
      <w:r>
        <w:rPr>
          <w:rFonts w:ascii="Arial" w:cs="Arial" w:eastAsia="Arial" w:hAnsi="Arial"/>
          <w:b/>
          <w:bCs/>
          <w:color w:val="1A1A1A"/>
          <w:sz w:val="22"/>
          <w:szCs w:val="22"/>
        </w:rPr>
        <w:t xml:space="preserve">Product fit</w:t>
      </w:r>
      <w:r>
        <w:rPr>
          <w:rFonts w:ascii="Arial" w:cs="Arial" w:eastAsia="Arial" w:hAnsi="Arial"/>
          <w:color w:val="1A1A1A"/>
          <w:sz w:val="22"/>
          <w:szCs w:val="22"/>
        </w:rPr>
        <w:t xml:space="preserve"> — both make their own catalogue (bollards, decking, fence posts, garden edging) from mixed/soft plastics; neither is a toll-manufacturer pressing a third party’s structural HDPE bed leg. They are not an obvious drop-in cheaper leg supplier without a custom tooling conversation.</w:t>
      </w:r>
    </w:p>
    <w:p>
      <w:pPr>
        <w:pStyle w:val="ListParagraph"/>
        <w:numPr>
          <w:ilvl w:val="0"/>
          <w:numId w:val="2"/>
        </w:numPr>
        <w:spacing w:after="70" w:line="260"/>
      </w:pPr>
      <w:r>
        <w:rPr>
          <w:rFonts w:ascii="Arial" w:cs="Arial" w:eastAsia="Arial" w:hAnsi="Arial"/>
          <w:b/>
          <w:bCs/>
          <w:color w:val="1A1A1A"/>
          <w:sz w:val="22"/>
          <w:szCs w:val="22"/>
        </w:rPr>
        <w:t xml:space="preserve">Strategic cost</w:t>
      </w:r>
      <w:r>
        <w:rPr>
          <w:rFonts w:ascii="Arial" w:cs="Arial" w:eastAsia="Arial" w:hAnsi="Arial"/>
          <w:color w:val="1A1A1A"/>
          <w:sz w:val="22"/>
          <w:szCs w:val="22"/>
        </w:rPr>
        <w:t xml:space="preserve"> — the whole thesis is on-country production, local jobs, community feedstock and eventual community ownership. Outsourcing legs to a Victorian/NSW factory would recapture margin but forfeit the jobs, the circular story and the impact metrics that unlock the grants and procurement. That is why in-sourcing (not cheaper external supply) is the model’s chosen lever.</w:t>
      </w:r>
    </w:p>
    <w:tbl>
      <w:tblPr>
        <w:tblW w:type="dxa" w:w="9360"/>
        <w:tblBorders>
          <w:top w:val="none"/>
          <w:left w:val="single" w:color="2E6E4E" w:sz="18"/>
          <w:bottom w:val="none"/>
          <w:right w:val="none"/>
          <w:insideH w:val="none"/>
          <w:insideV w:val="none"/>
        </w:tblBorders>
      </w:tblPr>
      <w:tblGrid>
        <w:gridCol w:w="9360"/>
      </w:tblGrid>
      <w:tr>
        <w:tc>
          <w:tcPr>
            <w:tcW w:type="dxa" w:w="9360"/>
            <w:shd w:fill="E7F0EA" w:val="clear"/>
            <w:tcMar>
              <w:top w:type="dxa" w:w="90"/>
              <w:left w:type="dxa" w:w="160"/>
              <w:bottom w:type="dxa" w:w="90"/>
              <w:right w:type="dxa" w:w="140"/>
            </w:tcMar>
          </w:tcPr>
          <w:p>
            <w:pPr>
              <w:spacing w:line="258"/>
            </w:pPr>
            <w:r>
              <w:rPr>
                <w:rFonts w:ascii="Arial" w:cs="Arial" w:eastAsia="Arial" w:hAnsi="Arial"/>
                <w:b/>
                <w:bCs/>
                <w:color w:val="2E6E4E"/>
                <w:sz w:val="20"/>
                <w:szCs w:val="20"/>
              </w:rPr>
              <w:t xml:space="preserve">TASK — approach other producers  </w:t>
            </w:r>
            <w:r>
              <w:rPr>
                <w:rFonts w:ascii="Arial" w:cs="Arial" w:eastAsia="Arial" w:hAnsi="Arial"/>
                <w:color w:val="1A1A1A"/>
                <w:sz w:val="21"/>
                <w:szCs w:val="21"/>
              </w:rPr>
              <w:t xml:space="preserve">Reasonable to pursue for benchmarking and as a bridge option, provided ACT approves. Best framed as (a) a price/feasibility benchmark for pressed HDPE sheet or feedstock, and (b) a possible interim supply while on-country capacity ramps — not as a replacement for the on-country plant. Recommend seeking ACT approval on that basis.</w:t>
            </w:r>
          </w:p>
        </w:tc>
      </w:tr>
    </w:tbl>
    <w:p>
      <w:pPr>
        <w:pStyle w:val="Heading2"/>
        <w:pBdr>
          <w:bottom w:val="single" w:color="CCD3CE" w:sz="4" w:space="4"/>
        </w:pBdr>
        <w:spacing w:after="90" w:before="260"/>
      </w:pPr>
      <w:r>
        <w:rPr>
          <w:rFonts w:ascii="Arial" w:cs="Arial" w:eastAsia="Arial" w:hAnsi="Arial"/>
          <w:b/>
          <w:bCs/>
          <w:color w:val="2E6E4E"/>
          <w:sz w:val="25"/>
          <w:szCs w:val="25"/>
        </w:rPr>
        <w:t xml:space="preserve">Q11.  </w:t>
      </w:r>
      <w:r>
        <w:rPr>
          <w:rFonts w:ascii="Arial" w:cs="Arial" w:eastAsia="Arial" w:hAnsi="Arial"/>
          <w:b/>
          <w:bCs/>
          <w:color w:val="1A1A1A"/>
          <w:sz w:val="25"/>
          <w:szCs w:val="25"/>
        </w:rPr>
        <w:t xml:space="preserve">Can we align to NT circular-economy policy for funding or cost reduction?</w:t>
      </w:r>
    </w:p>
    <w:p>
      <w:pPr>
        <w:spacing w:after="130"/>
      </w:pPr>
      <w:r>
        <w:rPr>
          <w:rFonts w:ascii="Arial" w:cs="Arial" w:eastAsia="Arial" w:hAnsi="Arial"/>
          <w:i/>
          <w:iCs/>
          <w:color w:val="5B6770"/>
          <w:sz w:val="21"/>
          <w:szCs w:val="21"/>
        </w:rPr>
        <w:t xml:space="preserve">The NT Circular Economy Strategy 2022–2027 supports recycling in remote communities (incl. the NT Recycling &amp; Modernisation Fund, which may no longer be active); NT schools run mini plastic-recycling machines. Are there alignment opportunities? Associated task: investigate; check whether ACT has already done so.</w:t>
      </w:r>
    </w:p>
    <w:p>
      <w:pPr>
        <w:spacing w:after="120" w:before="0" w:line="264"/>
      </w:pPr>
      <w:r>
        <w:rPr>
          <w:rFonts w:ascii="Arial" w:cs="Arial" w:eastAsia="Arial" w:hAnsi="Arial"/>
          <w:color w:val="1A1A1A"/>
          <w:sz w:val="22"/>
          <w:szCs w:val="22"/>
        </w:rPr>
        <w:t xml:space="preserve">The alignment is strong and worth pursuing. The </w:t>
      </w:r>
      <w:r>
        <w:rPr>
          <w:rFonts w:ascii="Arial" w:cs="Arial" w:eastAsia="Arial" w:hAnsi="Arial"/>
          <w:b/>
          <w:bCs/>
          <w:color w:val="1A1A1A"/>
          <w:sz w:val="22"/>
          <w:szCs w:val="22"/>
        </w:rPr>
        <w:t xml:space="preserve">NT Circular Economy Strategy 2022–2027</w:t>
      </w:r>
      <w:r>
        <w:rPr>
          <w:rFonts w:ascii="Arial" w:cs="Arial" w:eastAsia="Arial" w:hAnsi="Arial"/>
          <w:color w:val="1A1A1A"/>
          <w:sz w:val="22"/>
          <w:szCs w:val="22"/>
        </w:rPr>
        <w:t xml:space="preserve"> is current and directs ~$11M of NT + Commonwealth investment into recycling infrastructure, including a </w:t>
      </w:r>
      <w:r>
        <w:rPr>
          <w:rFonts w:ascii="Arial" w:cs="Arial" w:eastAsia="Arial" w:hAnsi="Arial"/>
          <w:b/>
          <w:bCs/>
          <w:color w:val="1A1A1A"/>
          <w:sz w:val="22"/>
          <w:szCs w:val="22"/>
        </w:rPr>
        <w:t xml:space="preserve">$3.8M NT Recycling Modernisation Fund</w:t>
      </w:r>
      <w:r>
        <w:rPr>
          <w:rFonts w:ascii="Arial" w:cs="Arial" w:eastAsia="Arial" w:hAnsi="Arial"/>
          <w:color w:val="1A1A1A"/>
          <w:sz w:val="22"/>
          <w:szCs w:val="22"/>
        </w:rPr>
        <w:t xml:space="preserve"> offering grants of $50,000+ on a 50:50 co-contribution basis for exactly the activities Goods does — processing and remanufacturing plastic. It explicitly recognises the difficulty of recycling in small, dispersed remote communities (kerbside collection isn’t viable there), which is precisely the gap the on-country plant fills, and Alice Springs Town Council has already been funded under it.</w:t>
      </w:r>
    </w:p>
    <w:p>
      <w:pPr>
        <w:spacing w:after="120" w:before="0" w:line="264"/>
      </w:pPr>
      <w:r>
        <w:rPr>
          <w:rFonts w:ascii="Arial" w:cs="Arial" w:eastAsia="Arial" w:hAnsi="Arial"/>
          <w:color w:val="1A1A1A"/>
          <w:sz w:val="22"/>
          <w:szCs w:val="22"/>
        </w:rPr>
        <w:t xml:space="preserve">Two practical notes. First, the 50:50 co-contribution structure fits the capital ask well — a modernisation grant could roughly halve the net cost of the plastic-processing kit that drives the Q4 payback, materially shortening it. Second, the advisor is right to flag that specific grant rounds open and close; the strategy runs to 2027 but a live round needs confirming. On the NT schools point — those are typically open-source </w:t>
      </w:r>
      <w:r>
        <w:rPr>
          <w:rFonts w:ascii="Arial" w:cs="Arial" w:eastAsia="Arial" w:hAnsi="Arial"/>
          <w:b/>
          <w:bCs/>
          <w:color w:val="1A1A1A"/>
          <w:sz w:val="22"/>
          <w:szCs w:val="22"/>
        </w:rPr>
        <w:t xml:space="preserve">Precious Plastic</w:t>
      </w:r>
      <w:r>
        <w:rPr>
          <w:rFonts w:ascii="Arial" w:cs="Arial" w:eastAsia="Arial" w:hAnsi="Arial"/>
          <w:color w:val="1A1A1A"/>
          <w:sz w:val="22"/>
          <w:szCs w:val="22"/>
        </w:rPr>
        <w:t xml:space="preserve"> machines (granulator + sheet press), the same class of kit Goods runs; there is a credible partnership/education angle and a shared-equipment story, though no NT-schools link is recorded on our side yet.</w:t>
      </w:r>
    </w:p>
    <w:tbl>
      <w:tblPr>
        <w:tblW w:type="dxa" w:w="9360"/>
        <w:tblBorders>
          <w:top w:val="none"/>
          <w:left w:val="single" w:color="2E6E4E" w:sz="18"/>
          <w:bottom w:val="none"/>
          <w:right w:val="none"/>
          <w:insideH w:val="none"/>
          <w:insideV w:val="none"/>
        </w:tblBorders>
      </w:tblPr>
      <w:tblGrid>
        <w:gridCol w:w="9360"/>
      </w:tblGrid>
      <w:tr>
        <w:tc>
          <w:tcPr>
            <w:tcW w:type="dxa" w:w="9360"/>
            <w:shd w:fill="E7F0EA" w:val="clear"/>
            <w:tcMar>
              <w:top w:type="dxa" w:w="90"/>
              <w:left w:type="dxa" w:w="160"/>
              <w:bottom w:type="dxa" w:w="90"/>
              <w:right w:type="dxa" w:w="140"/>
            </w:tcMar>
          </w:tcPr>
          <w:p>
            <w:pPr>
              <w:spacing w:line="258"/>
            </w:pPr>
            <w:r>
              <w:rPr>
                <w:rFonts w:ascii="Arial" w:cs="Arial" w:eastAsia="Arial" w:hAnsi="Arial"/>
                <w:b/>
                <w:bCs/>
                <w:color w:val="2E6E4E"/>
                <w:sz w:val="20"/>
                <w:szCs w:val="20"/>
              </w:rPr>
              <w:t xml:space="preserve">TASK — investigate NT policy alignment  </w:t>
            </w:r>
            <w:r>
              <w:rPr>
                <w:rFonts w:ascii="Arial" w:cs="Arial" w:eastAsia="Arial" w:hAnsi="Arial"/>
                <w:color w:val="1A1A1A"/>
                <w:sz w:val="21"/>
                <w:szCs w:val="21"/>
              </w:rPr>
              <w:t xml:space="preserve">Endorsed, and we could not confirm from our records whether ACT has already engaged the NT program. Recommended next steps: (1) confirm the current status of the NT Recycling Modernisation Fund round; (2) test the plastic-processing capex against its 50:50 co-contribution rules; (3) check for a single-use-plastic-ban feedstock angle; (4) confirm with ACT whether a prior application exists before re-approaching.</w:t>
            </w:r>
          </w:p>
        </w:tc>
      </w:tr>
    </w:tbl>
    <w:p>
      <w:pPr>
        <w:pStyle w:val="Heading2"/>
        <w:pBdr>
          <w:bottom w:val="single" w:color="CCD3CE" w:sz="4" w:space="4"/>
        </w:pBdr>
        <w:spacing w:after="90" w:before="260"/>
      </w:pPr>
      <w:r>
        <w:rPr>
          <w:rFonts w:ascii="Arial" w:cs="Arial" w:eastAsia="Arial" w:hAnsi="Arial"/>
          <w:b/>
          <w:bCs/>
          <w:color w:val="2E6E4E"/>
          <w:sz w:val="25"/>
          <w:szCs w:val="25"/>
        </w:rPr>
        <w:t xml:space="preserve">Q12.  </w:t>
      </w:r>
      <w:r>
        <w:rPr>
          <w:rFonts w:ascii="Arial" w:cs="Arial" w:eastAsia="Arial" w:hAnsi="Arial"/>
          <w:b/>
          <w:bCs/>
          <w:color w:val="1A1A1A"/>
          <w:sz w:val="25"/>
          <w:szCs w:val="25"/>
        </w:rPr>
        <w:t xml:space="preserve">What is in "Already Invested", and which facility/tooling items does GoC already own?</w:t>
      </w:r>
    </w:p>
    <w:p>
      <w:pPr>
        <w:spacing w:after="130"/>
      </w:pPr>
      <w:r>
        <w:rPr>
          <w:rFonts w:ascii="Arial" w:cs="Arial" w:eastAsia="Arial" w:hAnsi="Arial"/>
          <w:i/>
          <w:iCs/>
          <w:color w:val="5B6770"/>
          <w:sz w:val="21"/>
          <w:szCs w:val="21"/>
        </w:rPr>
        <w:t xml:space="preserve">Cost Model, Section 2 — "Already Invested" (Facility &amp; Tooling to date): what is included, and which container/facility build line items are already owned by GoC?</w:t>
      </w:r>
    </w:p>
    <w:p>
      <w:pPr>
        <w:spacing w:after="120" w:before="0" w:line="264"/>
      </w:pPr>
      <w:r>
        <w:rPr>
          <w:rFonts w:ascii="Arial" w:cs="Arial" w:eastAsia="Arial" w:hAnsi="Arial"/>
          <w:color w:val="1A1A1A"/>
          <w:sz w:val="22"/>
          <w:szCs w:val="22"/>
        </w:rPr>
        <w:t xml:space="preserve">"Already invested" is a single sunk figure of </w:t>
      </w:r>
      <w:r>
        <w:rPr>
          <w:rFonts w:ascii="Arial" w:cs="Arial" w:eastAsia="Arial" w:hAnsi="Arial"/>
          <w:b/>
          <w:bCs/>
          <w:color w:val="1A1A1A"/>
          <w:sz w:val="22"/>
          <w:szCs w:val="22"/>
        </w:rPr>
        <w:t xml:space="preserve">$110,046 (VERIFIED)</w:t>
      </w:r>
      <w:r>
        <w:rPr>
          <w:rFonts w:ascii="Arial" w:cs="Arial" w:eastAsia="Arial" w:hAnsi="Arial"/>
          <w:color w:val="1A1A1A"/>
          <w:sz w:val="22"/>
          <w:szCs w:val="22"/>
        </w:rPr>
        <w:t xml:space="preserve">, made up of two things GoC already owns:</w:t>
      </w:r>
    </w:p>
    <w:p>
      <w:pPr>
        <w:pStyle w:val="ListParagraph"/>
        <w:numPr>
          <w:ilvl w:val="0"/>
          <w:numId w:val="2"/>
        </w:numPr>
        <w:spacing w:after="70" w:line="260"/>
      </w:pPr>
      <w:r>
        <w:rPr>
          <w:rFonts w:ascii="Arial" w:cs="Arial" w:eastAsia="Arial" w:hAnsi="Arial"/>
          <w:b/>
          <w:bCs/>
          <w:color w:val="1A1A1A"/>
          <w:sz w:val="22"/>
          <w:szCs w:val="22"/>
        </w:rPr>
        <w:t xml:space="preserve">Facility build to date — $100,000</w:t>
      </w:r>
      <w:r>
        <w:rPr>
          <w:rFonts w:ascii="Arial" w:cs="Arial" w:eastAsia="Arial" w:hAnsi="Arial"/>
          <w:color w:val="1A1A1A"/>
          <w:sz w:val="22"/>
          <w:szCs w:val="22"/>
        </w:rPr>
        <w:t xml:space="preserve"> (the production facility/container build already paid for).</w:t>
      </w:r>
    </w:p>
    <w:p>
      <w:pPr>
        <w:pStyle w:val="ListParagraph"/>
        <w:numPr>
          <w:ilvl w:val="0"/>
          <w:numId w:val="2"/>
        </w:numPr>
        <w:spacing w:after="70" w:line="260"/>
      </w:pPr>
      <w:r>
        <w:rPr>
          <w:rFonts w:ascii="Arial" w:cs="Arial" w:eastAsia="Arial" w:hAnsi="Arial"/>
          <w:b/>
          <w:bCs/>
          <w:color w:val="1A1A1A"/>
          <w:sz w:val="22"/>
          <w:szCs w:val="22"/>
        </w:rPr>
        <w:t xml:space="preserve">Carbatec tooling — $10,046</w:t>
      </w:r>
      <w:r>
        <w:rPr>
          <w:rFonts w:ascii="Arial" w:cs="Arial" w:eastAsia="Arial" w:hAnsi="Arial"/>
          <w:color w:val="1A1A1A"/>
          <w:sz w:val="22"/>
          <w:szCs w:val="22"/>
        </w:rPr>
        <w:t xml:space="preserve"> (workshop tooling already purchased).</w:t>
      </w:r>
    </w:p>
    <w:p>
      <w:pPr>
        <w:spacing w:after="120" w:before="0" w:line="264"/>
      </w:pPr>
      <w:r>
        <w:rPr>
          <w:rFonts w:ascii="Arial" w:cs="Arial" w:eastAsia="Arial" w:hAnsi="Arial"/>
          <w:color w:val="1A1A1A"/>
          <w:sz w:val="22"/>
          <w:szCs w:val="22"/>
        </w:rPr>
        <w:t xml:space="preserve">This amount sits inside the ~$323,106 total cash already spent, and it is why the capital ask is framed gross vs net. </w:t>
      </w:r>
      <w:r>
        <w:rPr>
          <w:rFonts w:ascii="Arial" w:cs="Arial" w:eastAsia="Arial" w:hAnsi="Arial"/>
          <w:b/>
          <w:bCs/>
          <w:color w:val="1A1A1A"/>
          <w:sz w:val="22"/>
          <w:szCs w:val="22"/>
        </w:rPr>
        <w:t xml:space="preserve">The gross capex to reach the factory state is $112k–$222k; net of the $110,046 already invested, the additional ask is only ~$2k (low) to ~$112k (high).</w:t>
      </w:r>
      <w:r>
        <w:rPr>
          <w:rFonts w:ascii="Arial" w:cs="Arial" w:eastAsia="Arial" w:hAnsi="Arial"/>
          <w:color w:val="1A1A1A"/>
          <w:sz w:val="22"/>
          <w:szCs w:val="22"/>
        </w:rPr>
        <w:t xml:space="preserve"> The remaining build states layer on top: an assembly bench (~$2k), Defy panel tooling (~$38k), the full factory press/CNC (to ~$200k cumulative), and community-scale add-ons (~$230k cumulative). A separate on-country/containerised site is modelled at ~$100k–$150k per site.</w:t>
      </w:r>
    </w:p>
    <w:tbl>
      <w:tblPr>
        <w:tblW w:type="dxa" w:w="9360"/>
        <w:tblBorders>
          <w:top w:val="none"/>
          <w:left w:val="single" w:color="9A6A00" w:sz="18"/>
          <w:bottom w:val="none"/>
          <w:right w:val="none"/>
          <w:insideH w:val="none"/>
          <w:insideV w:val="none"/>
        </w:tblBorders>
      </w:tblPr>
      <w:tblGrid>
        <w:gridCol w:w="9360"/>
      </w:tblGrid>
      <w:tr>
        <w:tc>
          <w:tcPr>
            <w:tcW w:type="dxa" w:w="9360"/>
            <w:shd w:fill="FBF6EC" w:val="clear"/>
            <w:tcMar>
              <w:top w:type="dxa" w:w="90"/>
              <w:left w:type="dxa" w:w="160"/>
              <w:bottom w:type="dxa" w:w="90"/>
              <w:right w:type="dxa" w:w="140"/>
            </w:tcMar>
          </w:tcPr>
          <w:p>
            <w:pPr>
              <w:spacing w:line="258"/>
            </w:pPr>
            <w:r>
              <w:rPr>
                <w:rFonts w:ascii="Arial" w:cs="Arial" w:eastAsia="Arial" w:hAnsi="Arial"/>
                <w:b/>
                <w:bCs/>
                <w:color w:val="9A6A00"/>
                <w:sz w:val="20"/>
                <w:szCs w:val="20"/>
              </w:rPr>
              <w:t xml:space="preserve">ONE CAVEAT TO CLOSE  </w:t>
            </w:r>
            <w:r>
              <w:rPr>
                <w:rFonts w:ascii="Arial" w:cs="Arial" w:eastAsia="Arial" w:hAnsi="Arial"/>
                <w:color w:val="1A1A1A"/>
                <w:sz w:val="21"/>
                <w:szCs w:val="21"/>
              </w:rPr>
              <w:t xml:space="preserve">The split inside the $100k facility figure and the site-capex bands are MODELLED, not yet vendor-quoted. The model’s own close-list flags three vendor quotes as the outstanding item to move facility/site capex from modelled to verified. Worth obtaining before external diligence.</w:t>
            </w:r>
          </w:p>
        </w:tc>
      </w:tr>
    </w:tbl>
    <w:p>
      <w:pPr>
        <w:pStyle w:val="Heading1"/>
        <w:spacing w:after="140" w:before="280"/>
      </w:pPr>
      <w:r>
        <w:rPr>
          <w:rFonts w:ascii="Arial" w:cs="Arial" w:eastAsia="Arial" w:hAnsi="Arial"/>
          <w:b/>
          <w:bCs/>
          <w:color w:val="1A1A1A"/>
          <w:sz w:val="30"/>
          <w:szCs w:val="30"/>
        </w:rPr>
        <w:t xml:space="preserve">What would sharpen the model</w:t>
      </w:r>
    </w:p>
    <w:p>
      <w:pPr>
        <w:spacing w:after="120" w:before="0" w:line="264"/>
      </w:pPr>
      <w:r>
        <w:rPr>
          <w:rFonts w:ascii="Arial" w:cs="Arial" w:eastAsia="Arial" w:hAnsi="Arial"/>
          <w:color w:val="1A1A1A"/>
          <w:sz w:val="22"/>
          <w:szCs w:val="22"/>
        </w:rPr>
        <w:t xml:space="preserve">Pulling the twelve threads together, five moves would most improve the model’s insight and credibility:</w:t>
      </w:r>
    </w:p>
    <w:p>
      <w:pPr>
        <w:pStyle w:val="ListParagraph"/>
        <w:numPr>
          <w:ilvl w:val="0"/>
          <w:numId w:val="2"/>
        </w:numPr>
        <w:spacing w:after="70" w:line="260"/>
      </w:pPr>
      <w:r>
        <w:rPr>
          <w:rFonts w:ascii="Arial" w:cs="Arial" w:eastAsia="Arial" w:hAnsi="Arial"/>
          <w:b/>
          <w:bCs/>
          <w:color w:val="1A1A1A"/>
          <w:sz w:val="22"/>
          <w:szCs w:val="22"/>
        </w:rPr>
        <w:t xml:space="preserve">Build the Production Path diagram (Q1)</w:t>
      </w:r>
      <w:r>
        <w:rPr>
          <w:rFonts w:ascii="Arial" w:cs="Arial" w:eastAsia="Arial" w:hAnsi="Arial"/>
          <w:color w:val="1A1A1A"/>
          <w:sz w:val="22"/>
          <w:szCs w:val="22"/>
        </w:rPr>
        <w:t xml:space="preserve"> — it clarifies the founder-time split and surfaces process-improvement points in one page.</w:t>
      </w:r>
    </w:p>
    <w:p>
      <w:pPr>
        <w:pStyle w:val="ListParagraph"/>
        <w:numPr>
          <w:ilvl w:val="0"/>
          <w:numId w:val="2"/>
        </w:numPr>
        <w:spacing w:after="70" w:line="260"/>
      </w:pPr>
      <w:r>
        <w:rPr>
          <w:rFonts w:ascii="Arial" w:cs="Arial" w:eastAsia="Arial" w:hAnsi="Arial"/>
          <w:b/>
          <w:bCs/>
          <w:color w:val="1A1A1A"/>
          <w:sz w:val="22"/>
          <w:szCs w:val="22"/>
        </w:rPr>
        <w:t xml:space="preserve">Always show payback next to its volume (Q4)</w:t>
      </w:r>
      <w:r>
        <w:rPr>
          <w:rFonts w:ascii="Arial" w:cs="Arial" w:eastAsia="Arial" w:hAnsi="Arial"/>
          <w:color w:val="1A1A1A"/>
          <w:sz w:val="22"/>
          <w:szCs w:val="22"/>
        </w:rPr>
        <w:t xml:space="preserve"> — 7.2 years at 120 beds becomes ~1.7 years at 500; the single number without the volume misleads.</w:t>
      </w:r>
    </w:p>
    <w:p>
      <w:pPr>
        <w:pStyle w:val="ListParagraph"/>
        <w:numPr>
          <w:ilvl w:val="0"/>
          <w:numId w:val="2"/>
        </w:numPr>
        <w:spacing w:after="70" w:line="260"/>
      </w:pPr>
      <w:r>
        <w:rPr>
          <w:rFonts w:ascii="Arial" w:cs="Arial" w:eastAsia="Arial" w:hAnsi="Arial"/>
          <w:b/>
          <w:bCs/>
          <w:color w:val="1A1A1A"/>
          <w:sz w:val="22"/>
          <w:szCs w:val="22"/>
        </w:rPr>
        <w:t xml:space="preserve">Add the missing reserves (Q5, Q9)</w:t>
      </w:r>
      <w:r>
        <w:rPr>
          <w:rFonts w:ascii="Arial" w:cs="Arial" w:eastAsia="Arial" w:hAnsi="Arial"/>
          <w:color w:val="1A1A1A"/>
          <w:sz w:val="22"/>
          <w:szCs w:val="22"/>
        </w:rPr>
        <w:t xml:space="preserve"> — warranty/replacement freight and recycling-equipment maintenance, so lifecycle cost and payback survive diligence.</w:t>
      </w:r>
    </w:p>
    <w:p>
      <w:pPr>
        <w:pStyle w:val="ListParagraph"/>
        <w:numPr>
          <w:ilvl w:val="0"/>
          <w:numId w:val="2"/>
        </w:numPr>
        <w:spacing w:after="70" w:line="260"/>
      </w:pPr>
      <w:r>
        <w:rPr>
          <w:rFonts w:ascii="Arial" w:cs="Arial" w:eastAsia="Arial" w:hAnsi="Arial"/>
          <w:b/>
          <w:bCs/>
          <w:color w:val="1A1A1A"/>
          <w:sz w:val="22"/>
          <w:szCs w:val="22"/>
        </w:rPr>
        <w:t xml:space="preserve">Run the leg down-scaling study (Q8)</w:t>
      </w:r>
      <w:r>
        <w:rPr>
          <w:rFonts w:ascii="Arial" w:cs="Arial" w:eastAsia="Arial" w:hAnsi="Arial"/>
          <w:color w:val="1A1A1A"/>
          <w:sz w:val="22"/>
          <w:szCs w:val="22"/>
        </w:rPr>
        <w:t xml:space="preserve"> — match leg life to the 10+ year product life; weigh cost saved against plastic-diverted narrative.</w:t>
      </w:r>
    </w:p>
    <w:p>
      <w:pPr>
        <w:pStyle w:val="ListParagraph"/>
        <w:numPr>
          <w:ilvl w:val="0"/>
          <w:numId w:val="2"/>
        </w:numPr>
        <w:spacing w:after="70" w:line="260"/>
      </w:pPr>
      <w:r>
        <w:rPr>
          <w:rFonts w:ascii="Arial" w:cs="Arial" w:eastAsia="Arial" w:hAnsi="Arial"/>
          <w:b/>
          <w:bCs/>
          <w:color w:val="1A1A1A"/>
          <w:sz w:val="22"/>
          <w:szCs w:val="22"/>
        </w:rPr>
        <w:t xml:space="preserve">Chase the co-funding and vendor quotes (Q11, Q12)</w:t>
      </w:r>
      <w:r>
        <w:rPr>
          <w:rFonts w:ascii="Arial" w:cs="Arial" w:eastAsia="Arial" w:hAnsi="Arial"/>
          <w:color w:val="1A1A1A"/>
          <w:sz w:val="22"/>
          <w:szCs w:val="22"/>
        </w:rPr>
        <w:t xml:space="preserve"> — a 50:50 NT modernisation grant could halve the kit’s net cost; three vendor quotes close the facility/site capex.</w:t>
      </w:r>
    </w:p>
    <w:p>
      <w:pPr>
        <w:spacing w:after="60"/>
      </w:pPr>
      <w:r>
        <w:rPr>
          <w:rFonts w:ascii="Arial" w:cs="Arial" w:eastAsia="Arial" w:hAnsi="Arial"/>
        </w:rPr>
        <w:t xml:space="preserve"/>
      </w:r>
    </w:p>
    <w:p>
      <w:pPr>
        <w:pBdr>
          <w:bottom w:val="single" w:color="CCD3CE" w:sz="4" w:space="4"/>
        </w:pBdr>
        <w:spacing w:after="60" w:before="120"/>
      </w:pPr>
      <w:r>
        <w:rPr>
          <w:rFonts w:ascii="Arial" w:cs="Arial" w:eastAsia="Arial" w:hAnsi="Arial"/>
          <w:b/>
          <w:bCs/>
          <w:color w:val="1A1A1A"/>
          <w:sz w:val="22"/>
          <w:szCs w:val="22"/>
        </w:rPr>
        <w:t xml:space="preserve">Sources</w:t>
      </w:r>
    </w:p>
    <w:p>
      <w:pPr>
        <w:spacing w:after="30"/>
      </w:pPr>
      <w:r>
        <w:rPr>
          <w:rFonts w:ascii="Arial" w:cs="Arial" w:eastAsia="Arial" w:hAnsi="Arial"/>
          <w:color w:val="5B6770"/>
          <w:sz w:val="18"/>
          <w:szCs w:val="18"/>
        </w:rPr>
        <w:t xml:space="preserve">Internal — Cost model: Goods-Cost-Per-Bed-SIMPLE-v1.xlsx; Goods-Playable-Model-v2.1.xlsx; Goods-3-Statement-Model-v0.3.xlsx; cost-model engine + cost-model-scenarios.json (v6, locked 2026-05-29).</w:t>
      </w:r>
    </w:p>
    <w:p>
      <w:pPr>
        <w:spacing w:after="30"/>
      </w:pPr>
      <w:r>
        <w:rPr>
          <w:rFonts w:ascii="Arial" w:cs="Arial" w:eastAsia="Arial" w:hAnsi="Arial"/>
          <w:color w:val="5B6770"/>
          <w:sz w:val="18"/>
          <w:szCs w:val="18"/>
        </w:rPr>
        <w:t xml:space="preserve">Internal — Product &amp; impact: products.ts (specs, 20kg HDPE, 10+ yr life, 5-yr warranty, X-trestle design); impact-model.ts; wiki cost-register, business-model, market-intelligence, go-to-market, production-facility-guide, supplier-vendor-register.</w:t>
      </w:r>
    </w:p>
    <w:p>
      <w:pPr>
        <w:spacing w:after="30"/>
      </w:pPr>
      <w:r>
        <w:rPr>
          <w:rFonts w:ascii="Arial" w:cs="Arial" w:eastAsia="Arial" w:hAnsi="Arial"/>
          <w:color w:val="5B6770"/>
          <w:sz w:val="18"/>
          <w:szCs w:val="18"/>
        </w:rPr>
        <w:t xml:space="preserve">External — NT Circular Economy Strategy 2022–2027 &amp; Recycling Modernisation Fund (environment.nt.gov.au); Replas (replas.com.au); Plastic Forests (plasticforests.com.au); Precious Plastic (preciousplastic.com).</w:t>
      </w:r>
    </w:p>
    <w:p>
      <w:pPr>
        <w:spacing w:before="80"/>
      </w:pPr>
      <w:r>
        <w:rPr>
          <w:rFonts w:ascii="Arial" w:cs="Arial" w:eastAsia="Arial" w:hAnsi="Arial"/>
          <w:i/>
          <w:iCs/>
          <w:color w:val="5B6770"/>
          <w:sz w:val="17"/>
          <w:szCs w:val="17"/>
        </w:rPr>
        <w:t xml:space="preserve">Figures tagged VERIFIED trace to invoices, supplier quotes or the live Xero mirror; MODELLED figures are forecasts/allocations from the locked cost model and should be cited as such.</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6"/>
        <w:szCs w:val="16"/>
      </w:rPr>
      <w:t xml:space="preserve">Goods on Country · Costing Model Advisory · 6 July 2026     </w:t>
    </w:r>
    <w:r>
      <w:rPr>
        <w:rFonts w:ascii="Arial" w:cs="Arial" w:eastAsia="Arial" w:hAnsi="Arial"/>
        <w:color w:val="5B677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6E4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1A"/>
      <w:sz w:val="30"/>
      <w:szCs w:val="30"/>
    </w:rPr>
  </w:style>
  <w:style w:type="paragraph" w:styleId="Heading2">
    <w:name w:val="Heading 2"/>
    <w:basedOn w:val="Normal"/>
    <w:next w:val="Normal"/>
    <w:qFormat/>
    <w:pPr>
      <w:spacing w:after="9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GOC Costing Model — Answers to Model Questions</dc:title>
  <dc:creator>Goods on Country</dc:creator>
  <cp:lastModifiedBy>Un-named</cp:lastModifiedBy>
  <cp:revision>1</cp:revision>
  <dcterms:created xsi:type="dcterms:W3CDTF">2026-07-06T02:22:03.520Z</dcterms:created>
  <dcterms:modified xsi:type="dcterms:W3CDTF">2026-07-06T02:22:03.520Z</dcterms:modified>
</cp:coreProperties>
</file>

<file path=docProps/custom.xml><?xml version="1.0" encoding="utf-8"?>
<Properties xmlns="http://schemas.openxmlformats.org/officeDocument/2006/custom-properties" xmlns:vt="http://schemas.openxmlformats.org/officeDocument/2006/docPropsVTypes"/>
</file>