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EBC2" w14:textId="77777777" w:rsidR="000717A4" w:rsidRDefault="000717A4">
      <w:pPr>
        <w:spacing w:before="1600"/>
      </w:pPr>
    </w:p>
    <w:p w14:paraId="460A4073" w14:textId="77777777" w:rsidR="000717A4" w:rsidRDefault="00000000">
      <w:pPr>
        <w:spacing w:after="40"/>
      </w:pPr>
      <w:r>
        <w:rPr>
          <w:b/>
          <w:bCs/>
          <w:color w:val="0F6E56"/>
          <w:spacing w:val="60"/>
          <w:sz w:val="22"/>
          <w:szCs w:val="22"/>
        </w:rPr>
        <w:t>PROPOSAL</w:t>
      </w:r>
    </w:p>
    <w:p w14:paraId="125766DA" w14:textId="77777777" w:rsidR="000717A4" w:rsidRDefault="00000000">
      <w:pPr>
        <w:spacing w:after="60"/>
      </w:pPr>
      <w:r>
        <w:rPr>
          <w:b/>
          <w:bCs/>
          <w:color w:val="0C447C"/>
          <w:sz w:val="60"/>
          <w:szCs w:val="60"/>
        </w:rPr>
        <w:t>Udyam Sehat Card</w:t>
      </w:r>
    </w:p>
    <w:p w14:paraId="3E118253" w14:textId="77777777" w:rsidR="000717A4" w:rsidRDefault="00000000">
      <w:pPr>
        <w:spacing w:after="200"/>
      </w:pPr>
      <w:r>
        <w:rPr>
          <w:sz w:val="26"/>
          <w:szCs w:val="26"/>
        </w:rPr>
        <w:t>An AI/ML-driven MSME Financial Health Card for inclusive, near real-time credit decisioning</w:t>
      </w:r>
    </w:p>
    <w:p w14:paraId="40C18EC8" w14:textId="77777777" w:rsidR="000717A4" w:rsidRDefault="00000000">
      <w:pPr>
        <w:pBdr>
          <w:top w:val="single" w:sz="12" w:space="8" w:color="0F6E56"/>
          <w:bottom w:val="single" w:sz="12" w:space="8" w:color="0F6E56"/>
        </w:pBdr>
        <w:spacing w:after="320"/>
      </w:pPr>
      <w:r>
        <w:rPr>
          <w:b/>
          <w:bCs/>
          <w:i/>
          <w:iCs/>
          <w:color w:val="0F6E56"/>
          <w:sz w:val="26"/>
          <w:szCs w:val="26"/>
        </w:rPr>
        <w:t>From balance-sheet blindness to cash-flow clarity.</w:t>
      </w:r>
    </w:p>
    <w:p w14:paraId="5C8F6652" w14:textId="77777777" w:rsidR="000717A4" w:rsidRDefault="00000000">
      <w:pPr>
        <w:spacing w:after="60" w:line="276" w:lineRule="auto"/>
      </w:pPr>
      <w:r>
        <w:rPr>
          <w:b/>
          <w:bCs/>
        </w:rPr>
        <w:t xml:space="preserve">Prepared for: </w:t>
      </w:r>
      <w:r>
        <w:t>IDBI Bank Hackathon</w:t>
      </w:r>
    </w:p>
    <w:p w14:paraId="04554590" w14:textId="77777777" w:rsidR="000717A4" w:rsidRDefault="00000000">
      <w:pPr>
        <w:spacing w:after="60" w:line="276" w:lineRule="auto"/>
      </w:pPr>
      <w:r>
        <w:rPr>
          <w:b/>
          <w:bCs/>
        </w:rPr>
        <w:t xml:space="preserve">Theme: </w:t>
      </w:r>
      <w:r>
        <w:t>Financial Inclusion · Digital Lending · Credit Decisioning</w:t>
      </w:r>
    </w:p>
    <w:p w14:paraId="565A5CC2" w14:textId="77777777" w:rsidR="000717A4" w:rsidRDefault="00000000">
      <w:pPr>
        <w:spacing w:after="60" w:line="276" w:lineRule="auto"/>
      </w:pPr>
      <w:r>
        <w:rPr>
          <w:b/>
          <w:bCs/>
        </w:rPr>
        <w:t xml:space="preserve">Focus: </w:t>
      </w:r>
      <w:r>
        <w:t>Onboarding credit-invisible New-to-Credit (NTC) and New-to-Bank (NTB) MSMEs using alternate data, while improving portfolio quality</w:t>
      </w:r>
    </w:p>
    <w:p w14:paraId="63A56833" w14:textId="77777777" w:rsidR="000717A4" w:rsidRDefault="00000000">
      <w:r>
        <w:br w:type="page"/>
      </w:r>
    </w:p>
    <w:p w14:paraId="5B9B51AE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lastRenderedPageBreak/>
        <w:t>Contents</w:t>
      </w:r>
    </w:p>
    <w:p w14:paraId="7099624A" w14:textId="77777777" w:rsidR="000717A4" w:rsidRDefault="00000000">
      <w:pPr>
        <w:spacing w:after="60"/>
      </w:pPr>
      <w:r>
        <w:t>1.  Executive summary</w:t>
      </w:r>
    </w:p>
    <w:p w14:paraId="475CA82B" w14:textId="77777777" w:rsidR="000717A4" w:rsidRDefault="00000000">
      <w:pPr>
        <w:spacing w:after="60"/>
      </w:pPr>
      <w:r>
        <w:t>2.  The problem and the opportunity</w:t>
      </w:r>
    </w:p>
    <w:p w14:paraId="48AC5A0E" w14:textId="77777777" w:rsidR="000717A4" w:rsidRDefault="00000000">
      <w:pPr>
        <w:spacing w:after="60"/>
      </w:pPr>
      <w:r>
        <w:t>3.  Solution overview and architecture</w:t>
      </w:r>
    </w:p>
    <w:p w14:paraId="17079C29" w14:textId="77777777" w:rsidR="000717A4" w:rsidRDefault="00000000">
      <w:pPr>
        <w:spacing w:after="60"/>
      </w:pPr>
      <w:r>
        <w:t>4.  Ecosystem integration and data sources</w:t>
      </w:r>
    </w:p>
    <w:p w14:paraId="19FE98E7" w14:textId="77777777" w:rsidR="000717A4" w:rsidRDefault="00000000">
      <w:pPr>
        <w:spacing w:after="60"/>
      </w:pPr>
      <w:r>
        <w:t>5.  The multidimensional financial health score</w:t>
      </w:r>
    </w:p>
    <w:p w14:paraId="573C9EBF" w14:textId="77777777" w:rsidR="000717A4" w:rsidRDefault="00000000">
      <w:pPr>
        <w:spacing w:after="60"/>
      </w:pPr>
      <w:r>
        <w:t>6.  The Financial Health Card</w:t>
      </w:r>
    </w:p>
    <w:p w14:paraId="4BA2F481" w14:textId="77777777" w:rsidR="000717A4" w:rsidRDefault="00000000">
      <w:pPr>
        <w:spacing w:after="60"/>
      </w:pPr>
      <w:r>
        <w:t xml:space="preserve">7.  </w:t>
      </w:r>
      <w:proofErr w:type="spellStart"/>
      <w:r>
        <w:t>Modeling</w:t>
      </w:r>
      <w:proofErr w:type="spellEnd"/>
      <w:r>
        <w:t>, explainability and decisioning</w:t>
      </w:r>
    </w:p>
    <w:p w14:paraId="458AE103" w14:textId="77777777" w:rsidR="000717A4" w:rsidRDefault="00000000">
      <w:pPr>
        <w:spacing w:after="60"/>
      </w:pPr>
      <w:r>
        <w:t>8.  Fraud prevention, early warning and portfolio quality</w:t>
      </w:r>
    </w:p>
    <w:p w14:paraId="7BE71C5C" w14:textId="77777777" w:rsidR="000717A4" w:rsidRDefault="00000000">
      <w:pPr>
        <w:spacing w:after="60"/>
      </w:pPr>
      <w:r>
        <w:t>9.  Why this wins — differentiating capabilities</w:t>
      </w:r>
    </w:p>
    <w:p w14:paraId="6C37E151" w14:textId="77777777" w:rsidR="000717A4" w:rsidRDefault="00000000">
      <w:pPr>
        <w:spacing w:after="60"/>
      </w:pPr>
      <w:r>
        <w:t>10. Technology stack</w:t>
      </w:r>
    </w:p>
    <w:p w14:paraId="36CBCFD8" w14:textId="77777777" w:rsidR="000717A4" w:rsidRDefault="00000000">
      <w:pPr>
        <w:spacing w:after="60"/>
      </w:pPr>
      <w:r>
        <w:t>11. Hackathon build scope and demo plan</w:t>
      </w:r>
    </w:p>
    <w:p w14:paraId="43F16F34" w14:textId="77777777" w:rsidR="000717A4" w:rsidRDefault="00000000">
      <w:pPr>
        <w:spacing w:after="60"/>
      </w:pPr>
      <w:r>
        <w:t>12. Impact and business case</w:t>
      </w:r>
    </w:p>
    <w:p w14:paraId="204400A6" w14:textId="77777777" w:rsidR="000717A4" w:rsidRDefault="00000000">
      <w:pPr>
        <w:spacing w:after="60"/>
      </w:pPr>
      <w:r>
        <w:t>13. Delivery roadmap</w:t>
      </w:r>
    </w:p>
    <w:p w14:paraId="6BD9A337" w14:textId="77777777" w:rsidR="000717A4" w:rsidRDefault="00000000">
      <w:pPr>
        <w:spacing w:after="60"/>
      </w:pPr>
      <w:r>
        <w:t>14. Compliance, consent and governance</w:t>
      </w:r>
    </w:p>
    <w:p w14:paraId="175756B1" w14:textId="77777777" w:rsidR="000717A4" w:rsidRDefault="00000000">
      <w:r>
        <w:br w:type="page"/>
      </w:r>
    </w:p>
    <w:p w14:paraId="0CA57263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lastRenderedPageBreak/>
        <w:t>1.  Executive summary</w:t>
      </w:r>
    </w:p>
    <w:p w14:paraId="4221E847" w14:textId="77777777" w:rsidR="000717A4" w:rsidRDefault="00000000">
      <w:pPr>
        <w:spacing w:after="120" w:line="276" w:lineRule="auto"/>
      </w:pPr>
      <w:r>
        <w:t>IDBI Bank's MSME credit evaluation depends on traditional financial documents that most New-to-Credit and New-to-Bank enterprises simply do not have. The result is high rejection rates, viable borrowers missed, a concentrated portfolio, and slow progress on financial inclusion — even though these same enterprises generate rich alternate data every day through GST, UPI, bank flows, EPFO and their online presence.</w:t>
      </w:r>
    </w:p>
    <w:p w14:paraId="29D8BAFE" w14:textId="77777777" w:rsidR="000717A4" w:rsidRDefault="00000000">
      <w:pPr>
        <w:spacing w:after="120" w:line="276" w:lineRule="auto"/>
      </w:pPr>
      <w:r>
        <w:t>We propose the Udyam Sehat Card: an AI/ML platform that aggregates alternate data through the ULI, OCEN and Account Aggregator ecosystems, computes a transparent, multidimensional financial health score, and returns a near real-time credit decision with a full sanction package. It shifts underwriting from "what do you own?" to "how does money actually flow through your business?" — the exact paradigm RBI is building the national credit rails around.</w:t>
      </w:r>
    </w:p>
    <w:p w14:paraId="7A8A7BE2" w14:textId="77777777" w:rsidR="000717A4" w:rsidRDefault="00000000">
      <w:pPr>
        <w:spacing w:after="120" w:line="276" w:lineRule="auto"/>
      </w:pPr>
      <w:r>
        <w:t>The platform combines three intelligence streams — financial, graph and agentic open-web — into one score and one decision. Graph intelligence lets us underwrite a thin-file MSME on the strength of its verified business network while detecting shell entities, circular trading and default contagion; agentic KYB confirms that digital-first enterprises genuinely operate. Together they expand the funnel of bankable MSMEs while protecting, not degrading, portfolio quality.</w:t>
      </w:r>
    </w:p>
    <w:p w14:paraId="2DBF9699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2.  The problem and the opportunity</w:t>
      </w:r>
    </w:p>
    <w:p w14:paraId="2A012B0C" w14:textId="77777777" w:rsidR="000717A4" w:rsidRDefault="00000000">
      <w:pPr>
        <w:spacing w:after="120" w:line="276" w:lineRule="auto"/>
      </w:pPr>
      <w:r>
        <w:t xml:space="preserve">India's MSME sector contributes close to a third of GDP, yet only about a fifth of micro and small enterprises access formal credit, leaving a credit gap estimated in the tens of lakhs of crores. The barrier is not always risk — it is invisibility. A first-time manufacturer or a growing </w:t>
      </w:r>
      <w:proofErr w:type="spellStart"/>
      <w:r>
        <w:t>kirana</w:t>
      </w:r>
      <w:proofErr w:type="spellEnd"/>
      <w:r>
        <w:t xml:space="preserve"> store cannot produce audited balance sheets, so a document-first process rejects them regardless of how healthy their cash flows are.</w:t>
      </w:r>
    </w:p>
    <w:p w14:paraId="09DD3F6F" w14:textId="77777777" w:rsidR="000717A4" w:rsidRDefault="00000000">
      <w:pPr>
        <w:spacing w:after="120" w:line="276" w:lineRule="auto"/>
      </w:pPr>
      <w:r>
        <w:t>The opportunity is that this invisibility is ending. Consent-based rails now expose the data that reveals a business's true health:</w:t>
      </w:r>
    </w:p>
    <w:p w14:paraId="07D73129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GST — </w:t>
      </w:r>
      <w:r>
        <w:t>turnover, invoice velocity, filing discipline, buyer and supplier structure.</w:t>
      </w:r>
    </w:p>
    <w:p w14:paraId="6585AF55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UPI and bank data via Account Aggregator — </w:t>
      </w:r>
      <w:r>
        <w:t>the actual rhythm of money in and out of the business.</w:t>
      </w:r>
    </w:p>
    <w:p w14:paraId="54A44DFB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MCA, EPFO and ITR — </w:t>
      </w:r>
      <w:r>
        <w:t>corporate identity, payroll stability and declared income, proxies for real, durable operations.</w:t>
      </w:r>
    </w:p>
    <w:p w14:paraId="3E508AEC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The open web — </w:t>
      </w:r>
      <w:r>
        <w:t>for digital-first businesses, a live, verifiable footprint of genuine activity.</w:t>
      </w:r>
    </w:p>
    <w:p w14:paraId="32EE596D" w14:textId="77777777" w:rsidR="000717A4" w:rsidRDefault="00000000">
      <w:pPr>
        <w:spacing w:after="120" w:line="276" w:lineRule="auto"/>
      </w:pPr>
      <w:r>
        <w:t>What is missing is a unified assessment framework that turns this scattered data into a single, explainable, bankable decision. That framework is what we build.</w:t>
      </w:r>
    </w:p>
    <w:p w14:paraId="7CE96E54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3.  Solution overview and architecture</w:t>
      </w:r>
    </w:p>
    <w:p w14:paraId="223A9483" w14:textId="77777777" w:rsidR="000717A4" w:rsidRDefault="00000000">
      <w:pPr>
        <w:spacing w:after="120" w:line="276" w:lineRule="auto"/>
      </w:pPr>
      <w:r>
        <w:t>Udyam Sehat Card is a layered platform. Data flows down from the point of origination, through consent and ingestion, into an intelligence engine, to a decisioning layer, and out as a Financial Health Card — all on a compliance foundation of consent audit trails, data localisation and model governance.</w:t>
      </w:r>
    </w:p>
    <w:p w14:paraId="3C603324" w14:textId="77777777" w:rsidR="000717A4" w:rsidRDefault="00000000">
      <w:pPr>
        <w:pStyle w:val="Heading3"/>
        <w:spacing w:before="160" w:after="60"/>
      </w:pPr>
      <w:r>
        <w:rPr>
          <w:b/>
          <w:bCs/>
          <w:color w:val="3C3489"/>
          <w:sz w:val="22"/>
          <w:szCs w:val="22"/>
        </w:rPr>
        <w:t>The five layers</w:t>
      </w:r>
    </w:p>
    <w:p w14:paraId="5196C5D7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lastRenderedPageBreak/>
        <w:t xml:space="preserve">1. Origination channels — </w:t>
      </w:r>
      <w:r>
        <w:t>branch/RM-assisted journeys, a ULI-connected self-serve app, embedded credit through OCEN Loan Service Providers, and a vernacular WhatsApp/voice assistant for low-digital-literacy owners.</w:t>
      </w:r>
    </w:p>
    <w:p w14:paraId="2030BA2D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2. Consent and data ingestion — </w:t>
      </w:r>
      <w:r>
        <w:t>consent-driven pull of bank/UPI data via Account Aggregator, plus GST, ULI, MCA and EPFO.</w:t>
      </w:r>
    </w:p>
    <w:p w14:paraId="08630780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3. Intelligence engine — </w:t>
      </w:r>
      <w:r>
        <w:t>three complementary streams — financial, graph and agentic — combining into one score.</w:t>
      </w:r>
    </w:p>
    <w:p w14:paraId="5A2360FC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4. Decisioning — </w:t>
      </w:r>
      <w:r>
        <w:t>explainable AI with reason codes, a rules-plus-ML engine that outputs limit, price and product, and a human-in-the-loop path with an auto-generated underwriting memo.</w:t>
      </w:r>
    </w:p>
    <w:p w14:paraId="1A4C9930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5. Output and monitoring — </w:t>
      </w:r>
      <w:r>
        <w:t>the dual-view Health Card, integration into LOS/LMS/CBS, and continuous portfolio monitoring with early-warning alerts.</w:t>
      </w:r>
    </w:p>
    <w:p w14:paraId="079D80A9" w14:textId="77777777" w:rsidR="000717A4" w:rsidRDefault="00000000">
      <w:pPr>
        <w:pStyle w:val="Heading3"/>
        <w:spacing w:before="160" w:after="60"/>
      </w:pPr>
      <w:r>
        <w:rPr>
          <w:b/>
          <w:bCs/>
          <w:color w:val="3C3489"/>
          <w:sz w:val="22"/>
          <w:szCs w:val="22"/>
        </w:rPr>
        <w:t>Inside the intelligence engine</w:t>
      </w:r>
    </w:p>
    <w:p w14:paraId="405D8C0A" w14:textId="77777777" w:rsidR="000717A4" w:rsidRDefault="00000000">
      <w:pPr>
        <w:spacing w:after="120" w:line="276" w:lineRule="auto"/>
      </w:pPr>
      <w:r>
        <w:t>Three complementary intelligence streams combine into a single score and decision:</w:t>
      </w:r>
    </w:p>
    <w:p w14:paraId="5FD241C2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Financial intelligence — </w:t>
      </w:r>
      <w:r>
        <w:t>structured financial signals from GST, Account Aggregator (bank and UPI), credit bureau, ULI, ITR and EPFO — the core view of turnover, cash-flow rhythm, repayment conduct and payroll stability.</w:t>
      </w:r>
    </w:p>
    <w:p w14:paraId="20319F6C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Graph intelligence — </w:t>
      </w:r>
      <w:r>
        <w:t>a dynamic entity and buyer-supplier graph enabling network-based underwriting: linkage detection, anchor-trust propagation, contagion risk, and ghost/shell-entity detection, so a thin-file firm can be assessed on the strength of its verified connections.</w:t>
      </w:r>
    </w:p>
    <w:p w14:paraId="2ABDB3F3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Agentic KYB (digital footprint) — </w:t>
      </w:r>
      <w:r>
        <w:t>an autonomous AI agent that reads the open web — website and catalogue, social and LinkedIn presence, reviews and ratings, line-of-business match and restricted-activity screening — to confirm a digital-first business genuinely operates.</w:t>
      </w:r>
    </w:p>
    <w:p w14:paraId="4AAD3037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4.  Ecosystem integration and data sources</w:t>
      </w:r>
    </w:p>
    <w:p w14:paraId="711F9DFF" w14:textId="77777777" w:rsidR="000717A4" w:rsidRDefault="00000000">
      <w:pPr>
        <w:spacing w:after="120" w:line="276" w:lineRule="auto"/>
      </w:pPr>
      <w:r>
        <w:t>The platform is built entirely on India's consent-based digital public infrastructure, drawing every signal through regulated, permissioned rails:</w:t>
      </w:r>
    </w:p>
    <w:p w14:paraId="64FD2EAE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ULI / OCEN — </w:t>
      </w:r>
      <w:r>
        <w:t>ULI's single consent-based interface returns GST, bureau, KYC and land-record data over standardised schemas with sub-second responses; the score is exposed as an OCEN-compatible service so any Loan Service Provider can embed IDBI credit at the point of need. ULI fetches, we decide.</w:t>
      </w:r>
    </w:p>
    <w:p w14:paraId="5FF4AA64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Account Aggregator — bank and UPI data — </w:t>
      </w:r>
      <w:r>
        <w:t>consent-driven pull of transaction data, the backbone of cash-flow underwriting.</w:t>
      </w:r>
    </w:p>
    <w:p w14:paraId="4839AEB8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GST data — </w:t>
      </w:r>
      <w:r>
        <w:t>turnover, e-invoice-level detail, filing history, and the buyer-supplier structure that seeds the graph.</w:t>
      </w:r>
    </w:p>
    <w:p w14:paraId="67F0B45D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MCA data — </w:t>
      </w:r>
      <w:r>
        <w:t>company registration, directors (DIN), charges and related entities, powering identity linkage and the entity graph.</w:t>
      </w:r>
    </w:p>
    <w:p w14:paraId="184446BA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EPFO data — </w:t>
      </w:r>
      <w:r>
        <w:t>payroll contributions and headcount — a proxy for real, durable operations and a cross-check on claimed size.</w:t>
      </w:r>
    </w:p>
    <w:p w14:paraId="0E5A197A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5.  The multidimensional financial health score</w:t>
      </w:r>
    </w:p>
    <w:p w14:paraId="319010DF" w14:textId="77777777" w:rsidR="000717A4" w:rsidRDefault="00000000">
      <w:pPr>
        <w:spacing w:after="120" w:line="276" w:lineRule="auto"/>
      </w:pPr>
      <w:r>
        <w:lastRenderedPageBreak/>
        <w:t>Rather than one opaque number, the score is built from six independently explainable pillars, each scored 0–100 and rolled up into a familiar 300–900 composite calibrated to a probability of default. The pillars draw on all three intelligence streams, so graph and open-web signals sit alongside financial ones.</w:t>
      </w:r>
    </w:p>
    <w:tbl>
      <w:tblPr>
        <w:tblW w:w="9026" w:type="dxa"/>
        <w:tblBorders>
          <w:top w:val="single" w:sz="2" w:space="0" w:color="C9D4E0"/>
          <w:left w:val="single" w:sz="2" w:space="0" w:color="C9D4E0"/>
          <w:bottom w:val="single" w:sz="2" w:space="0" w:color="C9D4E0"/>
          <w:right w:val="single" w:sz="2" w:space="0" w:color="C9D4E0"/>
          <w:insideH w:val="single" w:sz="2" w:space="0" w:color="DCE3EC"/>
          <w:insideV w:val="single" w:sz="2" w:space="0" w:color="DCE3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0717A4" w14:paraId="33D4F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413A6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4326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2C2F1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2500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D3FCA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Intelligence source</w:t>
            </w:r>
          </w:p>
        </w:tc>
      </w:tr>
      <w:tr w:rsidR="000717A4" w14:paraId="4B1A5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F94C6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Revenue vitality</w:t>
            </w:r>
          </w:p>
        </w:tc>
        <w:tc>
          <w:tcPr>
            <w:tcW w:w="43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B2C52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Turnover trend and growth, invoice velocity, seasonality, buyer concentration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02F10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Financial (GST)</w:t>
            </w:r>
          </w:p>
        </w:tc>
      </w:tr>
      <w:tr w:rsidR="000717A4" w14:paraId="106B4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F74C3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Cash-flow health</w:t>
            </w:r>
          </w:p>
        </w:tc>
        <w:tc>
          <w:tcPr>
            <w:tcW w:w="43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F2B83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Inflow/outflow rhythm, end-of-day balances, liquidity buffer, bounce rate, volatility</w:t>
            </w:r>
          </w:p>
        </w:tc>
        <w:tc>
          <w:tcPr>
            <w:tcW w:w="2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53627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Financial (AA)</w:t>
            </w:r>
          </w:p>
        </w:tc>
      </w:tr>
      <w:tr w:rsidR="000717A4" w14:paraId="527EE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08EC8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Credit discipline</w:t>
            </w:r>
          </w:p>
        </w:tc>
        <w:tc>
          <w:tcPr>
            <w:tcW w:w="43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29AC5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Existing-loan conduct and repayment proxies (utility, rent, BNPL) where bureau data is thin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86B07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Financial (Bureau, ULI)</w:t>
            </w:r>
          </w:p>
        </w:tc>
      </w:tr>
      <w:tr w:rsidR="000717A4" w14:paraId="12A51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FB622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Compliance &amp; stability</w:t>
            </w:r>
          </w:p>
        </w:tc>
        <w:tc>
          <w:tcPr>
            <w:tcW w:w="43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B37FB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GST filing timeliness, ITR consistency, EPFO payroll stability, business vintage, MCA status</w:t>
            </w:r>
          </w:p>
        </w:tc>
        <w:tc>
          <w:tcPr>
            <w:tcW w:w="2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F54CD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Financial (GST, ITR, EPFO, MCA)</w:t>
            </w:r>
          </w:p>
        </w:tc>
      </w:tr>
      <w:tr w:rsidR="000717A4" w14:paraId="041EF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83039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Network &amp; ecosystem strength</w:t>
            </w:r>
          </w:p>
        </w:tc>
        <w:tc>
          <w:tcPr>
            <w:tcW w:w="43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EF6A3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Buyer-supplier diversification, anchor-trust links, network position, contagion exposure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8B5AF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Graph intelligence</w:t>
            </w:r>
          </w:p>
        </w:tc>
      </w:tr>
      <w:tr w:rsidR="000717A4" w14:paraId="5CA23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E2E8A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Digital footprint &amp; legitimacy</w:t>
            </w:r>
          </w:p>
        </w:tc>
        <w:tc>
          <w:tcPr>
            <w:tcW w:w="43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C3BA6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Verified online activity, reviews and ratings, line-of-business match, restricted-activity clearance</w:t>
            </w:r>
          </w:p>
        </w:tc>
        <w:tc>
          <w:tcPr>
            <w:tcW w:w="2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92F23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Agentic KYB (open web)</w:t>
            </w:r>
          </w:p>
        </w:tc>
      </w:tr>
    </w:tbl>
    <w:p w14:paraId="5642432D" w14:textId="77777777" w:rsidR="000717A4" w:rsidRDefault="00000000">
      <w:pPr>
        <w:spacing w:after="120" w:line="276" w:lineRule="auto"/>
      </w:pPr>
      <w:r>
        <w:t>This is how the credit-invisible become bankable: a firm with a thin financial file can still score on network strength (pillar 5) and verified digital legitimacy (pillar 6). Two design choices keep the score safe to deploy:</w:t>
      </w:r>
    </w:p>
    <w:p w14:paraId="4718018B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Data-sufficiency score — </w:t>
      </w:r>
      <w:r>
        <w:t>the card states how confident it is given how much data was available, so the model degrades gracefully for the thinnest files instead of pretending to certainty.</w:t>
      </w:r>
    </w:p>
    <w:p w14:paraId="7F00166C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Peer benchmarking — </w:t>
      </w:r>
      <w:r>
        <w:t xml:space="preserve">every pillar is shown against a sector-and-size cohort ("cash-flow stability in the top 30% of </w:t>
      </w:r>
      <w:proofErr w:type="spellStart"/>
      <w:r>
        <w:t>kirana</w:t>
      </w:r>
      <w:proofErr w:type="spellEnd"/>
      <w:r>
        <w:t xml:space="preserve"> stores in your district"), turning a number into a narrative a credit officer can trust.</w:t>
      </w:r>
    </w:p>
    <w:p w14:paraId="416920C6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6.  The Financial Health Card</w:t>
      </w:r>
    </w:p>
    <w:p w14:paraId="791B2936" w14:textId="77777777" w:rsidR="000717A4" w:rsidRDefault="00000000">
      <w:pPr>
        <w:spacing w:after="120" w:line="276" w:lineRule="auto"/>
      </w:pPr>
      <w:r>
        <w:t>The engine drives two synchronised views:</w:t>
      </w:r>
    </w:p>
    <w:p w14:paraId="2209024B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Lender view — </w:t>
      </w:r>
      <w:r>
        <w:t>composite score, six pillar gauges, red/amber/green strength-and-risk flags, and a recommended decision package: sanction limit, product (term loan, overdraft, invoice financing or GST-linked working capital), tenor, risk-based price, and an auto-generated underwriting memo with cited evidence, including the graph and agentic-KYB findings.</w:t>
      </w:r>
    </w:p>
    <w:p w14:paraId="4EA9AC85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Borrower view — </w:t>
      </w:r>
      <w:r>
        <w:t>the same health in plain, vernacular language with the top three actions that would raise the score. This is the financial-literacy dimension the problem statement asks for, and it is where the platform earns trust with the credit-invisible.</w:t>
      </w:r>
    </w:p>
    <w:p w14:paraId="5E4C49C6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 xml:space="preserve">7.  </w:t>
      </w:r>
      <w:proofErr w:type="spellStart"/>
      <w:r>
        <w:rPr>
          <w:b/>
          <w:bCs/>
          <w:color w:val="0C447C"/>
          <w:sz w:val="30"/>
          <w:szCs w:val="30"/>
        </w:rPr>
        <w:t>Modeling</w:t>
      </w:r>
      <w:proofErr w:type="spellEnd"/>
      <w:r>
        <w:rPr>
          <w:b/>
          <w:bCs/>
          <w:color w:val="0C447C"/>
          <w:sz w:val="30"/>
          <w:szCs w:val="30"/>
        </w:rPr>
        <w:t>, explainability and decisioning</w:t>
      </w:r>
    </w:p>
    <w:p w14:paraId="2FB71A81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Primary scorer — </w:t>
      </w:r>
      <w:r>
        <w:t>gradient-boosted trees on engineered features, with monotonicity constraints so that a genuinely positive signal (e.g. more on-time GST filings) can never lower a score — a property regulators expect.</w:t>
      </w:r>
    </w:p>
    <w:p w14:paraId="1E809E15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lastRenderedPageBreak/>
        <w:t xml:space="preserve">Explainability — </w:t>
      </w:r>
      <w:r>
        <w:t>SHAP values translated into plain-language reason codes for every decision, including adverse-action reasons for declines. In regulated lending, a model that cannot be explained cannot be deployed; explainability is built in, not bolted on.</w:t>
      </w:r>
    </w:p>
    <w:p w14:paraId="473D4F97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Graph and agent features — </w:t>
      </w:r>
      <w:r>
        <w:t>network embeddings, anchor-trust scores and the agentic external-insights dossier enter the same scoring and decisioning pipeline as first-class features.</w:t>
      </w:r>
    </w:p>
    <w:p w14:paraId="16232408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Calibration and confidence — </w:t>
      </w:r>
      <w:r>
        <w:t>the model outputs a calibrated probability of default plus a confidence band gated by the data-sufficiency score.</w:t>
      </w:r>
    </w:p>
    <w:p w14:paraId="5D2A0804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Straight-through processing with human-in-the-loop — </w:t>
      </w:r>
      <w:r>
        <w:t>clean cases are auto-decisioned in seconds; ambiguous cases route to an analyst with the AI's underwriting memo already written, augmenting credit officers rather than replacing them.</w:t>
      </w:r>
    </w:p>
    <w:p w14:paraId="30827BBD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8.  Fraud prevention, early warning and portfolio quality</w:t>
      </w:r>
    </w:p>
    <w:p w14:paraId="18D1C5EC" w14:textId="77777777" w:rsidR="000717A4" w:rsidRDefault="00000000">
      <w:pPr>
        <w:spacing w:after="120" w:line="276" w:lineRule="auto"/>
      </w:pPr>
      <w:r>
        <w:t>The platform treats the loan as a living exposure, not a one-time decision. Pre-disbursal, the graph and agentic engines screen for shell entities, circular trading, related-party linkages and restricted activity. Post-disbursal, continuous monitoring watches for GST-filing lapses, sudden inflow drops, anchor distress and contagion signals, raising early-warning alerts before stress becomes an NPA. This is precisely the "improving portfolio quality" outcome the brief calls for — the bank grows the book and protects it at the same time.</w:t>
      </w:r>
    </w:p>
    <w:p w14:paraId="42A2B46B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9.  Why this wins — differentiating capabilities</w:t>
      </w:r>
    </w:p>
    <w:tbl>
      <w:tblPr>
        <w:tblW w:w="9026" w:type="dxa"/>
        <w:tblBorders>
          <w:top w:val="single" w:sz="2" w:space="0" w:color="C9D4E0"/>
          <w:left w:val="single" w:sz="2" w:space="0" w:color="C9D4E0"/>
          <w:bottom w:val="single" w:sz="2" w:space="0" w:color="C9D4E0"/>
          <w:right w:val="single" w:sz="2" w:space="0" w:color="C9D4E0"/>
          <w:insideH w:val="single" w:sz="2" w:space="0" w:color="DCE3EC"/>
          <w:insideV w:val="single" w:sz="2" w:space="0" w:color="DCE3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126"/>
      </w:tblGrid>
      <w:tr w:rsidR="000717A4" w14:paraId="0E06B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043DC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5126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84AB3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moves the decision</w:t>
            </w:r>
          </w:p>
        </w:tc>
      </w:tr>
      <w:tr w:rsidR="000717A4" w14:paraId="62878EF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AE587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Explainable AI with adverse-action reason codes</w:t>
            </w:r>
          </w:p>
        </w:tc>
        <w:tc>
          <w:tcPr>
            <w:tcW w:w="51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42B22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Converts a research demo into a deployable, regulator-ready system — most teams skip it</w:t>
            </w:r>
          </w:p>
        </w:tc>
      </w:tr>
      <w:tr w:rsidR="000717A4" w14:paraId="40B2F37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39A5B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Cash-flow decisioning on live AA + GST sandbox data</w:t>
            </w:r>
          </w:p>
        </w:tc>
        <w:tc>
          <w:tcPr>
            <w:tcW w:w="51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550A1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A working data-to-decision flow in under a minute beats polished slideware</w:t>
            </w:r>
          </w:p>
        </w:tc>
      </w:tr>
      <w:tr w:rsidR="000717A4" w14:paraId="7F0E816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351A2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Graph intelligence: anchor trust, contagion, ghost-entity detection</w:t>
            </w:r>
          </w:p>
        </w:tc>
        <w:tc>
          <w:tcPr>
            <w:tcW w:w="51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F842D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Underwrites thin files and kills invoice-fraud exposure — the technical differentiator</w:t>
            </w:r>
          </w:p>
        </w:tc>
      </w:tr>
      <w:tr w:rsidR="000717A4" w14:paraId="1F9E5B5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6F1BB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Agentic external-insights KYB</w:t>
            </w:r>
          </w:p>
        </w:tc>
        <w:tc>
          <w:tcPr>
            <w:tcW w:w="51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47E4E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Verifies that digital-first businesses genuinely operate, and screens restricted activity automatically</w:t>
            </w:r>
          </w:p>
        </w:tc>
      </w:tr>
      <w:tr w:rsidR="000717A4" w14:paraId="3F69A2B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2ECC1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Dual-view Health Card with vernacular borrower view</w:t>
            </w:r>
          </w:p>
        </w:tc>
        <w:tc>
          <w:tcPr>
            <w:tcW w:w="51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5AEA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The financial-inclusion centrepiece — turns rejection into a roadmap</w:t>
            </w:r>
          </w:p>
        </w:tc>
      </w:tr>
      <w:tr w:rsidR="000717A4" w14:paraId="7828AD8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3387E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Data-sufficiency and confidence gating</w:t>
            </w:r>
          </w:p>
        </w:tc>
        <w:tc>
          <w:tcPr>
            <w:tcW w:w="51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B0B98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The safety valve that makes underwriters trust the score</w:t>
            </w:r>
          </w:p>
        </w:tc>
      </w:tr>
      <w:tr w:rsidR="000717A4" w14:paraId="4C52C22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699EB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Early-warning and portfolio monitoring</w:t>
            </w:r>
          </w:p>
        </w:tc>
        <w:tc>
          <w:tcPr>
            <w:tcW w:w="51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B9FEA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Proves the platform improves the book, not just grows it</w:t>
            </w:r>
          </w:p>
        </w:tc>
      </w:tr>
      <w:tr w:rsidR="000717A4" w14:paraId="5F400FC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F2C75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Risk-based pricing and product matching</w:t>
            </w:r>
          </w:p>
        </w:tc>
        <w:tc>
          <w:tcPr>
            <w:tcW w:w="51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9599E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Moves output from a score to a complete credit decision</w:t>
            </w:r>
          </w:p>
        </w:tc>
      </w:tr>
    </w:tbl>
    <w:p w14:paraId="37AA88EE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10.  Technology stack</w:t>
      </w:r>
    </w:p>
    <w:tbl>
      <w:tblPr>
        <w:tblW w:w="9026" w:type="dxa"/>
        <w:tblBorders>
          <w:top w:val="single" w:sz="2" w:space="0" w:color="C9D4E0"/>
          <w:left w:val="single" w:sz="2" w:space="0" w:color="C9D4E0"/>
          <w:bottom w:val="single" w:sz="2" w:space="0" w:color="C9D4E0"/>
          <w:right w:val="single" w:sz="2" w:space="0" w:color="C9D4E0"/>
          <w:insideH w:val="single" w:sz="2" w:space="0" w:color="DCE3EC"/>
          <w:insideV w:val="single" w:sz="2" w:space="0" w:color="DCE3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576"/>
      </w:tblGrid>
      <w:tr w:rsidR="000717A4" w14:paraId="46C2C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3F66B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6576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12630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0717A4" w14:paraId="77D98CA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24C7A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Ingestion &amp; consent</w:t>
            </w:r>
          </w:p>
        </w:tc>
        <w:tc>
          <w:tcPr>
            <w:tcW w:w="65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CC75F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Account Aggregator (FIU), GST, ULI and MCA/EPFO APIs; OCEN-compatible service interface; OAuth2 + </w:t>
            </w:r>
            <w:proofErr w:type="spellStart"/>
            <w:r>
              <w:rPr>
                <w:sz w:val="19"/>
                <w:szCs w:val="19"/>
              </w:rPr>
              <w:t>mTLS</w:t>
            </w:r>
            <w:proofErr w:type="spellEnd"/>
          </w:p>
        </w:tc>
      </w:tr>
      <w:tr w:rsidR="000717A4" w14:paraId="573ED16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600B0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Processing &amp; features</w:t>
            </w:r>
          </w:p>
        </w:tc>
        <w:tc>
          <w:tcPr>
            <w:tcW w:w="657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56349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Python, streaming pipeline, feature store; validation and enrichment</w:t>
            </w:r>
          </w:p>
        </w:tc>
      </w:tr>
      <w:tr w:rsidR="000717A4" w14:paraId="0215EDC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3DC6C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Scoring models</w:t>
            </w:r>
          </w:p>
        </w:tc>
        <w:tc>
          <w:tcPr>
            <w:tcW w:w="65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BCEB5" w14:textId="77777777" w:rsidR="000717A4" w:rsidRDefault="00000000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/ XGBoost with monotonic constraints; SHAP for explainability; probability calibration</w:t>
            </w:r>
          </w:p>
        </w:tc>
      </w:tr>
      <w:tr w:rsidR="000717A4" w14:paraId="5633624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037C6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Graph engine</w:t>
            </w:r>
          </w:p>
        </w:tc>
        <w:tc>
          <w:tcPr>
            <w:tcW w:w="657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87529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Graph database + Graph Neural Networks; personalised PageRank / label propagation; anomaly detection</w:t>
            </w:r>
          </w:p>
        </w:tc>
      </w:tr>
      <w:tr w:rsidR="000717A4" w14:paraId="48C67A9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E73CC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Agentic KYB</w:t>
            </w:r>
          </w:p>
        </w:tc>
        <w:tc>
          <w:tcPr>
            <w:tcW w:w="65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D1474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LLM-driven autonomous agent for web, catalogue, social, review and policy analysis with cited evidence</w:t>
            </w:r>
          </w:p>
        </w:tc>
      </w:tr>
      <w:tr w:rsidR="000717A4" w14:paraId="287444E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99B2C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Decisioning</w:t>
            </w:r>
          </w:p>
        </w:tc>
        <w:tc>
          <w:tcPr>
            <w:tcW w:w="657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28FD1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Rules-plus-ML engine; straight-through processing; analyst console with generated memo</w:t>
            </w:r>
          </w:p>
        </w:tc>
      </w:tr>
      <w:tr w:rsidR="000717A4" w14:paraId="5AD7B5E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44084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Experience</w:t>
            </w:r>
          </w:p>
        </w:tc>
        <w:tc>
          <w:tcPr>
            <w:tcW w:w="65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BBF53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React dashboard (dual-view card); vernacular WhatsApp / voice assistant</w:t>
            </w:r>
          </w:p>
        </w:tc>
      </w:tr>
      <w:tr w:rsidR="000717A4" w14:paraId="215D54B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A6E8F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Deployment &amp; governance</w:t>
            </w:r>
          </w:p>
        </w:tc>
        <w:tc>
          <w:tcPr>
            <w:tcW w:w="657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01F4B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Containerised, VPC/on-prem for data localisation; model registry, drift monitoring, champion-challenger</w:t>
            </w:r>
          </w:p>
        </w:tc>
      </w:tr>
    </w:tbl>
    <w:p w14:paraId="1486D8FA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11.  Hackathon build scope and demo plan</w:t>
      </w:r>
    </w:p>
    <w:p w14:paraId="143EBE06" w14:textId="77777777" w:rsidR="000717A4" w:rsidRDefault="00000000">
      <w:pPr>
        <w:spacing w:after="120" w:line="276" w:lineRule="auto"/>
      </w:pPr>
      <w:r>
        <w:t>We build a spine that runs end to end rather than every feature partially:</w:t>
      </w:r>
    </w:p>
    <w:p w14:paraId="460C9F6E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Ingest one or two real sandbox sources (AA + GST) plus realistic synthetic data for the rest.</w:t>
      </w:r>
    </w:p>
    <w:p w14:paraId="6D4D2217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A feature pipeline producing all six pillars and a calibrated composite score.</w:t>
      </w:r>
    </w:p>
    <w:p w14:paraId="4321B21C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The dual-view Health Card with SHAP-driven reason codes.</w:t>
      </w:r>
    </w:p>
    <w:p w14:paraId="7EBAA945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Flagship demo moment: a thin-file MSME approved via anchor-trust propagation in the graph, alongside a shell-entity flagged and blocked by ghost-entity detection.</w:t>
      </w:r>
    </w:p>
    <w:p w14:paraId="59FCB8BF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Agentic KYB live on a real online seller — website, reviews, LinkedIn and line-of-business match rendered as a cited dossier, with a restricted-activity screen.</w:t>
      </w:r>
    </w:p>
    <w:p w14:paraId="4F485AD1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t>A mocked ULI/OCEN flow showing consent to parallel data pull to decision in seconds, with the audit trail visible.</w:t>
      </w:r>
    </w:p>
    <w:p w14:paraId="25D0DF31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12.  Impact and business case</w:t>
      </w:r>
    </w:p>
    <w:p w14:paraId="590F176B" w14:textId="77777777" w:rsidR="000717A4" w:rsidRDefault="00000000">
      <w:pPr>
        <w:spacing w:after="120" w:line="276" w:lineRule="auto"/>
      </w:pPr>
      <w:r>
        <w:t>The platform is framed around the four outcomes in the problem statement:</w:t>
      </w:r>
    </w:p>
    <w:p w14:paraId="33023BB0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Wider funnel — </w:t>
      </w:r>
      <w:r>
        <w:t>approve NTC/NTB enterprises the bank rejects today, addressing a credit gap where only about a fifth of micro and small enterprises access formal credit.</w:t>
      </w:r>
    </w:p>
    <w:p w14:paraId="77B8A447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Faster decisions — </w:t>
      </w:r>
      <w:r>
        <w:t>turnaround from weeks to minutes through automated, consent-based data pull and straight-through processing.</w:t>
      </w:r>
    </w:p>
    <w:p w14:paraId="018333BA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Better portfolio quality — </w:t>
      </w:r>
      <w:r>
        <w:t>graph-based fraud prevention and early-warning monitoring protect asset quality as the book grows.</w:t>
      </w:r>
    </w:p>
    <w:p w14:paraId="21642AAF" w14:textId="77777777" w:rsidR="000717A4" w:rsidRDefault="00000000">
      <w:pPr>
        <w:pStyle w:val="ListParagraph"/>
        <w:numPr>
          <w:ilvl w:val="0"/>
          <w:numId w:val="1"/>
        </w:numPr>
        <w:spacing w:after="70" w:line="270" w:lineRule="auto"/>
      </w:pPr>
      <w:r>
        <w:rPr>
          <w:b/>
          <w:bCs/>
        </w:rPr>
        <w:t xml:space="preserve">Measurable inclusion — </w:t>
      </w:r>
      <w:r>
        <w:t>a fairness view tracks approval-rate parity across gender, geography and sector, so inclusion is demonstrated, not merely claimed.</w:t>
      </w:r>
    </w:p>
    <w:p w14:paraId="1AC63353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lastRenderedPageBreak/>
        <w:t>13.  Delivery roadmap</w:t>
      </w:r>
    </w:p>
    <w:tbl>
      <w:tblPr>
        <w:tblW w:w="9026" w:type="dxa"/>
        <w:tblBorders>
          <w:top w:val="single" w:sz="2" w:space="0" w:color="C9D4E0"/>
          <w:left w:val="single" w:sz="2" w:space="0" w:color="C9D4E0"/>
          <w:bottom w:val="single" w:sz="2" w:space="0" w:color="C9D4E0"/>
          <w:right w:val="single" w:sz="2" w:space="0" w:color="C9D4E0"/>
          <w:insideH w:val="single" w:sz="2" w:space="0" w:color="DCE3EC"/>
          <w:insideV w:val="single" w:sz="2" w:space="0" w:color="DCE3E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826"/>
        <w:gridCol w:w="2500"/>
      </w:tblGrid>
      <w:tr w:rsidR="000717A4" w14:paraId="0D426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BBB86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826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5E700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500" w:type="dxa"/>
            <w:shd w:val="clear" w:color="auto" w:fill="0C447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BA8AA" w14:textId="77777777" w:rsidR="000717A4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0717A4" w14:paraId="3DAECF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24DCB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Hackathon</w:t>
            </w:r>
          </w:p>
        </w:tc>
        <w:tc>
          <w:tcPr>
            <w:tcW w:w="48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F3F8F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End-to-end spine: six-pillar score, dual-view card, graph and agentic-KYB demos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6307B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Working proof with real sandbox data</w:t>
            </w:r>
          </w:p>
        </w:tc>
      </w:tr>
      <w:tr w:rsidR="000717A4" w14:paraId="0455C6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0B72A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Pilot (0–3 months)</w:t>
            </w:r>
          </w:p>
        </w:tc>
        <w:tc>
          <w:tcPr>
            <w:tcW w:w="48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FB0F5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AA + GST + ULI live integration; explainability and governance hardening</w:t>
            </w:r>
          </w:p>
        </w:tc>
        <w:tc>
          <w:tcPr>
            <w:tcW w:w="2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473A8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Shadow-mode scoring against live applications</w:t>
            </w:r>
          </w:p>
        </w:tc>
      </w:tr>
      <w:tr w:rsidR="000717A4" w14:paraId="5B27DD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C61B5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Scale (3–9 months)</w:t>
            </w:r>
          </w:p>
        </w:tc>
        <w:tc>
          <w:tcPr>
            <w:tcW w:w="48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D5C21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OCEN service exposure; full graph engine; continuous monitoring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45619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Straight-through approvals and early-warning live</w:t>
            </w:r>
          </w:p>
        </w:tc>
      </w:tr>
      <w:tr w:rsidR="000717A4" w14:paraId="4E1DC1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9E207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Expand (9–18 months)</w:t>
            </w:r>
          </w:p>
        </w:tc>
        <w:tc>
          <w:tcPr>
            <w:tcW w:w="4826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0EE8D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Sector-specific models; anchor-network programmes; embedded lending partners</w:t>
            </w:r>
          </w:p>
        </w:tc>
        <w:tc>
          <w:tcPr>
            <w:tcW w:w="2500" w:type="dxa"/>
            <w:shd w:val="clear" w:color="auto" w:fill="EEF3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C600E" w14:textId="77777777" w:rsidR="000717A4" w:rsidRDefault="00000000">
            <w:pPr>
              <w:spacing w:after="40" w:line="264" w:lineRule="auto"/>
            </w:pPr>
            <w:r>
              <w:rPr>
                <w:sz w:val="19"/>
                <w:szCs w:val="19"/>
              </w:rPr>
              <w:t>Diversified, higher-quality MSME portfolio</w:t>
            </w:r>
          </w:p>
        </w:tc>
      </w:tr>
    </w:tbl>
    <w:p w14:paraId="66A23D41" w14:textId="77777777" w:rsidR="000717A4" w:rsidRDefault="00000000">
      <w:pPr>
        <w:pStyle w:val="Heading1"/>
        <w:pBdr>
          <w:bottom w:val="single" w:sz="8" w:space="6" w:color="0C447C"/>
        </w:pBdr>
        <w:spacing w:before="320" w:after="140"/>
      </w:pPr>
      <w:r>
        <w:rPr>
          <w:b/>
          <w:bCs/>
          <w:color w:val="0C447C"/>
          <w:sz w:val="30"/>
          <w:szCs w:val="30"/>
        </w:rPr>
        <w:t>14.  Compliance, consent and governance</w:t>
      </w:r>
    </w:p>
    <w:p w14:paraId="7914D2E2" w14:textId="77777777" w:rsidR="000717A4" w:rsidRDefault="00000000">
      <w:pPr>
        <w:spacing w:after="120" w:line="276" w:lineRule="auto"/>
      </w:pPr>
      <w:r>
        <w:t>Every capability sits on a compliance foundation: explicit, purpose-bound consent through the Account Aggregator and DEPA framework; a complete consent audit trail; data localisation with VPC or on-premise deployment; and formal model governance — a model registry, monotonic and fairness constraints, drift monitoring and champion-challenger validation. Because the platform is explainable and consent-first by design, it is built to satisfy RBI's digital-lending expectations from day one, which is what makes it not just innovative but deployable.</w:t>
      </w:r>
    </w:p>
    <w:p w14:paraId="2EEB1400" w14:textId="77777777" w:rsidR="000717A4" w:rsidRDefault="00000000">
      <w:pPr>
        <w:pBdr>
          <w:top w:val="single" w:sz="12" w:space="8" w:color="0F6E56"/>
        </w:pBdr>
        <w:spacing w:before="360"/>
      </w:pPr>
      <w:r>
        <w:rPr>
          <w:b/>
          <w:bCs/>
          <w:i/>
          <w:iCs/>
          <w:color w:val="0F6E56"/>
          <w:sz w:val="22"/>
          <w:szCs w:val="22"/>
        </w:rPr>
        <w:t>Udyam Sehat Card — making every MSME visible, bankable and understood.</w:t>
      </w:r>
    </w:p>
    <w:sectPr w:rsidR="000717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73E03"/>
    <w:multiLevelType w:val="hybridMultilevel"/>
    <w:tmpl w:val="862A6382"/>
    <w:lvl w:ilvl="0" w:tplc="C750061C">
      <w:start w:val="1"/>
      <w:numFmt w:val="bullet"/>
      <w:lvlText w:val="●"/>
      <w:lvlJc w:val="left"/>
      <w:pPr>
        <w:ind w:left="720" w:hanging="360"/>
      </w:pPr>
    </w:lvl>
    <w:lvl w:ilvl="1" w:tplc="AA027E50">
      <w:start w:val="1"/>
      <w:numFmt w:val="bullet"/>
      <w:lvlText w:val="○"/>
      <w:lvlJc w:val="left"/>
      <w:pPr>
        <w:ind w:left="1440" w:hanging="360"/>
      </w:pPr>
    </w:lvl>
    <w:lvl w:ilvl="2" w:tplc="55A400E6">
      <w:start w:val="1"/>
      <w:numFmt w:val="bullet"/>
      <w:lvlText w:val="■"/>
      <w:lvlJc w:val="left"/>
      <w:pPr>
        <w:ind w:left="2160" w:hanging="360"/>
      </w:pPr>
    </w:lvl>
    <w:lvl w:ilvl="3" w:tplc="BC5CBA94">
      <w:start w:val="1"/>
      <w:numFmt w:val="bullet"/>
      <w:lvlText w:val="●"/>
      <w:lvlJc w:val="left"/>
      <w:pPr>
        <w:ind w:left="2880" w:hanging="360"/>
      </w:pPr>
    </w:lvl>
    <w:lvl w:ilvl="4" w:tplc="75B4EAAC">
      <w:start w:val="1"/>
      <w:numFmt w:val="bullet"/>
      <w:lvlText w:val="○"/>
      <w:lvlJc w:val="left"/>
      <w:pPr>
        <w:ind w:left="3600" w:hanging="360"/>
      </w:pPr>
    </w:lvl>
    <w:lvl w:ilvl="5" w:tplc="6596A938">
      <w:start w:val="1"/>
      <w:numFmt w:val="bullet"/>
      <w:lvlText w:val="■"/>
      <w:lvlJc w:val="left"/>
      <w:pPr>
        <w:ind w:left="4320" w:hanging="360"/>
      </w:pPr>
    </w:lvl>
    <w:lvl w:ilvl="6" w:tplc="376A6E08">
      <w:start w:val="1"/>
      <w:numFmt w:val="bullet"/>
      <w:lvlText w:val="●"/>
      <w:lvlJc w:val="left"/>
      <w:pPr>
        <w:ind w:left="5040" w:hanging="360"/>
      </w:pPr>
    </w:lvl>
    <w:lvl w:ilvl="7" w:tplc="A5D67A06">
      <w:start w:val="1"/>
      <w:numFmt w:val="bullet"/>
      <w:lvlText w:val="●"/>
      <w:lvlJc w:val="left"/>
      <w:pPr>
        <w:ind w:left="5760" w:hanging="360"/>
      </w:pPr>
    </w:lvl>
    <w:lvl w:ilvl="8" w:tplc="D98690A8">
      <w:start w:val="1"/>
      <w:numFmt w:val="bullet"/>
      <w:lvlText w:val="●"/>
      <w:lvlJc w:val="left"/>
      <w:pPr>
        <w:ind w:left="6480" w:hanging="360"/>
      </w:pPr>
    </w:lvl>
  </w:abstractNum>
  <w:num w:numId="1" w16cid:durableId="1857230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7A4"/>
    <w:rsid w:val="000717A4"/>
    <w:rsid w:val="000D7366"/>
    <w:rsid w:val="00CB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39B62"/>
  <w15:docId w15:val="{69A775F1-6B70-2248-9E22-0E162913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A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2151</Words>
  <Characters>13160</Characters>
  <Application>Microsoft Office Word</Application>
  <DocSecurity>0</DocSecurity>
  <Lines>280</Lines>
  <Paragraphs>163</Paragraphs>
  <ScaleCrop>false</ScaleCrop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Udyam Sehat Card — MSME Financial Health Card Proposal</dc:title>
  <dc:creator>MSME Credit Hackathon Team</dc:creator>
  <cp:lastModifiedBy>Sunit Gautam</cp:lastModifiedBy>
  <cp:revision>2</cp:revision>
  <dcterms:created xsi:type="dcterms:W3CDTF">2026-07-08T04:05:00Z</dcterms:created>
  <dcterms:modified xsi:type="dcterms:W3CDTF">2026-07-08T04:55:00Z</dcterms:modified>
</cp:coreProperties>
</file>