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8"/>
          <w:szCs w:val="28"/>
        </w:rPr>
        <w:t xml:space="preserve">RAG Assignment: Baseline Retrieval vs. Cross-Encoder Re-Ranking</w:t>
      </w:r>
    </w:p>
    <w:p>
      <w:pPr>
        <w:spacing w:after="60"/>
        <w:jc w:val="center"/>
      </w:pPr>
      <w:r>
        <w:rPr>
          <w:rFonts w:ascii="Times New Roman" w:cs="Times New Roman" w:eastAsia="Times New Roman" w:hAnsi="Times New Roman"/>
          <w:sz w:val="24"/>
          <w:szCs w:val="24"/>
        </w:rPr>
        <w:t xml:space="preserve">Aaditya Sharma  |  2019113009  |  19 October 2026</w:t>
      </w:r>
    </w:p>
    <w:p>
      <w:pPr>
        <w:spacing w:after="240"/>
        <w:jc w:val="center"/>
      </w:pPr>
      <w:r>
        <w:rPr>
          <w:rFonts w:ascii="Times New Roman" w:cs="Times New Roman" w:eastAsia="Times New Roman" w:hAnsi="Times New Roman"/>
          <w:sz w:val="24"/>
          <w:szCs w:val="24"/>
        </w:rPr>
        <w:t xml:space="preserve">Code: https://github.com/Ad-S/RAG_language_model_and_agents  (notebook: </w:t>
      </w:r>
      <w:r>
        <w:rPr>
          <w:rFonts w:ascii="Courier New" w:cs="Courier New" w:eastAsia="Courier New" w:hAnsi="Courier New"/>
          <w:sz w:val="22"/>
          <w:szCs w:val="22"/>
        </w:rPr>
        <w:t xml:space="preserve">rag_rerank.ipynb</w:t>
      </w:r>
      <w:r>
        <w:rPr>
          <w:rFonts w:ascii="Times New Roman" w:cs="Times New Roman" w:eastAsia="Times New Roman" w:hAnsi="Times New Roman"/>
          <w:sz w:val="24"/>
          <w:szCs w:val="24"/>
        </w:rPr>
        <w:t xml:space="preserve">)</w:t>
      </w:r>
    </w:p>
    <w:p>
      <w:pPr>
        <w:pStyle w:val="Heading1"/>
        <w:spacing w:after="120" w:before="240"/>
      </w:pPr>
      <w:r>
        <w:rPr>
          <w:rFonts w:ascii="Times New Roman" w:cs="Times New Roman" w:eastAsia="Times New Roman" w:hAnsi="Times New Roman"/>
          <w:b/>
          <w:bCs/>
          <w:color w:val="000000"/>
          <w:sz w:val="28"/>
          <w:szCs w:val="28"/>
        </w:rPr>
        <w:t xml:space="preserve">1. Setup</w:t>
      </w:r>
    </w:p>
    <w:p>
      <w:pPr>
        <w:spacing w:after="120" w:line="276"/>
        <w:jc w:val="both"/>
      </w:pPr>
      <w:r>
        <w:rPr>
          <w:rFonts w:ascii="Times New Roman" w:cs="Times New Roman" w:eastAsia="Times New Roman" w:hAnsi="Times New Roman"/>
          <w:b/>
          <w:bCs/>
          <w:sz w:val="24"/>
          <w:szCs w:val="24"/>
        </w:rPr>
        <w:t xml:space="preserve">Document.</w:t>
      </w:r>
      <w:r>
        <w:rPr>
          <w:rFonts w:ascii="Times New Roman" w:cs="Times New Roman" w:eastAsia="Times New Roman" w:hAnsi="Times New Roman"/>
          <w:sz w:val="24"/>
          <w:szCs w:val="24"/>
        </w:rPr>
        <w:t xml:space="preserve"> The EU General Data Protection Regulation (Regulation (EU) 2016/679), 88 pages, about 54,900 words. It contains 173 recitals that paraphrase the 99 articles, many cross-references, and a large number of "shall not apply", "unless" and "only where" clauses, which makes it a good test for retrieval.</w:t>
      </w:r>
    </w:p>
    <w:p>
      <w:pPr>
        <w:spacing w:after="120" w:line="276"/>
        <w:jc w:val="both"/>
      </w:pPr>
      <w:r>
        <w:rPr>
          <w:rFonts w:ascii="Times New Roman" w:cs="Times New Roman" w:eastAsia="Times New Roman" w:hAnsi="Times New Roman"/>
          <w:b/>
          <w:bCs/>
          <w:sz w:val="24"/>
          <w:szCs w:val="24"/>
        </w:rPr>
        <w:t xml:space="preserve">Chunking.</w:t>
      </w:r>
      <w:r>
        <w:rPr>
          <w:rFonts w:ascii="Times New Roman" w:cs="Times New Roman" w:eastAsia="Times New Roman" w:hAnsi="Times New Roman"/>
          <w:sz w:val="24"/>
          <w:szCs w:val="24"/>
        </w:rPr>
        <w:t xml:space="preserve"> Fixed sliding windows of 120 words with a 30-word overlap, giving 611 chunks. The page number of the first word is stored with each chunk. The chunking does not follow article boundaries, so an exception paragraph often ends up in a different chunk from the rule it modifies.</w:t>
      </w:r>
    </w:p>
    <w:p>
      <w:pPr>
        <w:spacing w:after="120" w:line="276"/>
        <w:jc w:val="both"/>
      </w:pPr>
      <w:r>
        <w:rPr>
          <w:rFonts w:ascii="Times New Roman" w:cs="Times New Roman" w:eastAsia="Times New Roman" w:hAnsi="Times New Roman"/>
          <w:b/>
          <w:bCs/>
          <w:sz w:val="24"/>
          <w:szCs w:val="24"/>
        </w:rPr>
        <w:t xml:space="preserve">Models.</w:t>
      </w:r>
      <w:r>
        <w:rPr>
          <w:rFonts w:ascii="Times New Roman" w:cs="Times New Roman" w:eastAsia="Times New Roman" w:hAnsi="Times New Roman"/>
          <w:sz w:val="24"/>
          <w:szCs w:val="24"/>
        </w:rPr>
        <w:t xml:space="preserve"> Bi-encoder: </w:t>
      </w:r>
      <w:r>
        <w:rPr>
          <w:rFonts w:ascii="Courier New" w:cs="Courier New" w:eastAsia="Courier New" w:hAnsi="Courier New"/>
          <w:sz w:val="22"/>
          <w:szCs w:val="22"/>
        </w:rPr>
        <w:t xml:space="preserve">sentence-transformers/all-MiniLM-L6-v2</w:t>
      </w:r>
      <w:r>
        <w:rPr>
          <w:rFonts w:ascii="Times New Roman" w:cs="Times New Roman" w:eastAsia="Times New Roman" w:hAnsi="Times New Roman"/>
          <w:sz w:val="24"/>
          <w:szCs w:val="24"/>
        </w:rPr>
        <w:t xml:space="preserve"> (384-d), indexed in FAISS </w:t>
      </w:r>
      <w:r>
        <w:rPr>
          <w:rFonts w:ascii="Courier New" w:cs="Courier New" w:eastAsia="Courier New" w:hAnsi="Courier New"/>
          <w:sz w:val="22"/>
          <w:szCs w:val="22"/>
        </w:rPr>
        <w:t xml:space="preserve">IndexFlatIP</w:t>
      </w:r>
      <w:r>
        <w:rPr>
          <w:rFonts w:ascii="Times New Roman" w:cs="Times New Roman" w:eastAsia="Times New Roman" w:hAnsi="Times New Roman"/>
          <w:sz w:val="24"/>
          <w:szCs w:val="24"/>
        </w:rPr>
        <w:t xml:space="preserve"> on L2-normalised vectors (inner product = cosine similarity). Cross-encoder: </w:t>
      </w:r>
      <w:r>
        <w:rPr>
          <w:rFonts w:ascii="Courier New" w:cs="Courier New" w:eastAsia="Courier New" w:hAnsi="Courier New"/>
          <w:sz w:val="22"/>
          <w:szCs w:val="22"/>
        </w:rPr>
        <w:t xml:space="preserve">cross-encoder/ms-marco-MiniLM-L-6-v2</w:t>
      </w:r>
      <w:r>
        <w:rPr>
          <w:rFonts w:ascii="Times New Roman" w:cs="Times New Roman" w:eastAsia="Times New Roman" w:hAnsi="Times New Roman"/>
          <w:sz w:val="24"/>
          <w:szCs w:val="24"/>
        </w:rPr>
        <w:t xml:space="preserve">. LLM: </w:t>
      </w:r>
      <w:r>
        <w:rPr>
          <w:rFonts w:ascii="Courier New" w:cs="Courier New" w:eastAsia="Courier New" w:hAnsi="Courier New"/>
          <w:sz w:val="22"/>
          <w:szCs w:val="22"/>
        </w:rPr>
        <w:t xml:space="preserve">Qwen/Qwen2.5-3B-Instruct</w:t>
      </w:r>
      <w:r>
        <w:rPr>
          <w:rFonts w:ascii="Times New Roman" w:cs="Times New Roman" w:eastAsia="Times New Roman" w:hAnsi="Times New Roman"/>
          <w:sz w:val="24"/>
          <w:szCs w:val="24"/>
        </w:rPr>
        <w:t xml:space="preserve"> run locally on Apple MPS with greedy decoding (the notebook switches to Gemini if </w:t>
      </w:r>
      <w:r>
        <w:rPr>
          <w:rFonts w:ascii="Courier New" w:cs="Courier New" w:eastAsia="Courier New" w:hAnsi="Courier New"/>
          <w:sz w:val="22"/>
          <w:szCs w:val="22"/>
        </w:rPr>
        <w:t xml:space="preserve">GEMINI_API_KEY</w:t>
      </w:r>
      <w:r>
        <w:rPr>
          <w:rFonts w:ascii="Times New Roman" w:cs="Times New Roman" w:eastAsia="Times New Roman" w:hAnsi="Times New Roman"/>
          <w:sz w:val="24"/>
          <w:szCs w:val="24"/>
        </w:rPr>
        <w:t xml:space="preserve"> is set).</w:t>
      </w:r>
    </w:p>
    <w:p>
      <w:pPr>
        <w:spacing w:after="120" w:line="276"/>
        <w:jc w:val="both"/>
      </w:pPr>
      <w:r>
        <w:rPr>
          <w:rFonts w:ascii="Times New Roman" w:cs="Times New Roman" w:eastAsia="Times New Roman" w:hAnsi="Times New Roman"/>
          <w:b/>
          <w:bCs/>
          <w:sz w:val="24"/>
          <w:szCs w:val="24"/>
        </w:rPr>
        <w:t xml:space="preserve">Pipelines.</w:t>
      </w:r>
      <w:r>
        <w:rPr>
          <w:rFonts w:ascii="Times New Roman" w:cs="Times New Roman" w:eastAsia="Times New Roman" w:hAnsi="Times New Roman"/>
          <w:sz w:val="24"/>
          <w:szCs w:val="24"/>
        </w:rPr>
        <w:t xml:space="preserve"> Pipeline 1 takes the bi-encoder Top-10 and passes ranks 1-3 to the LLM (Answer 1). Pipeline 2 scores the same 10 (query, chunk) pairs with the cross-encoder, re-sorts them and passes the new top 3 (Answer 2). The prompt template is identical for both. It tells the model to answer only from the excerpts and to quote figures, conditions and exceptions.</w:t>
      </w:r>
    </w:p>
    <w:p>
      <w:pPr>
        <w:spacing w:after="120" w:line="276"/>
        <w:jc w:val="both"/>
      </w:pPr>
      <w:r>
        <w:rPr>
          <w:rFonts w:ascii="Times New Roman" w:cs="Times New Roman" w:eastAsia="Times New Roman" w:hAnsi="Times New Roman"/>
          <w:b/>
          <w:bCs/>
          <w:sz w:val="24"/>
          <w:szCs w:val="24"/>
        </w:rPr>
        <w:t xml:space="preserve">Identifying the critical chunk.</w:t>
      </w:r>
      <w:r>
        <w:rPr>
          <w:rFonts w:ascii="Times New Roman" w:cs="Times New Roman" w:eastAsia="Times New Roman" w:hAnsi="Times New Roman"/>
          <w:sz w:val="24"/>
          <w:szCs w:val="24"/>
        </w:rPr>
        <w:t xml:space="preserve"> For every test query I copied a short evidence phrase from the article that actually answers it. The chunk containing that phrase is the critical chunk, and its rank is tracked in both pipelines. The phrase is used only for analysis, never by the retrievers.</w:t>
      </w:r>
    </w:p>
    <w:p>
      <w:pPr>
        <w:pStyle w:val="Heading1"/>
        <w:spacing w:after="120" w:before="240"/>
      </w:pPr>
      <w:r>
        <w:rPr>
          <w:rFonts w:ascii="Times New Roman" w:cs="Times New Roman" w:eastAsia="Times New Roman" w:hAnsi="Times New Roman"/>
          <w:b/>
          <w:bCs/>
          <w:color w:val="000000"/>
          <w:sz w:val="28"/>
          <w:szCs w:val="28"/>
        </w:rPr>
        <w:t xml:space="preserve">2. Architecture Comparison</w:t>
      </w:r>
    </w:p>
    <w:p>
      <w:pPr>
        <w:spacing w:after="120" w:line="276"/>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bi-encoder</w:t>
      </w:r>
      <w:r>
        <w:rPr>
          <w:rFonts w:ascii="Times New Roman" w:cs="Times New Roman" w:eastAsia="Times New Roman" w:hAnsi="Times New Roman"/>
          <w:sz w:val="24"/>
          <w:szCs w:val="24"/>
        </w:rPr>
        <w:t xml:space="preserve"> encodes the query and each chunk separately into fixed vectors and compares them with cosine similarity. Chunk vectors can be computed once offline and searched with an (approximate) nearest-neighbour index, so a query costs one encoder pass plus a vector search. The downside is that the whole chunk is compressed into a single vector before the model sees the query. Fine details such as a negation, a specific figure, or which party a sentence refers to get averaged into the general topic of the chunk.</w:t>
      </w:r>
    </w:p>
    <w:p>
      <w:pPr>
        <w:spacing w:after="120" w:line="276"/>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cross-encoder</w:t>
      </w:r>
      <w:r>
        <w:rPr>
          <w:rFonts w:ascii="Times New Roman" w:cs="Times New Roman" w:eastAsia="Times New Roman" w:hAnsi="Times New Roman"/>
          <w:sz w:val="24"/>
          <w:szCs w:val="24"/>
        </w:rPr>
        <w:t xml:space="preserve"> concatenates query and chunk into one input (</w:t>
      </w:r>
      <w:r>
        <w:rPr>
          <w:rFonts w:ascii="Courier New" w:cs="Courier New" w:eastAsia="Courier New" w:hAnsi="Courier New"/>
          <w:sz w:val="22"/>
          <w:szCs w:val="22"/>
        </w:rPr>
        <w:t xml:space="preserve">[CLS] query [SEP] chunk</w:t>
      </w:r>
      <w:r>
        <w:rPr>
          <w:rFonts w:ascii="Times New Roman" w:cs="Times New Roman" w:eastAsia="Times New Roman" w:hAnsi="Times New Roman"/>
          <w:sz w:val="24"/>
          <w:szCs w:val="24"/>
        </w:rPr>
        <w:t xml:space="preserve">) and runs full self-attention across both, so every query token can attend to every chunk token. It outputs a single relevance score for the pair. It can therefore check whether the chunk actually answers the question (for example "not apply" in the query against "shall not apply" in Art. 17(3)), but nothing can be precomputed: every (query, chunk) pair needs its own transformer forward pass.</w:t>
      </w:r>
    </w:p>
    <w:p>
      <w:pPr>
        <w:pStyle w:val="Heading1"/>
        <w:spacing w:after="120" w:before="240"/>
      </w:pPr>
      <w:r>
        <w:rPr>
          <w:rFonts w:ascii="Times New Roman" w:cs="Times New Roman" w:eastAsia="Times New Roman" w:hAnsi="Times New Roman"/>
          <w:b/>
          <w:bCs/>
          <w:color w:val="000000"/>
          <w:sz w:val="28"/>
          <w:szCs w:val="28"/>
        </w:rPr>
        <w:t xml:space="preserve">3. Qualitative and Rank Shift Analysis</w:t>
      </w:r>
    </w:p>
    <w:p>
      <w:pPr>
        <w:pStyle w:val="Heading2"/>
        <w:spacing w:after="80" w:before="180"/>
      </w:pPr>
      <w:r>
        <w:rPr>
          <w:rFonts w:ascii="Times New Roman" w:cs="Times New Roman" w:eastAsia="Times New Roman" w:hAnsi="Times New Roman"/>
          <w:b/>
          <w:bCs/>
          <w:color w:val="000000"/>
          <w:sz w:val="24"/>
          <w:szCs w:val="24"/>
        </w:rPr>
        <w:t xml:space="preserve">3.1 Rank shifts</w:t>
      </w:r>
    </w:p>
    <w:p>
      <w:pPr>
        <w:spacing w:after="120" w:line="276"/>
        <w:jc w:val="both"/>
      </w:pPr>
      <w:r>
        <w:rPr>
          <w:rFonts w:ascii="Times New Roman" w:cs="Times New Roman" w:eastAsia="Times New Roman" w:hAnsi="Times New Roman"/>
          <w:sz w:val="24"/>
          <w:szCs w:val="24"/>
        </w:rPr>
        <w:t xml:space="preserve">Table 1 lists the six failure queries and two control queries. In all six failure cases the critical chunk was at bi-encoder rank 4-8, so it was not in the LLM context for Pipeline 1. The cross-encoder moved it to rank 1 or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126"/>
        <w:gridCol w:w="1100"/>
        <w:gridCol w:w="900"/>
        <w:gridCol w:w="1100"/>
        <w:gridCol w:w="1300"/>
      </w:tblGrid>
      <w:tr>
        <w:trPr>
          <w:tblHeader/>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bCs/>
                <w:sz w:val="20"/>
                <w:szCs w:val="20"/>
              </w:rPr>
              <w:t xml:space="preserve">Category</w:t>
            </w:r>
          </w:p>
        </w:tc>
        <w:tc>
          <w:tcPr>
            <w:tcW w:type="dxa" w:w="3126"/>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bCs/>
                <w:sz w:val="20"/>
                <w:szCs w:val="20"/>
              </w:rPr>
              <w:t xml:space="preserve">Query</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bCs/>
                <w:sz w:val="20"/>
                <w:szCs w:val="20"/>
              </w:rPr>
              <w:t xml:space="preserve">Source</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bCs/>
                <w:sz w:val="20"/>
                <w:szCs w:val="20"/>
              </w:rPr>
              <w:t xml:space="preserve">Chunk</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bCs/>
                <w:sz w:val="20"/>
                <w:szCs w:val="20"/>
              </w:rPr>
              <w:t xml:space="preserve">Bi-enc. rank</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bCs/>
                <w:sz w:val="20"/>
                <w:szCs w:val="20"/>
              </w:rPr>
              <w:t xml:space="preserve">Cross-enc. rank</w:t>
            </w:r>
          </w:p>
        </w:tc>
      </w:tr>
      <w:t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Keyword trap / distractor</w:t>
            </w:r>
          </w:p>
        </w:tc>
        <w:tc>
          <w:tcPr>
            <w:tcW w:type="dxa" w:w="3126"/>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Maximum fine for infringing the basic principles for processing, incl. conditions for consent?</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Art. 83(5)</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582</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#4</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#1</w:t>
            </w:r>
          </w:p>
        </w:tc>
      </w:tr>
      <w:t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Exception / corner case</w:t>
            </w:r>
          </w:p>
        </w:tc>
        <w:tc>
          <w:tcPr>
            <w:tcW w:type="dxa" w:w="3126"/>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When does the right to erasure not apply?</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Art. 17(3)</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346</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#4</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#2</w:t>
            </w:r>
          </w:p>
        </w:tc>
      </w:tr>
      <w:t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Negation &amp; constraints</w:t>
            </w:r>
          </w:p>
        </w:tc>
        <w:tc>
          <w:tcPr>
            <w:tcW w:type="dxa" w:w="3126"/>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Is profiling of individuals permitted?</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Art. 22(1)-(2)</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357</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#5</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#2</w:t>
            </w:r>
          </w:p>
        </w:tc>
      </w:tr>
      <w:t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Exception (role limit)</w:t>
            </w:r>
          </w:p>
        </w:tc>
        <w:tc>
          <w:tcPr>
            <w:tcW w:type="dxa" w:w="3126"/>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Who is liable when a processor causes damage?</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Art. 82(2)</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574</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#5</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#1</w:t>
            </w:r>
          </w:p>
        </w:tc>
      </w:tr>
      <w:t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Buried at rank 4-10</w:t>
            </w:r>
          </w:p>
        </w:tc>
        <w:tc>
          <w:tcPr>
            <w:tcW w:type="dxa" w:w="3126"/>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When can a data subject restrict processing?</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Art. 18(1)</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348</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#5</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#2</w:t>
            </w:r>
          </w:p>
        </w:tc>
      </w:tr>
      <w:t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Buried at rank 4-10</w:t>
            </w:r>
          </w:p>
        </w:tc>
        <w:tc>
          <w:tcPr>
            <w:tcW w:type="dxa" w:w="3126"/>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Can a controller transfer data abroad for important reasons of public interest?</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Recital 112</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178</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#8</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#2</w:t>
            </w:r>
          </w:p>
        </w:tc>
      </w:tr>
      <w:t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Control (easy)</w:t>
            </w:r>
          </w:p>
        </w:tc>
        <w:tc>
          <w:tcPr>
            <w:tcW w:type="dxa" w:w="3126"/>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At what age can a child consent to online services?</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Art. 8(1)</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305</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#1</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#1</w:t>
            </w:r>
          </w:p>
        </w:tc>
      </w:tr>
      <w:t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Recall ceiling</w:t>
            </w:r>
          </w:p>
        </w:tc>
        <w:tc>
          <w:tcPr>
            <w:tcW w:type="dxa" w:w="3126"/>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Is a decision based solely on automated processing allowed?</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Art. 22(4)</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358</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#217</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not in Top-10</w:t>
            </w:r>
          </w:p>
        </w:tc>
      </w:tr>
    </w:tbl>
    <w:p>
      <w:pPr>
        <w:spacing w:after="200" w:before="60"/>
        <w:jc w:val="center"/>
      </w:pPr>
      <w:r>
        <w:rPr>
          <w:rFonts w:ascii="Times New Roman" w:cs="Times New Roman" w:eastAsia="Times New Roman" w:hAnsi="Times New Roman"/>
          <w:sz w:val="22"/>
          <w:szCs w:val="22"/>
        </w:rPr>
        <w:t xml:space="preserve">Table 1: Rank of the critical chunk before and after re-ranking.</w:t>
      </w:r>
    </w:p>
    <w:p>
      <w:pPr>
        <w:pStyle w:val="Heading2"/>
        <w:spacing w:after="80" w:before="180"/>
      </w:pPr>
      <w:r>
        <w:rPr>
          <w:rFonts w:ascii="Times New Roman" w:cs="Times New Roman" w:eastAsia="Times New Roman" w:hAnsi="Times New Roman"/>
          <w:b/>
          <w:bCs/>
          <w:color w:val="000000"/>
          <w:sz w:val="24"/>
          <w:szCs w:val="24"/>
        </w:rPr>
        <w:t xml:space="preserve">3.2 Answer 1 vs. Answer 2</w:t>
      </w:r>
    </w:p>
    <w:p>
      <w:pPr>
        <w:spacing w:after="120" w:line="276"/>
        <w:jc w:val="both"/>
      </w:pPr>
      <w:r>
        <w:rPr>
          <w:rFonts w:ascii="Times New Roman" w:cs="Times New Roman" w:eastAsia="Times New Roman" w:hAnsi="Times New Roman"/>
          <w:b/>
          <w:bCs/>
          <w:sz w:val="24"/>
          <w:szCs w:val="24"/>
        </w:rPr>
        <w:t xml:space="preserve">Keyword trap (fine amount).</w:t>
      </w:r>
      <w:r>
        <w:rPr>
          <w:rFonts w:ascii="Times New Roman" w:cs="Times New Roman" w:eastAsia="Times New Roman" w:hAnsi="Times New Roman"/>
          <w:sz w:val="24"/>
          <w:szCs w:val="24"/>
        </w:rPr>
        <w:t xml:space="preserve"> The bi-encoder's top 3 were Art. 84 ("other penalties"), Recital 148 (general text on fines) and the chunk containing Art. 83(4), the lower tier. All three share the vocabulary of the query (infringement, fine, penalties) but none contain the answer. Answer 1 stated </w:t>
      </w:r>
      <w:r>
        <w:rPr>
          <w:rFonts w:ascii="Times New Roman" w:cs="Times New Roman" w:eastAsia="Times New Roman" w:hAnsi="Times New Roman"/>
          <w:b/>
          <w:bCs/>
          <w:sz w:val="24"/>
          <w:szCs w:val="24"/>
        </w:rPr>
        <w:t xml:space="preserve">€10,000,000 or 2%</w:t>
      </w:r>
      <w:r>
        <w:rPr>
          <w:rFonts w:ascii="Times New Roman" w:cs="Times New Roman" w:eastAsia="Times New Roman" w:hAnsi="Times New Roman"/>
          <w:sz w:val="24"/>
          <w:szCs w:val="24"/>
        </w:rPr>
        <w:t xml:space="preserve"> of worldwide turnover. That is a misstated rule: the figure is real, but it belongs to a different set of infringements. With chunk 582 at rank 1, Answer 2 gave the correct </w:t>
      </w:r>
      <w:r>
        <w:rPr>
          <w:rFonts w:ascii="Times New Roman" w:cs="Times New Roman" w:eastAsia="Times New Roman" w:hAnsi="Times New Roman"/>
          <w:b/>
          <w:bCs/>
          <w:sz w:val="24"/>
          <w:szCs w:val="24"/>
        </w:rPr>
        <w:t xml:space="preserve">€20,000,000 or 4%</w:t>
      </w:r>
      <w:r>
        <w:rPr>
          <w:rFonts w:ascii="Times New Roman" w:cs="Times New Roman" w:eastAsia="Times New Roman" w:hAnsi="Times New Roman"/>
          <w:sz w:val="24"/>
          <w:szCs w:val="24"/>
        </w:rPr>
        <w:t xml:space="preserve">.</w:t>
      </w:r>
    </w:p>
    <w:p>
      <w:pPr>
        <w:spacing w:after="120" w:line="276"/>
        <w:jc w:val="both"/>
      </w:pPr>
      <w:r>
        <w:rPr>
          <w:rFonts w:ascii="Times New Roman" w:cs="Times New Roman" w:eastAsia="Times New Roman" w:hAnsi="Times New Roman"/>
          <w:b/>
          <w:bCs/>
          <w:sz w:val="24"/>
          <w:szCs w:val="24"/>
        </w:rPr>
        <w:t xml:space="preserve">Exceptions (right to erasure).</w:t>
      </w:r>
      <w:r>
        <w:rPr>
          <w:rFonts w:ascii="Times New Roman" w:cs="Times New Roman" w:eastAsia="Times New Roman" w:hAnsi="Times New Roman"/>
          <w:sz w:val="24"/>
          <w:szCs w:val="24"/>
        </w:rPr>
        <w:t xml:space="preserve"> Pipeline 1 retrieved Art. 17(1), the general rule listing grounds </w:t>
      </w:r>
      <w:r>
        <w:rPr>
          <w:rFonts w:ascii="Times New Roman" w:cs="Times New Roman" w:eastAsia="Times New Roman" w:hAnsi="Times New Roman"/>
          <w:i/>
          <w:iCs/>
          <w:sz w:val="24"/>
          <w:szCs w:val="24"/>
        </w:rPr>
        <w:t xml:space="preserve">for</w:t>
      </w:r>
      <w:r>
        <w:rPr>
          <w:rFonts w:ascii="Times New Roman" w:cs="Times New Roman" w:eastAsia="Times New Roman" w:hAnsi="Times New Roman"/>
          <w:sz w:val="24"/>
          <w:szCs w:val="24"/>
        </w:rPr>
        <w:t xml:space="preserve"> erasure. Answer 1 then returned those grounds (data no longer necessary, consent withdrawn) as the cases where erasure does </w:t>
      </w:r>
      <w:r>
        <w:rPr>
          <w:rFonts w:ascii="Times New Roman" w:cs="Times New Roman" w:eastAsia="Times New Roman" w:hAnsi="Times New Roman"/>
          <w:i/>
          <w:iCs/>
          <w:sz w:val="24"/>
          <w:szCs w:val="24"/>
        </w:rPr>
        <w:t xml:space="preserve">not</w:t>
      </w:r>
      <w:r>
        <w:rPr>
          <w:rFonts w:ascii="Times New Roman" w:cs="Times New Roman" w:eastAsia="Times New Roman" w:hAnsi="Times New Roman"/>
          <w:sz w:val="24"/>
          <w:szCs w:val="24"/>
        </w:rPr>
        <w:t xml:space="preserve"> apply, which is the opposite of the law. Answer 2 correctly listed the Art. 17(3) exceptions: freedom of expression, legal obligation or public task, public health, and archiving.</w:t>
      </w:r>
    </w:p>
    <w:p>
      <w:pPr>
        <w:spacing w:after="120" w:line="276"/>
        <w:jc w:val="both"/>
      </w:pPr>
      <w:r>
        <w:rPr>
          <w:rFonts w:ascii="Times New Roman" w:cs="Times New Roman" w:eastAsia="Times New Roman" w:hAnsi="Times New Roman"/>
          <w:b/>
          <w:bCs/>
          <w:sz w:val="24"/>
          <w:szCs w:val="24"/>
        </w:rPr>
        <w:t xml:space="preserve">Role limit (processor liability).</w:t>
      </w:r>
      <w:r>
        <w:rPr>
          <w:rFonts w:ascii="Times New Roman" w:cs="Times New Roman" w:eastAsia="Times New Roman" w:hAnsi="Times New Roman"/>
          <w:sz w:val="24"/>
          <w:szCs w:val="24"/>
        </w:rPr>
        <w:t xml:space="preserve"> Pipeline 1 retrieved Art. 82(3)-(5) and Recital 146. Its top chunk began mid-sentence in Art. 82(2), after the words "only where it has not complied", so the limiting condition was cut off. Answer 1 said the processor is liable for the entire damage unless it proves it was not responsible, which drops the key limitation. Answer 2 stated that a processor is liable only where it breached processor-specific obligations or acted outside the controller's lawful instructions.</w:t>
      </w:r>
    </w:p>
    <w:p>
      <w:pPr>
        <w:spacing w:after="120" w:line="276"/>
        <w:jc w:val="both"/>
      </w:pPr>
      <w:r>
        <w:rPr>
          <w:rFonts w:ascii="Times New Roman" w:cs="Times New Roman" w:eastAsia="Times New Roman" w:hAnsi="Times New Roman"/>
          <w:b/>
          <w:bCs/>
          <w:sz w:val="24"/>
          <w:szCs w:val="24"/>
        </w:rPr>
        <w:t xml:space="preserve">Buried chunk (restriction of processing).</w:t>
      </w:r>
      <w:r>
        <w:rPr>
          <w:rFonts w:ascii="Times New Roman" w:cs="Times New Roman" w:eastAsia="Times New Roman" w:hAnsi="Times New Roman"/>
          <w:sz w:val="24"/>
          <w:szCs w:val="24"/>
        </w:rPr>
        <w:t xml:space="preserve"> Without Art. 18(1), Answer 1 built its answer from an Art. 9(2) chunk on special-category data and listed "explicit consent" and "employment law" as grounds for restriction. This is a hallucination caused by an irrelevant chunk. Answer 2 listed the four correct Art. 18(1) grounds.</w:t>
      </w:r>
    </w:p>
    <w:p>
      <w:pPr>
        <w:spacing w:after="120" w:line="276"/>
        <w:jc w:val="both"/>
      </w:pPr>
      <w:r>
        <w:rPr>
          <w:rFonts w:ascii="Times New Roman" w:cs="Times New Roman" w:eastAsia="Times New Roman" w:hAnsi="Times New Roman"/>
          <w:b/>
          <w:bCs/>
          <w:sz w:val="24"/>
          <w:szCs w:val="24"/>
        </w:rPr>
        <w:t xml:space="preserve">Buried chunk (international transfers).</w:t>
      </w:r>
      <w:r>
        <w:rPr>
          <w:rFonts w:ascii="Times New Roman" w:cs="Times New Roman" w:eastAsia="Times New Roman" w:hAnsi="Times New Roman"/>
          <w:sz w:val="24"/>
          <w:szCs w:val="24"/>
        </w:rPr>
        <w:t xml:space="preserve"> Answer 1 found no mention of the public-interest ground and fell back on the "compelling legitimate interests" derogation. Answer 2 confirmed the transfer is allowed and gave the Recital 112 examples (competition, tax and customs authorities, social security, public health).</w:t>
      </w:r>
    </w:p>
    <w:p>
      <w:pPr>
        <w:spacing w:after="120" w:line="276"/>
        <w:jc w:val="both"/>
      </w:pPr>
      <w:r>
        <w:rPr>
          <w:rFonts w:ascii="Times New Roman" w:cs="Times New Roman" w:eastAsia="Times New Roman" w:hAnsi="Times New Roman"/>
          <w:b/>
          <w:bCs/>
          <w:sz w:val="24"/>
          <w:szCs w:val="24"/>
        </w:rPr>
        <w:t xml:space="preserve">Negation (profiling).</w:t>
      </w:r>
      <w:r>
        <w:rPr>
          <w:rFonts w:ascii="Times New Roman" w:cs="Times New Roman" w:eastAsia="Times New Roman" w:hAnsi="Times New Roman"/>
          <w:sz w:val="24"/>
          <w:szCs w:val="24"/>
        </w:rPr>
        <w:t xml:space="preserve"> Re-ranking moved Art. 22 to rank 2, but both answers paraphrased Recital 72 ("allowed only under specific conditions") and neither mentioned the right not to be subject to solely automated decisions. Here the retrieval improved but the answer did not, so the 3B model is the bottleneck. Better retrieval is necessary but not sufficient.</w:t>
      </w:r>
    </w:p>
    <w:p>
      <w:pPr>
        <w:pStyle w:val="Heading2"/>
        <w:spacing w:after="80" w:before="180"/>
      </w:pPr>
      <w:r>
        <w:rPr>
          <w:rFonts w:ascii="Times New Roman" w:cs="Times New Roman" w:eastAsia="Times New Roman" w:hAnsi="Times New Roman"/>
          <w:b/>
          <w:bCs/>
          <w:color w:val="000000"/>
          <w:sz w:val="24"/>
          <w:szCs w:val="24"/>
        </w:rPr>
        <w:t xml:space="preserve">3.3 Control cases</w:t>
      </w:r>
    </w:p>
    <w:p>
      <w:pPr>
        <w:spacing w:after="120" w:line="276"/>
        <w:jc w:val="both"/>
      </w:pPr>
      <w:r>
        <w:rPr>
          <w:rFonts w:ascii="Times New Roman" w:cs="Times New Roman" w:eastAsia="Times New Roman" w:hAnsi="Times New Roman"/>
          <w:sz w:val="24"/>
          <w:szCs w:val="24"/>
        </w:rPr>
        <w:t xml:space="preserve">For the easy query (child consent age) both pipelines put Art. 8(1) at rank 1 and gave the same correct answer (16, Member States may lower it to no less than 13), so re-ranking did not break a case that already worked. For the recall-ceiling query, the Art. 22(4) restriction on special categories was at bi-encoder rank 217. Neither pipeline could surface it, and both answers omitted that condition. A re-ranker can only re-order what stage 1 retrieves, so first-stage recall limits final precision.</w:t>
      </w:r>
    </w:p>
    <w:p>
      <w:pPr>
        <w:pStyle w:val="Heading1"/>
        <w:spacing w:after="120" w:before="240"/>
      </w:pPr>
      <w:r>
        <w:rPr>
          <w:rFonts w:ascii="Times New Roman" w:cs="Times New Roman" w:eastAsia="Times New Roman" w:hAnsi="Times New Roman"/>
          <w:b/>
          <w:bCs/>
          <w:color w:val="000000"/>
          <w:sz w:val="28"/>
          <w:szCs w:val="28"/>
        </w:rPr>
        <w:t xml:space="preserve">4. Latency Profiling</w:t>
      </w:r>
    </w:p>
    <w:p>
      <w:pPr>
        <w:spacing w:after="120" w:line="276"/>
        <w:jc w:val="both"/>
      </w:pPr>
      <w:r>
        <w:rPr>
          <w:rFonts w:ascii="Times New Roman" w:cs="Times New Roman" w:eastAsia="Times New Roman" w:hAnsi="Times New Roman"/>
          <w:sz w:val="24"/>
          <w:szCs w:val="24"/>
        </w:rPr>
        <w:t xml:space="preserve">Timings were measured on an Apple Silicon laptop (MPS) after warm-up, over 8 queries × 20 repeats for retrieval and 4 generations for the LLM. Index construction (611 chunks, 1.64 s) is a one-off cost and is excluded.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26"/>
        <w:gridCol w:w="1400"/>
        <w:gridCol w:w="1400"/>
        <w:gridCol w:w="1400"/>
      </w:tblGrid>
      <w:tr>
        <w:trPr>
          <w:tblHeader/>
        </w:trPr>
        <w:tc>
          <w:tcPr>
            <w:tcW w:type="dxa" w:w="4826"/>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bCs/>
                <w:sz w:val="20"/>
                <w:szCs w:val="20"/>
              </w:rPr>
              <w:t xml:space="preserve">Stage</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bCs/>
                <w:sz w:val="20"/>
                <w:szCs w:val="20"/>
              </w:rPr>
              <w:t xml:space="preserve">Mean (ms)</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bCs/>
                <w:sz w:val="20"/>
                <w:szCs w:val="20"/>
              </w:rPr>
              <w:t xml:space="preserve">Median (ms)</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bCs/>
                <w:sz w:val="20"/>
                <w:szCs w:val="20"/>
              </w:rPr>
              <w:t xml:space="preserve">p95 (ms)</w:t>
            </w:r>
          </w:p>
        </w:tc>
      </w:tr>
      <w:tr>
        <w:tc>
          <w:tcPr>
            <w:tcW w:type="dxa" w:w="4826"/>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P1 retrieval: query embedding + FAISS Top-10</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8.30</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7.43</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10.24</w:t>
            </w:r>
          </w:p>
        </w:tc>
      </w:tr>
      <w:tr>
        <w:tc>
          <w:tcPr>
            <w:tcW w:type="dxa" w:w="4826"/>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Cross-encoder scoring of 10 pairs</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53.42</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52.82</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81.03</w:t>
            </w:r>
          </w:p>
        </w:tc>
      </w:tr>
      <w:tr>
        <w:tc>
          <w:tcPr>
            <w:tcW w:type="dxa" w:w="4826"/>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P2 retrieval: bi-encoder + cross-encoder</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58.88</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57.60</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68.17</w:t>
            </w:r>
          </w:p>
        </w:tc>
      </w:tr>
      <w:tr>
        <w:tc>
          <w:tcPr>
            <w:tcW w:type="dxa" w:w="4826"/>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LLM generation (Qwen2.5-3B), either pipeline</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9678.41</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9569.57</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10855.15</w:t>
            </w:r>
          </w:p>
        </w:tc>
      </w:tr>
    </w:tbl>
    <w:p>
      <w:pPr>
        <w:spacing w:after="200" w:before="60"/>
        <w:jc w:val="center"/>
      </w:pPr>
      <w:r>
        <w:rPr>
          <w:rFonts w:ascii="Times New Roman" w:cs="Times New Roman" w:eastAsia="Times New Roman" w:hAnsi="Times New Roman"/>
          <w:sz w:val="22"/>
          <w:szCs w:val="22"/>
        </w:rPr>
        <w:t xml:space="preserve">Table 2: Per-query latency by stage.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26"/>
        <w:gridCol w:w="2100"/>
        <w:gridCol w:w="2100"/>
      </w:tblGrid>
      <w:tr>
        <w:trPr>
          <w:tblHeader/>
        </w:trPr>
        <w:tc>
          <w:tcPr>
            <w:tcW w:type="dxa" w:w="4826"/>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bCs/>
                <w:sz w:val="20"/>
                <w:szCs w:val="20"/>
              </w:rPr>
              <w:t xml:space="preserve">Pipeline</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bCs/>
                <w:sz w:val="20"/>
                <w:szCs w:val="20"/>
              </w:rPr>
              <w:t xml:space="preserve">Mean end-to-end (ms)</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bCs/>
                <w:sz w:val="20"/>
                <w:szCs w:val="20"/>
              </w:rPr>
              <w:t xml:space="preserve">Overhead vs. P1</w:t>
            </w:r>
          </w:p>
        </w:tc>
      </w:tr>
      <w:tr>
        <w:tc>
          <w:tcPr>
            <w:tcW w:type="dxa" w:w="4826"/>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P1 baseline (retrieval + LLM)</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9686.7</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w:t>
            </w:r>
          </w:p>
        </w:tc>
      </w:tr>
      <w:tr>
        <w:tc>
          <w:tcPr>
            <w:tcW w:type="dxa" w:w="4826"/>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P2 re-rank (retrieval + re-rank + LLM)</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9737.3</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+0.5%</w:t>
            </w:r>
          </w:p>
        </w:tc>
      </w:tr>
    </w:tbl>
    <w:p>
      <w:pPr>
        <w:spacing w:after="200" w:before="60"/>
        <w:jc w:val="center"/>
      </w:pPr>
      <w:r>
        <w:rPr>
          <w:rFonts w:ascii="Times New Roman" w:cs="Times New Roman" w:eastAsia="Times New Roman" w:hAnsi="Times New Roman"/>
          <w:sz w:val="22"/>
          <w:szCs w:val="22"/>
        </w:rPr>
        <w:t xml:space="preserve">Table 3: End-to-end latency.</w:t>
      </w:r>
    </w:p>
    <w:p>
      <w:pPr>
        <w:spacing w:after="120" w:line="276"/>
        <w:jc w:val="both"/>
      </w:pPr>
      <w:r>
        <w:rPr>
          <w:rFonts w:ascii="Times New Roman" w:cs="Times New Roman" w:eastAsia="Times New Roman" w:hAnsi="Times New Roman"/>
          <w:sz w:val="24"/>
          <w:szCs w:val="24"/>
        </w:rPr>
        <w:t xml:space="preserve">Retrieval alone is about 7.1× slower with re-ranking (58.9 ms vs. 8.3 ms), but the extra ~50 ms is small compared with LLM generation. End to end, re-ranking adds about 0.5%.</w:t>
      </w:r>
    </w:p>
    <w:p>
      <w:pPr>
        <w:pStyle w:val="Heading1"/>
        <w:spacing w:after="120" w:before="240"/>
      </w:pPr>
      <w:r>
        <w:rPr>
          <w:rFonts w:ascii="Times New Roman" w:cs="Times New Roman" w:eastAsia="Times New Roman" w:hAnsi="Times New Roman"/>
          <w:b/>
          <w:bCs/>
          <w:color w:val="000000"/>
          <w:sz w:val="28"/>
          <w:szCs w:val="28"/>
        </w:rPr>
        <w:t xml:space="preserve">5. Scaling Question</w:t>
      </w:r>
    </w:p>
    <w:p>
      <w:pPr>
        <w:spacing w:after="120" w:line="276"/>
        <w:jc w:val="both"/>
      </w:pPr>
      <w:r>
        <w:rPr>
          <w:rFonts w:ascii="Times New Roman" w:cs="Times New Roman" w:eastAsia="Times New Roman" w:hAnsi="Times New Roman"/>
          <w:sz w:val="24"/>
          <w:szCs w:val="24"/>
        </w:rPr>
        <w:t xml:space="preserve">A cross-encoder cannot precompute anything because its score depends on the query and chunk together. Scoring a whole collection therefore needs N transformer forward passes per query, i.e. cost grows linearly with corpus size for every query. A bi-encoder pays the N passes once at indexing time, and each query then needs one encoder pass plus a vector search, which an ANN index (HNSW, IVF) performs in sub-linear time.</w:t>
      </w:r>
    </w:p>
    <w:p>
      <w:pPr>
        <w:spacing w:after="120" w:line="276"/>
        <w:jc w:val="both"/>
      </w:pPr>
      <w:r>
        <w:rPr>
          <w:rFonts w:ascii="Times New Roman" w:cs="Times New Roman" w:eastAsia="Times New Roman" w:hAnsi="Times New Roman"/>
          <w:sz w:val="24"/>
          <w:szCs w:val="24"/>
        </w:rPr>
        <w:t xml:space="preserve">I measured this directly. Cross-encoding all 611 chunks for one query took 4,359 ms (7.13 ms per pair), compared with 53 ms for the 10 re-ranked pairs. A linear extrapolation is shown in Table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163"/>
        <w:gridCol w:w="3163"/>
      </w:tblGrid>
      <w:tr>
        <w:trPr>
          <w:tblHeader/>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bCs/>
                <w:sz w:val="20"/>
                <w:szCs w:val="20"/>
              </w:rPr>
              <w:t xml:space="preserve">Corpus size (chunks)</w:t>
            </w:r>
          </w:p>
        </w:tc>
        <w:tc>
          <w:tcPr>
            <w:tcW w:type="dxa" w:w="3163"/>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bCs/>
                <w:sz w:val="20"/>
                <w:szCs w:val="20"/>
              </w:rPr>
              <w:t xml:space="preserve">Cross-encoder full scan per query</w:t>
            </w:r>
          </w:p>
        </w:tc>
        <w:tc>
          <w:tcPr>
            <w:tcW w:type="dxa" w:w="3163"/>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bCs/>
                <w:sz w:val="20"/>
                <w:szCs w:val="20"/>
              </w:rPr>
              <w:t xml:space="preserve">Bi-encoder + re-rank Top-10 per query</w:t>
            </w:r>
          </w:p>
        </w:tc>
      </w:tr>
      <w:t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611</w:t>
            </w:r>
          </w:p>
        </w:tc>
        <w:tc>
          <w:tcPr>
            <w:tcW w:type="dxa" w:w="3163"/>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4.4 s</w:t>
            </w:r>
          </w:p>
        </w:tc>
        <w:tc>
          <w:tcPr>
            <w:tcW w:type="dxa" w:w="3163"/>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~59 ms</w:t>
            </w:r>
          </w:p>
        </w:tc>
      </w:tr>
      <w:t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10,000</w:t>
            </w:r>
          </w:p>
        </w:tc>
        <w:tc>
          <w:tcPr>
            <w:tcW w:type="dxa" w:w="3163"/>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71.3 s</w:t>
            </w:r>
          </w:p>
        </w:tc>
        <w:tc>
          <w:tcPr>
            <w:tcW w:type="dxa" w:w="3163"/>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~59 ms</w:t>
            </w:r>
          </w:p>
        </w:tc>
      </w:tr>
      <w:t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1,000,000</w:t>
            </w:r>
          </w:p>
        </w:tc>
        <w:tc>
          <w:tcPr>
            <w:tcW w:type="dxa" w:w="3163"/>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7,134 s (~2 h)</w:t>
            </w:r>
          </w:p>
        </w:tc>
        <w:tc>
          <w:tcPr>
            <w:tcW w:type="dxa" w:w="3163"/>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~59 ms (with ANN index)</w:t>
            </w:r>
          </w:p>
        </w:tc>
      </w:tr>
      <w:t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100,000,000</w:t>
            </w:r>
          </w:p>
        </w:tc>
        <w:tc>
          <w:tcPr>
            <w:tcW w:type="dxa" w:w="3163"/>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713,443 s (~8 days)</w:t>
            </w:r>
          </w:p>
        </w:tc>
        <w:tc>
          <w:tcPr>
            <w:tcW w:type="dxa" w:w="3163"/>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~59 ms (with ANN index)</w:t>
            </w:r>
          </w:p>
        </w:tc>
      </w:tr>
    </w:tbl>
    <w:p>
      <w:pPr>
        <w:spacing w:after="200" w:before="60"/>
        <w:jc w:val="center"/>
      </w:pPr>
      <w:r>
        <w:rPr>
          <w:rFonts w:ascii="Times New Roman" w:cs="Times New Roman" w:eastAsia="Times New Roman" w:hAnsi="Times New Roman"/>
          <w:sz w:val="22"/>
          <w:szCs w:val="22"/>
        </w:rPr>
        <w:t xml:space="preserve">Table 4: Measured (first row) and extrapolated cost of cross-encoding the whole corpus.</w:t>
      </w:r>
    </w:p>
    <w:p>
      <w:pPr>
        <w:spacing w:after="120" w:line="276"/>
        <w:jc w:val="both"/>
      </w:pPr>
      <w:r>
        <w:rPr>
          <w:rFonts w:ascii="Times New Roman" w:cs="Times New Roman" w:eastAsia="Times New Roman" w:hAnsi="Times New Roman"/>
          <w:sz w:val="24"/>
          <w:szCs w:val="24"/>
        </w:rPr>
        <w:t xml:space="preserve">On this small document the full scan does work: the critical chunk for the fine query was ranked #1. But even here it is too slow for an interactive system, and at realistic collection sizes it is not feasible. The two-stage design uses the cheap bi-encoder for recall (narrowing N chunks to k = 10) and spends the expensive joint attention only on those k candidates, so cost stays at O(k) cross-encoder passes regardless of N. The trade-off, as Section 3.3 shows, is that anything stage 1 misses cannot be recovered by stage 2.</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2026-10-19T04:32:55.855Z</dcterms:created>
  <dcterms:modified xsi:type="dcterms:W3CDTF">2026-10-19T04:32:55.862Z</dcterms:modified>
</cp:coreProperties>
</file>

<file path=docProps/custom.xml><?xml version="1.0" encoding="utf-8"?>
<Properties xmlns="http://schemas.openxmlformats.org/officeDocument/2006/custom-properties" xmlns:vt="http://schemas.openxmlformats.org/officeDocument/2006/docPropsVTypes"/>
</file>