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Durante el desarrollo del proyecto se realizaron ajustes al enfoque inicialmente planteado. En una primera etapa se consideró que el equipo desarrollaría TryAI Gap desde cero; sin embargo, posteriormente se aclaró que el trabajo debía realizarse sobre una solución ya existente. A partir de esto, el proyecto se orientó a revisar, estabilizar, mejorar y completar las funcionalidades disponibles.</w:t>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Hasta el momento se ha trabajado en la revisión general de la aplicación, corrección de errores y validación de la integración entre frontend, backend y base de datos. También se realizaron pruebas sobre autenticación, persistencia de información, funcionamiento del diagnóstico y aislamiento de datos entre organizaciones.</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Se ajustó el objetivo general del proyecto para enfocarlo en mejorar, completar y validar la plataforma TryAI Gap existente, corrigiendo errores, fortaleciendo funcionalidades e integrando los componentes pendientes. Como objetivos específicos se considera validar las funciones actuales, completar desarrollos pendientes, mejorar seguridad y persistencia, implementar resultados y ejecutar pruebas funcionales y de integración.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mantiene una metodología ágil basada en Scrum, adaptada al desarrollo incremental del proyecto y al seguimiento mediante tareas técnicas. A diferencia de la planificación inicial, el trabajo se orienta actualmente a analizar y mejorar una plataforma existente, priorizando la revisión de funcionalidades, corrección de errores, integración de componentes pendientes y validación continua mediante pruebas. Las actividades se organizan por hitos y se gestionan mediante Carta Gantt, CoreStream, control de versiones en GitHub y revisiones periódicas del avance, permitiendo ajustar prioridades y responsabilidades de acuerdo con las necesidades detectadas durante el desarrollo.</w:t>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color w:val="1f3864"/>
                <w:rtl w:val="0"/>
              </w:rPr>
              <w:t xml:space="preserve">Evidencias de avance </w:t>
            </w:r>
            <w:r w:rsidDel="00000000" w:rsidR="00000000" w:rsidRPr="00000000">
              <w:rPr>
                <w:rtl w:val="0"/>
              </w:rPr>
            </w:r>
          </w:p>
        </w:tc>
        <w:tc>
          <w:tcPr>
            <w:vAlign w:val="center"/>
          </w:tcPr>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Como evidencias de avance se presentarán la Carta Gantt actualizada, el tablero de trabajo en CoreStream, la aplicación desplegada y registros de las pruebas realizadas durante el desarrollo. Estas evidencias permiten demostrar tanto la reorganización del proyecto como el avance técnico alcanzado, incluyendo correcciones de errores, validación de funcionalidades existentes, integración entre frontend, backend y base de datos, y mejoras incorporadas durante el segundo hito.</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También se considerarán como evidencia los cambios realizados sobre la interfaz, el rebranding de la aplicación, la validación de persistencia de datos y las pruebas de aislamiento entre organizaciones. La calidad del proyecto se ha resguardado mediante revisión continua de funcionalidades, pruebas funcionales, control de versiones en GitHub y seguimiento de actividades mediante la Carta Gantt y CoreStream.</w:t>
            </w:r>
          </w:p>
          <w:p w:rsidR="00000000" w:rsidDel="00000000" w:rsidP="00000000" w:rsidRDefault="00000000" w:rsidRPr="00000000" w14:paraId="00000017">
            <w:pPr>
              <w:spacing w:after="240" w:before="240" w:lineRule="auto"/>
              <w:jc w:val="both"/>
              <w:rPr>
                <w:sz w:val="20"/>
                <w:szCs w:val="20"/>
              </w:rPr>
            </w:pPr>
            <w:r w:rsidDel="00000000" w:rsidR="00000000" w:rsidRPr="00000000">
              <w:rPr>
                <w:rtl w:val="0"/>
              </w:rPr>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719" w:tblpY="0"/>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sdt>
      <w:sdtPr>
        <w:lock w:val="contentLocked"/>
        <w:id w:val="197675608"/>
        <w:tag w:val="goog_rdk_0"/>
      </w:sdtPr>
      <w:sdtContent>
        <w:tbl>
          <w:tblPr>
            <w:tblStyle w:val="Table4"/>
            <w:tblW w:w="1153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650"/>
            <w:gridCol w:w="1305"/>
            <w:gridCol w:w="1125"/>
            <w:gridCol w:w="1170"/>
            <w:gridCol w:w="1590"/>
            <w:gridCol w:w="1170"/>
            <w:gridCol w:w="1725"/>
            <w:tblGridChange w:id="0">
              <w:tblGrid>
                <w:gridCol w:w="1800"/>
                <w:gridCol w:w="1650"/>
                <w:gridCol w:w="1305"/>
                <w:gridCol w:w="1125"/>
                <w:gridCol w:w="1170"/>
                <w:gridCol w:w="1590"/>
                <w:gridCol w:w="1170"/>
                <w:gridCol w:w="1725"/>
              </w:tblGrid>
            </w:tblGridChange>
          </w:tblGrid>
          <w:tr>
            <w:trPr>
              <w:cantSplit w:val="0"/>
              <w:trHeight w:val="382.9687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Plan de Trabajo</w:t>
                </w:r>
                <w:r w:rsidDel="00000000" w:rsidR="00000000" w:rsidRPr="00000000">
                  <w:rPr>
                    <w:color w:val="595959"/>
                    <w:sz w:val="24"/>
                    <w:szCs w:val="24"/>
                    <w:rtl w:val="0"/>
                  </w:rPr>
                  <w:t xml:space="preserve"> </w:t>
                </w:r>
              </w:p>
            </w:tc>
          </w:tr>
          <w:tr>
            <w:trPr>
              <w:cantSplit w:val="0"/>
              <w:trHeight w:val="759.179687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color w:val="595959"/>
                    <w:sz w:val="24"/>
                    <w:szCs w:val="24"/>
                  </w:rPr>
                </w:pPr>
                <w:r w:rsidDel="00000000" w:rsidR="00000000" w:rsidRPr="00000000">
                  <w:rPr>
                    <w:color w:val="1f3864"/>
                    <w:sz w:val="18"/>
                    <w:szCs w:val="18"/>
                    <w:rtl w:val="0"/>
                  </w:rPr>
                  <w:t xml:space="preserve">Competencia o unidades de competencias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color w:val="595959"/>
                    <w:sz w:val="24"/>
                    <w:szCs w:val="24"/>
                  </w:rPr>
                </w:pPr>
                <w:r w:rsidDel="00000000" w:rsidR="00000000" w:rsidRPr="00000000">
                  <w:rPr>
                    <w:color w:val="1f3864"/>
                    <w:sz w:val="18"/>
                    <w:szCs w:val="18"/>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color w:val="595959"/>
                    <w:sz w:val="24"/>
                    <w:szCs w:val="24"/>
                  </w:rPr>
                </w:pPr>
                <w:r w:rsidDel="00000000" w:rsidR="00000000" w:rsidRPr="00000000">
                  <w:rPr>
                    <w:color w:val="1f3864"/>
                    <w:sz w:val="18"/>
                    <w:szCs w:val="18"/>
                    <w:rtl w:val="0"/>
                  </w:rPr>
                  <w:t xml:space="preserve">Recursos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color w:val="595959"/>
                    <w:sz w:val="24"/>
                    <w:szCs w:val="24"/>
                  </w:rPr>
                </w:pPr>
                <w:r w:rsidDel="00000000" w:rsidR="00000000" w:rsidRPr="00000000">
                  <w:rPr>
                    <w:color w:val="1f3864"/>
                    <w:sz w:val="18"/>
                    <w:szCs w:val="18"/>
                    <w:rtl w:val="0"/>
                  </w:rPr>
                  <w:t xml:space="preserve">Duración de la actividad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595959"/>
                    <w:sz w:val="24"/>
                    <w:szCs w:val="24"/>
                    <w:rtl w:val="0"/>
                  </w:rPr>
                  <w:t xml:space="preserve">R</w:t>
                </w:r>
                <w:r w:rsidDel="00000000" w:rsidR="00000000" w:rsidRPr="00000000">
                  <w:rPr>
                    <w:color w:val="1f3864"/>
                    <w:sz w:val="18"/>
                    <w:szCs w:val="18"/>
                    <w:rtl w:val="0"/>
                  </w:rPr>
                  <w:t xml:space="preserve">esponsable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color w:val="595959"/>
                    <w:sz w:val="24"/>
                    <w:szCs w:val="24"/>
                  </w:rPr>
                </w:pPr>
                <w:r w:rsidDel="00000000" w:rsidR="00000000" w:rsidRPr="00000000">
                  <w:rPr>
                    <w:color w:val="1f3864"/>
                    <w:sz w:val="18"/>
                    <w:szCs w:val="18"/>
                    <w:rtl w:val="0"/>
                  </w:rPr>
                  <w:t xml:space="preserve">Observaciones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color w:val="595959"/>
                    <w:sz w:val="24"/>
                    <w:szCs w:val="24"/>
                  </w:rPr>
                </w:pPr>
                <w:r w:rsidDel="00000000" w:rsidR="00000000" w:rsidRPr="00000000">
                  <w:rPr>
                    <w:color w:val="1f3864"/>
                    <w:sz w:val="18"/>
                    <w:szCs w:val="18"/>
                    <w:rtl w:val="0"/>
                  </w:rPr>
                  <w:t xml:space="preserve">Estado de avance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color w:val="595959"/>
                    <w:sz w:val="24"/>
                    <w:szCs w:val="24"/>
                  </w:rPr>
                </w:pPr>
                <w:r w:rsidDel="00000000" w:rsidR="00000000" w:rsidRPr="00000000">
                  <w:rPr>
                    <w:color w:val="1f3864"/>
                    <w:sz w:val="18"/>
                    <w:szCs w:val="18"/>
                    <w:rtl w:val="0"/>
                  </w:rPr>
                  <w:t xml:space="preserve">Ajustes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Gestión de proyecto/requisitos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Revisión del alcance y reorganización del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Documento de requerimientos, Carta Gantt, CoreStream, reuniones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detectó que la solución ya existía y no debía desarrollarse completamente desde cero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reformuló el alcance y se reorganizaron las actividades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rFonts w:ascii="Arial" w:cs="Arial" w:eastAsia="Arial" w:hAnsi="Arial"/>
                    <w:sz w:val="13"/>
                    <w:szCs w:val="13"/>
                    <w:rtl w:val="0"/>
                  </w:rPr>
                  <w:t xml:space="preserve">Ingeniería de requisitos / Software</w:t>
                </w:r>
                <w:r w:rsidDel="00000000" w:rsidR="00000000" w:rsidRPr="00000000">
                  <w:rPr>
                    <w:sz w:val="15"/>
                    <w:szCs w:val="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Revisión de arquitectura, modelo de datos e integración existente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FastAPI, PostgreSQL, documentación, repositorio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center"/>
                  <w:rPr>
                    <w:sz w:val="15"/>
                    <w:szCs w:val="15"/>
                  </w:rPr>
                </w:pPr>
                <w:r w:rsidDel="00000000" w:rsidR="00000000" w:rsidRPr="00000000">
                  <w:rPr>
                    <w:sz w:val="15"/>
                    <w:szCs w:val="15"/>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Equipos backend /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trabajó sobre una arquitectura ya implementada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reemplazó el diseño inicial por revisión, validación y corrección de componentes existentes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rFonts w:ascii="Arial" w:cs="Arial" w:eastAsia="Arial" w:hAnsi="Arial"/>
                    <w:sz w:val="13"/>
                    <w:szCs w:val="13"/>
                    <w:rtl w:val="0"/>
                  </w:rPr>
                  <w:t xml:space="preserve">Diseño de software / UX</w:t>
                </w:r>
                <w:r w:rsidDel="00000000" w:rsidR="00000000" w:rsidRPr="00000000">
                  <w:rPr>
                    <w:sz w:val="15"/>
                    <w:szCs w:val="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Mejora de interfaz y rebranding de la aplicación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React, Vite, recursos visuales, estilos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center"/>
                  <w:rPr>
                    <w:sz w:val="15"/>
                    <w:szCs w:val="15"/>
                  </w:rPr>
                </w:pPr>
                <w:r w:rsidDel="00000000" w:rsidR="00000000" w:rsidRPr="00000000">
                  <w:rPr>
                    <w:sz w:val="15"/>
                    <w:szCs w:val="15"/>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Vicente Cerda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está adaptando la aplicación a la identidad visual de Klertech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En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El prototipado inicial fue reemplazado por ajustes sobre la interfaz existente </w:t>
                </w:r>
              </w:p>
            </w:tc>
          </w:tr>
          <w:tr>
            <w:trPr>
              <w:cantSplit w:val="0"/>
              <w:trHeight w:val="156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Desarrollo de software /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Mejora de autenticación y gestión de organizaciones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FastAPI, React, JWT, 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center"/>
                  <w:rPr>
                    <w:sz w:val="15"/>
                    <w:szCs w:val="15"/>
                  </w:rPr>
                </w:pPr>
                <w:r w:rsidDel="00000000" w:rsidR="00000000" w:rsidRPr="00000000">
                  <w:rPr>
                    <w:sz w:val="15"/>
                    <w:szCs w:val="15"/>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Equipo APP / coordinación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Parte del flujo depende de acuerdos con el equipo de 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Con retraso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incorporó contraseña, recuperación y 2FA como mejoras pendientes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Bases de datos /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Validación y mejora del módulo de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sz w:val="15"/>
                    <w:szCs w:val="15"/>
                  </w:rPr>
                </w:pPr>
                <w:r w:rsidDel="00000000" w:rsidR="00000000" w:rsidRPr="00000000">
                  <w:rPr>
                    <w:sz w:val="15"/>
                    <w:szCs w:val="15"/>
                    <w:rtl w:val="0"/>
                  </w:rPr>
                  <w:t xml:space="preserve">FastAPI, PostgreSQL,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sz w:val="15"/>
                    <w:szCs w:val="15"/>
                  </w:rPr>
                </w:pPr>
                <w:r w:rsidDel="00000000" w:rsidR="00000000" w:rsidRPr="00000000">
                  <w:rPr>
                    <w:sz w:val="15"/>
                    <w:szCs w:val="15"/>
                    <w:rtl w:val="0"/>
                  </w:rPr>
                  <w:t xml:space="preserve">Durante el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sz w:val="15"/>
                    <w:szCs w:val="15"/>
                  </w:rPr>
                </w:pPr>
                <w:r w:rsidDel="00000000" w:rsidR="00000000" w:rsidRPr="00000000">
                  <w:rPr>
                    <w:sz w:val="15"/>
                    <w:szCs w:val="15"/>
                    <w:rtl w:val="0"/>
                  </w:rPr>
                  <w:t xml:space="preserve">Equipo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sz w:val="15"/>
                    <w:szCs w:val="15"/>
                  </w:rPr>
                </w:pPr>
                <w:r w:rsidDel="00000000" w:rsidR="00000000" w:rsidRPr="00000000">
                  <w:rPr>
                    <w:sz w:val="15"/>
                    <w:szCs w:val="15"/>
                    <w:rtl w:val="0"/>
                  </w:rPr>
                  <w:t xml:space="preserve">El módulo ya existía y se revisó su funcionamiento, persistencia y reglas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sz w:val="15"/>
                    <w:szCs w:val="15"/>
                  </w:rPr>
                </w:pPr>
                <w:r w:rsidDel="00000000" w:rsidR="00000000" w:rsidRPr="00000000">
                  <w:rPr>
                    <w:sz w:val="15"/>
                    <w:szCs w:val="15"/>
                    <w:rtl w:val="0"/>
                  </w:rPr>
                  <w:t xml:space="preserve">En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sz w:val="15"/>
                    <w:szCs w:val="15"/>
                  </w:rPr>
                </w:pPr>
                <w:r w:rsidDel="00000000" w:rsidR="00000000" w:rsidRPr="00000000">
                  <w:rPr>
                    <w:sz w:val="15"/>
                    <w:szCs w:val="15"/>
                    <w:rtl w:val="0"/>
                  </w:rPr>
                  <w:t xml:space="preserve">La actividad cambió desde implementación completa a validación, corrección y mejora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Desarrollo de software /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Implementación y corrección de resultados y dashboards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Python, SQL, librerías de gráficos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sz w:val="15"/>
                    <w:szCs w:val="15"/>
                  </w:rPr>
                </w:pPr>
                <w:r w:rsidDel="00000000" w:rsidR="00000000" w:rsidRPr="00000000">
                  <w:rPr>
                    <w:sz w:val="15"/>
                    <w:szCs w:val="15"/>
                    <w:rtl w:val="0"/>
                  </w:rPr>
                  <w:t xml:space="preserve">2–3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Equipo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Parte de los resultados aún utiliza lógica incompleta o datos no definitivos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No iniciado / En curso según 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mantuvo la actividad, pero orientada a completar y conectar resultados reales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Calidad /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Pruebas funcionales, integración y aislamiento multitenant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Pruebas manuales, backend, base de datos, checklist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sz w:val="15"/>
                    <w:szCs w:val="15"/>
                  </w:rPr>
                </w:pPr>
                <w:r w:rsidDel="00000000" w:rsidR="00000000" w:rsidRPr="00000000">
                  <w:rPr>
                    <w:sz w:val="15"/>
                    <w:szCs w:val="15"/>
                    <w:rtl w:val="0"/>
                  </w:rPr>
                  <w:t xml:space="preserve">Durante todo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Andrew /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Las pruebas comenzaron antes de lo planificado para estabilizar la aplicación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center"/>
                  <w:rPr>
                    <w:sz w:val="15"/>
                    <w:szCs w:val="15"/>
                  </w:rPr>
                </w:pPr>
                <w:r w:rsidDel="00000000" w:rsidR="00000000" w:rsidRPr="00000000">
                  <w:rPr>
                    <w:sz w:val="15"/>
                    <w:szCs w:val="15"/>
                    <w:rtl w:val="0"/>
                  </w:rPr>
                  <w:t xml:space="preserve">En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Testing pasó a realizarse de forma continua y no solo al final de Fase 2 </w:t>
                </w:r>
              </w:p>
            </w:tc>
          </w:tr>
          <w:tr>
            <w:trPr>
              <w:cantSplit w:val="0"/>
              <w:trHeight w:val="132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Gestión / DevOps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Despliegue y validación de ambientes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Vercel, Render, GitHub,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sz w:val="15"/>
                    <w:szCs w:val="15"/>
                  </w:rPr>
                </w:pPr>
                <w:r w:rsidDel="00000000" w:rsidR="00000000" w:rsidRPr="00000000">
                  <w:rPr>
                    <w:sz w:val="15"/>
                    <w:szCs w:val="15"/>
                    <w:rtl w:val="0"/>
                  </w:rPr>
                  <w:t xml:space="preserve">Durante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Equipo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Frontend y backend ya cuentan con despliegues funcionales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center"/>
                  <w:rPr>
                    <w:sz w:val="15"/>
                    <w:szCs w:val="15"/>
                  </w:rPr>
                </w:pPr>
                <w:r w:rsidDel="00000000" w:rsidR="00000000" w:rsidRPr="00000000">
                  <w:rPr>
                    <w:sz w:val="15"/>
                    <w:szCs w:val="15"/>
                    <w:rtl w:val="0"/>
                  </w:rPr>
                  <w:t xml:space="preserve">En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Parte del despliegue se adelantó; queda pendiente completar infraestructura y Dockerización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Gestión de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Documentación, evidencias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Word, GitHub, CoreStream, Carta Gantt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sz w:val="15"/>
                    <w:szCs w:val="15"/>
                  </w:rPr>
                </w:pPr>
                <w:r w:rsidDel="00000000" w:rsidR="00000000" w:rsidRPr="00000000">
                  <w:rPr>
                    <w:sz w:val="15"/>
                    <w:szCs w:val="15"/>
                    <w:rtl w:val="0"/>
                  </w:rPr>
                  <w:t xml:space="preserve">Durante el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Se documentan avances, ajustes y evidencias a medida que avanza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En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La documentación se mantiene actualizada durante el desarrollo </w:t>
                </w:r>
              </w:p>
            </w:tc>
          </w:tr>
        </w:tbl>
      </w:sdtContent>
    </w:sdt>
    <w:p w:rsidR="00000000" w:rsidDel="00000000" w:rsidP="00000000" w:rsidRDefault="00000000" w:rsidRPr="00000000" w14:paraId="00000075">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3614.49951171875" w:hRule="atLeast"/>
          <w:tblHeader w:val="0"/>
        </w:trPr>
        <w:tc>
          <w:tcPr>
            <w:vAlign w:val="center"/>
          </w:tcPr>
          <w:p w:rsidR="00000000" w:rsidDel="00000000" w:rsidP="00000000" w:rsidRDefault="00000000" w:rsidRPr="00000000" w14:paraId="00000079">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A">
            <w:pPr>
              <w:spacing w:after="240" w:before="240" w:lineRule="auto"/>
              <w:jc w:val="both"/>
              <w:rPr>
                <w:sz w:val="20"/>
                <w:szCs w:val="20"/>
              </w:rPr>
            </w:pPr>
            <w:r w:rsidDel="00000000" w:rsidR="00000000" w:rsidRPr="00000000">
              <w:rPr>
                <w:sz w:val="20"/>
                <w:szCs w:val="20"/>
                <w:rtl w:val="0"/>
              </w:rPr>
              <w:t xml:space="preserve">Uno de los factores que ha facilitado el desarrollo del proyecto ha sido contar con una plataforma previamente implementada, lo que permitió enfocar el trabajo en revisar, corregir y mejorar funcionalidades existentes. También ha sido útil disponer de herramientas como GitHub, Carta Gantt y CoreStream para organizar y dar seguimiento a las actividades.</w:t>
            </w:r>
          </w:p>
          <w:p w:rsidR="00000000" w:rsidDel="00000000" w:rsidP="00000000" w:rsidRDefault="00000000" w:rsidRPr="00000000" w14:paraId="0000007B">
            <w:pPr>
              <w:spacing w:after="240" w:before="240" w:lineRule="auto"/>
              <w:jc w:val="both"/>
              <w:rPr>
                <w:rFonts w:ascii="Calibri" w:cs="Calibri" w:eastAsia="Calibri" w:hAnsi="Calibri"/>
                <w:i w:val="1"/>
                <w:iCs w:val="1"/>
                <w:color w:val="548dd4"/>
                <w:sz w:val="20"/>
                <w:szCs w:val="20"/>
              </w:rPr>
            </w:pPr>
            <w:r w:rsidDel="00000000" w:rsidR="00000000" w:rsidRPr="00000000">
              <w:rPr>
                <w:sz w:val="20"/>
                <w:szCs w:val="20"/>
                <w:rtl w:val="0"/>
              </w:rPr>
              <w:t xml:space="preserve">Entre las principales dificultades se encuentra la coordinación y motivación del equipo, ya que no siempre ha sido posible mantener un ritmo de trabajo uniforme entre los integrantes. También ha sido necesario reorganizar actividades debido al cambio de alcance del proyecto y a la existencia de dependencias con el equipo de Administración. Para enfrentar estas dificultades se ha buscado mejorar la organización, priorizar tareas que puedan desarrollarse de forma independiente y redistribuir aquellas actividades que no tienen suficiente carga de trabajo o que requieren mayor apoyo del equipo.</w:t>
            </w:r>
            <w:r w:rsidDel="00000000" w:rsidR="00000000" w:rsidRPr="00000000">
              <w:rPr>
                <w:rtl w:val="0"/>
              </w:rPr>
            </w:r>
          </w:p>
        </w:tc>
      </w:tr>
    </w:tbl>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D">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E">
            <w:pPr>
              <w:spacing w:after="240" w:before="240" w:lineRule="auto"/>
              <w:jc w:val="both"/>
              <w:rPr>
                <w:sz w:val="20"/>
                <w:szCs w:val="20"/>
              </w:rPr>
            </w:pPr>
            <w:r w:rsidDel="00000000" w:rsidR="00000000" w:rsidRPr="00000000">
              <w:rPr>
                <w:sz w:val="20"/>
                <w:szCs w:val="20"/>
                <w:rtl w:val="0"/>
              </w:rPr>
              <w:t xml:space="preserve">El principal ajuste realizado al plan de trabajo corresponde al cambio de enfoque del proyecto. La planificación inicial consideraba el diseño y desarrollo de TryAI Gap desde cero, pero posteriormente se definió que el equipo debía trabajar sobre una plataforma ya existente. Debido a esto, actividades como arquitectura, modelo de datos, prototipado, autenticación, diagnóstico y despliegue no fueron eliminadas, sino reformuladas hacia la revisión, corrección, integración y mejora de los componentes existentes.</w:t>
            </w:r>
          </w:p>
          <w:p w:rsidR="00000000" w:rsidDel="00000000" w:rsidP="00000000" w:rsidRDefault="00000000" w:rsidRPr="00000000" w14:paraId="0000007F">
            <w:pPr>
              <w:spacing w:after="240" w:before="240" w:lineRule="auto"/>
              <w:jc w:val="both"/>
              <w:rPr>
                <w:rFonts w:ascii="Calibri" w:cs="Calibri" w:eastAsia="Calibri" w:hAnsi="Calibri"/>
                <w:i w:val="1"/>
                <w:iCs w:val="1"/>
                <w:color w:val="548dd4"/>
                <w:sz w:val="20"/>
                <w:szCs w:val="20"/>
              </w:rPr>
            </w:pPr>
            <w:r w:rsidDel="00000000" w:rsidR="00000000" w:rsidRPr="00000000">
              <w:rPr>
                <w:sz w:val="20"/>
                <w:szCs w:val="20"/>
                <w:rtl w:val="0"/>
              </w:rPr>
              <w:t xml:space="preserve">También se incorporaron actividades que no estaban contempladas con el mismo nivel de detalle en la planificación original, como el rebranding de la aplicación, la configuración organizacional, la mejora del sistema de autenticación, la validación de resultados reales y el fortalecimiento de aspectos de seguridad. Estos ajustes permiten adaptar el plan de trabajo al estado real de la solución y priorizar las necesidades detectadas durante su revisión.</w:t>
            </w:r>
            <w:r w:rsidDel="00000000" w:rsidR="00000000" w:rsidRPr="00000000">
              <w:rPr>
                <w:rtl w:val="0"/>
              </w:rPr>
            </w:r>
          </w:p>
        </w:tc>
      </w:tr>
    </w:tbl>
    <w:p w:rsidR="00000000" w:rsidDel="00000000" w:rsidP="00000000" w:rsidRDefault="00000000" w:rsidRPr="00000000" w14:paraId="0000008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855.310058593747" w:hRule="atLeast"/>
          <w:tblHeader w:val="0"/>
        </w:trPr>
        <w:tc>
          <w:tcPr>
            <w:vAlign w:val="center"/>
          </w:tcPr>
          <w:p w:rsidR="00000000" w:rsidDel="00000000" w:rsidP="00000000" w:rsidRDefault="00000000" w:rsidRPr="00000000" w14:paraId="00000082">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3">
            <w:pPr>
              <w:spacing w:after="240" w:before="240" w:lineRule="auto"/>
              <w:jc w:val="both"/>
              <w:rPr>
                <w:sz w:val="20"/>
                <w:szCs w:val="20"/>
              </w:rPr>
            </w:pPr>
            <w:r w:rsidDel="00000000" w:rsidR="00000000" w:rsidRPr="00000000">
              <w:rPr>
                <w:sz w:val="20"/>
                <w:szCs w:val="20"/>
                <w:rtl w:val="0"/>
              </w:rPr>
              <w:t xml:space="preserve">Algunas actividades presentan retrasos o aún no han podido iniciarse debido a dependencias técnicas y de coordinación. El caso principal corresponde a la implementación del nuevo sistema de autenticación con contraseña, recuperación y 2FA, ya que requiere coordinación con el equipo de Administración al utilizar componentes compartidos de backend, base de datos y gestión de usuarios.</w:t>
            </w:r>
          </w:p>
          <w:p w:rsidR="00000000" w:rsidDel="00000000" w:rsidP="00000000" w:rsidRDefault="00000000" w:rsidRPr="00000000" w14:paraId="00000084">
            <w:pPr>
              <w:spacing w:after="240" w:before="240" w:lineRule="auto"/>
              <w:jc w:val="both"/>
              <w:rPr>
                <w:sz w:val="20"/>
                <w:szCs w:val="20"/>
              </w:rPr>
            </w:pPr>
            <w:r w:rsidDel="00000000" w:rsidR="00000000" w:rsidRPr="00000000">
              <w:rPr>
                <w:sz w:val="20"/>
                <w:szCs w:val="20"/>
                <w:rtl w:val="0"/>
              </w:rPr>
              <w:t xml:space="preserve">Para evitar que esta dependencia detenga el avance general del proyecto, se decidió continuar en paralelo con actividades que pueden desarrollarse de forma independiente, como el rebranding, la configuración organizacional, las correcciones funcionales y la preparación de las siguientes mejoras. Esta estrategia permite mantener el avance del proyecto mientras se resuelven los puntos que requieren acuerdos entre ambos equipos.</w:t>
            </w:r>
          </w:p>
          <w:p w:rsidR="00000000" w:rsidDel="00000000" w:rsidP="00000000" w:rsidRDefault="00000000" w:rsidRPr="00000000" w14:paraId="0000008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03309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03309E"/>
    <w:pPr>
      <w:tabs>
        <w:tab w:val="center" w:pos="4419"/>
        <w:tab w:val="right" w:pos="8838"/>
      </w:tabs>
      <w:spacing w:after="0" w:line="240" w:lineRule="auto"/>
    </w:pPr>
  </w:style>
  <w:style w:type="character" w:styleId="FooterChar" w:customStyle="1">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val="1"/>
    <w:unhideWhenUsed w:val="1"/>
    <w:rsid w:val="0003309E"/>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03309E"/>
    <w:rPr>
      <w:sz w:val="20"/>
      <w:szCs w:val="20"/>
      <w:lang w:val="es-ES"/>
    </w:rPr>
  </w:style>
  <w:style w:type="character" w:styleId="FootnoteReference">
    <w:name w:val="footnote reference"/>
    <w:basedOn w:val="DefaultParagraphFont"/>
    <w:unhideWhenUsed w:val="1"/>
    <w:rsid w:val="0003309E"/>
    <w:rPr>
      <w:vertAlign w:val="superscript"/>
    </w:rPr>
  </w:style>
  <w:style w:type="paragraph" w:styleId="Header">
    <w:name w:val="header"/>
    <w:basedOn w:val="Normal"/>
    <w:link w:val="HeaderChar"/>
    <w:uiPriority w:val="99"/>
    <w:unhideWhenUsed w:val="1"/>
    <w:rsid w:val="00586C9C"/>
    <w:pPr>
      <w:tabs>
        <w:tab w:val="center" w:pos="4419"/>
        <w:tab w:val="right" w:pos="8838"/>
      </w:tabs>
      <w:spacing w:after="0" w:line="240" w:lineRule="auto"/>
    </w:pPr>
  </w:style>
  <w:style w:type="character" w:styleId="HeaderChar" w:customStyle="1">
    <w:name w:val="Header Char"/>
    <w:basedOn w:val="DefaultParagraphFont"/>
    <w:link w:val="Header"/>
    <w:uiPriority w:val="99"/>
    <w:rsid w:val="00586C9C"/>
    <w:rPr>
      <w:sz w:val="22"/>
      <w:szCs w:val="22"/>
    </w:rPr>
  </w:style>
  <w:style w:type="table" w:styleId="Tablaconcuadrcula1" w:customStyle="1">
    <w:name w:val="Tabla con cuadrícula1"/>
    <w:basedOn w:val="TableNormal"/>
    <w:next w:val="TableGrid"/>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5122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5122E"/>
    <w:rPr>
      <w:rFonts w:ascii="Segoe UI" w:cs="Segoe UI" w:hAnsi="Segoe UI"/>
      <w:sz w:val="18"/>
      <w:szCs w:val="18"/>
    </w:rPr>
  </w:style>
  <w:style w:type="character" w:styleId="CommentReference">
    <w:name w:val="annotation reference"/>
    <w:basedOn w:val="DefaultParagraphFont"/>
    <w:uiPriority w:val="99"/>
    <w:semiHidden w:val="1"/>
    <w:unhideWhenUsed w:val="1"/>
    <w:rsid w:val="009E52DF"/>
    <w:rPr>
      <w:sz w:val="16"/>
      <w:szCs w:val="16"/>
    </w:rPr>
  </w:style>
  <w:style w:type="paragraph" w:styleId="CommentText">
    <w:name w:val="annotation text"/>
    <w:basedOn w:val="Normal"/>
    <w:link w:val="CommentTextChar"/>
    <w:uiPriority w:val="99"/>
    <w:semiHidden w:val="1"/>
    <w:unhideWhenUsed w:val="1"/>
    <w:rsid w:val="009E52DF"/>
    <w:pPr>
      <w:spacing w:line="240" w:lineRule="auto"/>
    </w:pPr>
    <w:rPr>
      <w:sz w:val="20"/>
      <w:szCs w:val="20"/>
    </w:rPr>
  </w:style>
  <w:style w:type="character" w:styleId="CommentTextChar" w:customStyle="1">
    <w:name w:val="Comment Text Char"/>
    <w:basedOn w:val="DefaultParagraphFont"/>
    <w:link w:val="CommentText"/>
    <w:uiPriority w:val="99"/>
    <w:semiHidden w:val="1"/>
    <w:rsid w:val="009E52DF"/>
    <w:rPr>
      <w:sz w:val="20"/>
      <w:szCs w:val="20"/>
    </w:rPr>
  </w:style>
  <w:style w:type="paragraph" w:styleId="CommentSubject">
    <w:name w:val="annotation subject"/>
    <w:basedOn w:val="CommentText"/>
    <w:next w:val="CommentText"/>
    <w:link w:val="CommentSubjectChar"/>
    <w:uiPriority w:val="99"/>
    <w:semiHidden w:val="1"/>
    <w:unhideWhenUsed w:val="1"/>
    <w:rsid w:val="009E52DF"/>
    <w:rPr>
      <w:b w:val="1"/>
      <w:bCs w:val="1"/>
    </w:rPr>
  </w:style>
  <w:style w:type="character" w:styleId="CommentSubjectChar" w:customStyle="1">
    <w:name w:val="Comment Subject Char"/>
    <w:basedOn w:val="CommentTextChar"/>
    <w:link w:val="CommentSubject"/>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eWpxJlXLMy3vXHD/luL9wLR0A==">CgMxLjAaHwoBMBIaChgICVIUChJ0YWJsZS5obmg0Y2JibzljODQ4AHIhMXdFaWFLNzFGNGRRWXdGWWpYSU53UmVwazd2VW8wSF91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