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864"/>
          <w:sz w:val="42"/>
          <w:szCs w:val="42"/>
        </w:rPr>
        <w:t xml:space="preserve">Project Handoff Document</w:t>
      </w:r>
    </w:p>
    <w:p>
      <w:pPr>
        <w:spacing w:before="200"/>
        <w:jc w:val="center"/>
      </w:pPr>
      <w:r>
        <w:rPr>
          <w:rFonts w:ascii="Calibri" w:cs="Calibri" w:eastAsia="Calibri" w:hAnsi="Calibri"/>
          <w:color w:val="444444"/>
          <w:sz w:val="26"/>
          <w:szCs w:val="26"/>
        </w:rPr>
        <w:t xml:space="preserve">Selective Fault-Tolerant RISC-V Core — Full Decision History &amp; Current State (Updated)</w:t>
      </w:r>
    </w:p>
    <w:p>
      <w:pPr>
        <w:spacing w:before="400"/>
        <w:jc w:val="center"/>
      </w:pPr>
      <w:r>
        <w:rPr>
          <w:rFonts w:ascii="Calibri" w:cs="Calibri" w:eastAsia="Calibri" w:hAnsi="Calibri"/>
          <w:i/>
          <w:iCs/>
          <w:color w:val="666666"/>
          <w:sz w:val="20"/>
          <w:szCs w:val="20"/>
        </w:rPr>
        <w:t xml:space="preserve">Purpose: bring a new conversation up to full speed without re-explaining the journey from scratch.</w:t>
      </w:r>
    </w:p>
    <w:p>
      <w:r>
        <w:br w:type="page"/>
      </w:r>
    </w:p>
    <w:p>
      <w:pPr>
        <w:pStyle w:val="Heading1"/>
        <w:pBdr>
          <w:bottom w:val="single" w:color="1F3864" w:sz="6" w:space="4"/>
        </w:pBdr>
        <w:spacing w:after="160" w:before="380"/>
      </w:pPr>
      <w:r>
        <w:rPr>
          <w:rFonts w:ascii="Calibri" w:cs="Calibri" w:eastAsia="Calibri" w:hAnsi="Calibri"/>
          <w:b/>
          <w:bCs/>
          <w:color w:val="1F3864"/>
          <w:sz w:val="30"/>
          <w:szCs w:val="30"/>
        </w:rPr>
        <w:t xml:space="preserve">1. Who This Is For</w:t>
      </w:r>
    </w:p>
    <w:p>
      <w:pPr>
        <w:spacing w:after="150" w:line="276"/>
      </w:pPr>
      <w:r>
        <w:rPr>
          <w:rFonts w:ascii="Calibri" w:cs="Calibri" w:eastAsia="Calibri" w:hAnsi="Calibri"/>
          <w:sz w:val="21"/>
          <w:szCs w:val="21"/>
        </w:rPr>
        <w:t xml:space="preserve">This document is meant to be handed to a fresh conversation (a new AI chat, a new teammate, or your future self after a break) so that person can pick up exactly where things stand — including which ideas were tried and rejected, why, and what the current best plan is. It is intentionally detailed. Read Section 2 first for the short version, then use the rest as reference. This version supersedes any earlier handoff document — it reflects the guide's timeline feedback and the 3-stage pipeline decision made after that feedback.</w:t>
      </w:r>
    </w:p>
    <w:p>
      <w:pPr>
        <w:pStyle w:val="Heading1"/>
        <w:pBdr>
          <w:bottom w:val="single" w:color="1F3864" w:sz="6" w:space="4"/>
        </w:pBdr>
        <w:spacing w:after="160" w:before="380"/>
      </w:pPr>
      <w:r>
        <w:rPr>
          <w:rFonts w:ascii="Calibri" w:cs="Calibri" w:eastAsia="Calibri" w:hAnsi="Calibri"/>
          <w:b/>
          <w:bCs/>
          <w:color w:val="1F3864"/>
          <w:sz w:val="30"/>
          <w:szCs w:val="30"/>
        </w:rPr>
        <w:t xml:space="preserve">2. The Short Version (Read This First)</w:t>
      </w:r>
    </w:p>
    <w:p>
      <w:pPr>
        <w:spacing w:after="150" w:line="276"/>
      </w:pPr>
      <w:r>
        <w:rPr>
          <w:rFonts w:ascii="Calibri" w:cs="Calibri" w:eastAsia="Calibri" w:hAnsi="Calibri"/>
          <w:sz w:val="21"/>
          <w:szCs w:val="21"/>
        </w:rPr>
        <w:t xml:space="preserve">The team's mini-project (course 23EVD302, guide: Dr. Ajith Ravindran) started as an FPGA-based pesticide/spectral classifier and was outgrown — the team wanted something more industry-relevant, spanning multiple tools, and ideally reaching tapeout. A long sequence of AI-drafted proposals (Claude, Antigravity, Perplexity, Gemini) were each stress-tested against real facts (actual lab tool access, actual PDK availability, actual team skill level) and each contained at least one serious problem — wrong tapeout vendor, unconfirmed or wrong PDK, unrealistic timeline, or a specialty (UPF power-domain design) far beyond the team's demonstrated experience.</w:t>
      </w:r>
    </w:p>
    <w:p>
      <w:pPr>
        <w:spacing w:after="150" w:line="276"/>
      </w:pPr>
      <w:r>
        <w:rPr>
          <w:rFonts w:ascii="Calibri" w:cs="Calibri" w:eastAsia="Calibri" w:hAnsi="Calibri"/>
          <w:sz w:val="21"/>
          <w:szCs w:val="21"/>
        </w:rPr>
        <w:t xml:space="preserve">The settled direction is: Selective Fault-Tolerant RV32E RISC-V Processor — a 3-stage pipeline (deliberately reduced from the more common 5-stage, as a complexity/reliability tradeoff), SEC-DED error correction on the register file, selective Triple Modular Redundancy (TMR) on the Execute logic only, a single majority voter, adaptive Simplex/TMR mode switching via clock-gating and operand isolation (NOT full UPF power-domain gating, which is explicitly excluded), and verification centered on structured fault-injection campaigns.</w:t>
      </w:r>
    </w:p>
    <w:p>
      <w:pPr>
        <w:spacing w:after="150" w:line="276"/>
      </w:pPr>
      <w:r>
        <w:rPr>
          <w:rFonts w:ascii="Calibri" w:cs="Calibri" w:eastAsia="Calibri" w:hAnsi="Calibri"/>
          <w:sz w:val="21"/>
          <w:szCs w:val="21"/>
        </w:rPr>
        <w:t xml:space="preserve">Critical recent development: the team's guide reviewed the two-semester version of this project and judged it too complex, capping the deadline at January 2027 — roughly 24 weeks from today (July 22, 2026), not the ~32-36 weeks a two-semester plan assumed. This triggered a scope reduction: the self-checking dual-voter was demoted to a stretch goal, full physical-design signoff (CTS, routing, timing closure, DRC/LVS) was demoted to a stretch goal, and the pipeline was changed from 5-stage to 3-stage specifically to reduce hazard-handling complexity, which was already identified as the team's highest-risk RTL work.</w:t>
      </w:r>
    </w:p>
    <w:p>
      <w:pPr>
        <w:spacing w:after="150" w:line="276"/>
      </w:pPr>
      <w:r>
        <w:rPr>
          <w:rFonts w:ascii="Calibri" w:cs="Calibri" w:eastAsia="Calibri" w:hAnsi="Calibri"/>
          <w:sz w:val="21"/>
          <w:szCs w:val="21"/>
        </w:rPr>
        <w:t xml:space="preserve">Current realistic outlook: this compressed, 3-stage, single-voter version is judged achievable within the ~24-week window, PROVIDED the team still confirms and locks whatever PDK is actually available at their own lab early, and does not let scope drift back toward UPF, dual-voter self-checking, or full PD signoff before the core deliverable (working core + SEC-DED + TMR + fault-injection results + synthesis + basic floorplan) is solid.</w:t>
      </w:r>
    </w:p>
    <w:p>
      <w:pPr>
        <w:pStyle w:val="Heading1"/>
        <w:pBdr>
          <w:bottom w:val="single" w:color="1F3864" w:sz="6" w:space="4"/>
        </w:pBdr>
        <w:spacing w:after="160" w:before="380"/>
      </w:pPr>
      <w:r>
        <w:rPr>
          <w:rFonts w:ascii="Calibri" w:cs="Calibri" w:eastAsia="Calibri" w:hAnsi="Calibri"/>
          <w:b/>
          <w:bCs/>
          <w:color w:val="1F3864"/>
          <w:sz w:val="30"/>
          <w:szCs w:val="30"/>
        </w:rPr>
        <w:t xml:space="preserve">3. Full Decision History</w:t>
      </w:r>
    </w:p>
    <w:p>
      <w:pPr>
        <w:pStyle w:val="Heading2"/>
        <w:spacing w:after="110" w:before="260"/>
      </w:pPr>
      <w:r>
        <w:rPr>
          <w:rFonts w:ascii="Calibri" w:cs="Calibri" w:eastAsia="Calibri" w:hAnsi="Calibri"/>
          <w:b/>
          <w:bCs/>
          <w:color w:val="1F3864"/>
          <w:sz w:val="24"/>
          <w:szCs w:val="24"/>
        </w:rPr>
        <w:t xml:space="preserve">3.1 Starting Point</w:t>
      </w:r>
    </w:p>
    <w:p>
      <w:pPr>
        <w:pStyle w:val="ListParagraph"/>
        <w:numPr>
          <w:ilvl w:val="0"/>
          <w:numId w:val="2"/>
        </w:numPr>
        <w:spacing w:after="70"/>
      </w:pPr>
      <w:r>
        <w:rPr>
          <w:rFonts w:ascii="Calibri" w:cs="Calibri" w:eastAsia="Calibri" w:hAnsi="Calibri"/>
          <w:sz w:val="21"/>
          <w:szCs w:val="21"/>
        </w:rPr>
        <w:t xml:space="preserve">Original project: FPGA-based pesticide detection using SVM classification (Artix-7, hierarchical classifier, 672× speedup, 2.49% LUT utilization, 0.147W power). Fully built with presentation materials.</w:t>
      </w:r>
    </w:p>
    <w:p>
      <w:pPr>
        <w:pStyle w:val="ListParagraph"/>
        <w:numPr>
          <w:ilvl w:val="0"/>
          <w:numId w:val="2"/>
        </w:numPr>
        <w:spacing w:after="70"/>
      </w:pPr>
      <w:r>
        <w:rPr>
          <w:rFonts w:ascii="Calibri" w:cs="Calibri" w:eastAsia="Calibri" w:hAnsi="Calibri"/>
          <w:sz w:val="21"/>
          <w:szCs w:val="21"/>
        </w:rPr>
        <w:t xml:space="preserve">A pivot to power-quality-disturbance classification on FPGA was evaluated and found weakly justified (FPGA-necessity argument contradicted the team's own cited literature).</w:t>
      </w:r>
    </w:p>
    <w:p>
      <w:pPr>
        <w:pStyle w:val="ListParagraph"/>
        <w:numPr>
          <w:ilvl w:val="0"/>
          <w:numId w:val="2"/>
        </w:numPr>
        <w:spacing w:after="70"/>
      </w:pPr>
      <w:r>
        <w:rPr>
          <w:rFonts w:ascii="Calibri" w:cs="Calibri" w:eastAsia="Calibri" w:hAnsi="Calibri"/>
          <w:sz w:val="21"/>
          <w:szCs w:val="21"/>
        </w:rPr>
        <w:t xml:space="preserve">Team wanted: something outside FPGA-only comfort zone, not just heavier verification, not trivially AI-finishable, using different tools, extensible across years, ideally reaching tapeout (guide's interest, not a hard requirement).</w:t>
      </w:r>
    </w:p>
    <w:p>
      <w:pPr>
        <w:pStyle w:val="Heading2"/>
        <w:spacing w:after="110" w:before="260"/>
      </w:pPr>
      <w:r>
        <w:rPr>
          <w:rFonts w:ascii="Calibri" w:cs="Calibri" w:eastAsia="Calibri" w:hAnsi="Calibri"/>
          <w:b/>
          <w:bCs/>
          <w:color w:val="1F3864"/>
          <w:sz w:val="24"/>
          <w:szCs w:val="24"/>
        </w:rPr>
        <w:t xml:space="preserve">3.2 First Round: RISC-V SoC + Accelerator, Full RTL-to-GDSII (AI-Drafted)</w:t>
      </w:r>
    </w:p>
    <w:p>
      <w:pPr>
        <w:spacing w:after="150" w:line="276"/>
      </w:pPr>
      <w:r>
        <w:rPr>
          <w:rFonts w:ascii="Calibri" w:cs="Calibri" w:eastAsia="Calibri" w:hAnsi="Calibri"/>
          <w:sz w:val="21"/>
          <w:szCs w:val="21"/>
        </w:rPr>
        <w:t xml:space="preserve">Three parallel AI-generated proposals proposed a custom RISC-V + the team's existing SVM/MLP accelerator as an SoC, through Cadence Genus → Innovus → Tempus → signoff, prototyped on FPGA, as a 3-version multi-year roadmap, with Version 3 targeting tapeout via “Efabless chipIgnite” on SKY130/GF180/SCL180nm.</w:t>
      </w:r>
    </w:p>
    <w:p>
      <w:pPr>
        <w:spacing w:after="70" w:before="180"/>
      </w:pPr>
      <w:r>
        <w:rPr>
          <w:rFonts w:ascii="Calibri" w:cs="Calibri" w:eastAsia="Calibri" w:hAnsi="Calibri"/>
          <w:b/>
          <w:bCs/>
          <w:sz w:val="22"/>
          <w:szCs w:val="22"/>
        </w:rPr>
        <w:t xml:space="preserve">Problems found:</w:t>
      </w:r>
    </w:p>
    <w:p>
      <w:pPr>
        <w:pStyle w:val="ListParagraph"/>
        <w:numPr>
          <w:ilvl w:val="0"/>
          <w:numId w:val="2"/>
        </w:numPr>
        <w:spacing w:after="70"/>
      </w:pPr>
      <w:r>
        <w:rPr>
          <w:rFonts w:ascii="Calibri" w:cs="Calibri" w:eastAsia="Calibri" w:hAnsi="Calibri"/>
          <w:sz w:val="21"/>
          <w:szCs w:val="21"/>
        </w:rPr>
        <w:t xml:space="preserve">Efabless (as described) no longer operates — it shut down in 2025; chipIgnite continues under a successor, ChipFoundry, at real cost.</w:t>
      </w:r>
    </w:p>
    <w:p>
      <w:pPr>
        <w:pStyle w:val="ListParagraph"/>
        <w:numPr>
          <w:ilvl w:val="0"/>
          <w:numId w:val="2"/>
        </w:numPr>
        <w:spacing w:after="70"/>
      </w:pPr>
      <w:r>
        <w:rPr>
          <w:rFonts w:ascii="Calibri" w:cs="Calibri" w:eastAsia="Calibri" w:hAnsi="Calibri"/>
          <w:sz w:val="21"/>
          <w:szCs w:val="21"/>
        </w:rPr>
        <w:t xml:space="preserve">Didn't solve the actual complaint — kept the same design-loop, just with new tool names.</w:t>
      </w:r>
    </w:p>
    <w:p>
      <w:pPr>
        <w:pStyle w:val="ListParagraph"/>
        <w:numPr>
          <w:ilvl w:val="0"/>
          <w:numId w:val="2"/>
        </w:numPr>
        <w:spacing w:after="70"/>
      </w:pPr>
      <w:r>
        <w:rPr>
          <w:rFonts w:ascii="Calibri" w:cs="Calibri" w:eastAsia="Calibri" w:hAnsi="Calibri"/>
          <w:sz w:val="21"/>
          <w:szCs w:val="21"/>
        </w:rPr>
        <w:t xml:space="preserve">14-week schedule assumed zero-experience team could do the full flow in one semester, contradicting the drafts' own risk disclaimers.</w:t>
      </w:r>
    </w:p>
    <w:p>
      <w:pPr>
        <w:pStyle w:val="ListParagraph"/>
        <w:numPr>
          <w:ilvl w:val="0"/>
          <w:numId w:val="2"/>
        </w:numPr>
        <w:spacing w:after="70"/>
      </w:pPr>
      <w:r>
        <w:rPr>
          <w:rFonts w:ascii="Calibri" w:cs="Calibri" w:eastAsia="Calibri" w:hAnsi="Calibri"/>
          <w:sz w:val="21"/>
          <w:szCs w:val="21"/>
        </w:rPr>
        <w:t xml:space="preserve">PDK names were never verified against actual lab access.</w:t>
      </w:r>
    </w:p>
    <w:p>
      <w:pPr>
        <w:pStyle w:val="Heading2"/>
        <w:spacing w:after="110" w:before="260"/>
      </w:pPr>
      <w:r>
        <w:rPr>
          <w:rFonts w:ascii="Calibri" w:cs="Calibri" w:eastAsia="Calibri" w:hAnsi="Calibri"/>
          <w:b/>
          <w:bCs/>
          <w:color w:val="1F3864"/>
          <w:sz w:val="24"/>
          <w:szCs w:val="24"/>
        </w:rPr>
        <w:t xml:space="preserve">3.3 Verification Against Real Evidence: CUSAT Internship Files</w:t>
      </w:r>
    </w:p>
    <w:p>
      <w:pPr>
        <w:spacing w:after="150" w:line="276"/>
      </w:pPr>
      <w:r>
        <w:rPr>
          <w:rFonts w:ascii="Calibri" w:cs="Calibri" w:eastAsia="Calibri" w:hAnsi="Calibri"/>
          <w:sz w:val="21"/>
          <w:szCs w:val="21"/>
        </w:rPr>
        <w:t xml:space="preserve">Actual internship files (Cadence logs, DRC reports, timing reports, layout databases) were reviewed directly, producing confirmed facts:</w:t>
      </w:r>
    </w:p>
    <w:p>
      <w:pPr>
        <w:pStyle w:val="ListParagraph"/>
        <w:numPr>
          <w:ilvl w:val="0"/>
          <w:numId w:val="2"/>
        </w:numPr>
        <w:spacing w:after="70"/>
      </w:pPr>
      <w:r>
        <w:rPr>
          <w:rFonts w:ascii="Calibri" w:cs="Calibri" w:eastAsia="Calibri" w:hAnsi="Calibri"/>
          <w:sz w:val="21"/>
          <w:szCs w:val="21"/>
        </w:rPr>
        <w:t xml:space="preserve">Genus, Innovus, Tempus ARE genuinely accessible — a full synthesis-to-DRC-clean-layout run was completed on a 32-bit pipelined multiplier.</w:t>
      </w:r>
    </w:p>
    <w:p>
      <w:pPr>
        <w:pStyle w:val="ListParagraph"/>
        <w:numPr>
          <w:ilvl w:val="0"/>
          <w:numId w:val="2"/>
        </w:numPr>
        <w:spacing w:after="70"/>
      </w:pPr>
      <w:r>
        <w:rPr>
          <w:rFonts w:ascii="Calibri" w:cs="Calibri" w:eastAsia="Calibri" w:hAnsi="Calibri"/>
          <w:sz w:val="21"/>
          <w:szCs w:val="21"/>
        </w:rPr>
        <w:t xml:space="preserve">The actual library used was gsclib090 (generic 90nm teaching library) — NOT SKY130/FreePDK45/SCL180nm as assumed.</w:t>
      </w:r>
    </w:p>
    <w:p>
      <w:pPr>
        <w:pStyle w:val="ListParagraph"/>
        <w:numPr>
          <w:ilvl w:val="0"/>
          <w:numId w:val="2"/>
        </w:numPr>
        <w:spacing w:after="70"/>
      </w:pPr>
      <w:r>
        <w:rPr>
          <w:rFonts w:ascii="Calibri" w:cs="Calibri" w:eastAsia="Calibri" w:hAnsi="Calibri"/>
          <w:sz w:val="21"/>
          <w:szCs w:val="21"/>
        </w:rPr>
        <w:t xml:space="preserve">The exercise was one small block, over a short guided timeframe — real evidence the flow is learnable quickly with guidance, NOT evidence of independent, team-wide, SoC-level competency.</w:t>
      </w:r>
    </w:p>
    <w:p>
      <w:pPr>
        <w:pStyle w:val="Heading2"/>
        <w:spacing w:after="110" w:before="260"/>
      </w:pPr>
      <w:r>
        <w:rPr>
          <w:rFonts w:ascii="Calibri" w:cs="Calibri" w:eastAsia="Calibri" w:hAnsi="Calibri"/>
          <w:b/>
          <w:bCs/>
          <w:color w:val="1F3864"/>
          <w:sz w:val="24"/>
          <w:szCs w:val="24"/>
        </w:rPr>
        <w:t xml:space="preserve">3.4 Revised Plan (First Stable Version): Phased De-Risking</w:t>
      </w:r>
    </w:p>
    <w:p>
      <w:pPr>
        <w:spacing w:after="150" w:line="276"/>
      </w:pPr>
      <w:r>
        <w:rPr>
          <w:rFonts w:ascii="Calibri" w:cs="Calibri" w:eastAsia="Calibri" w:hAnsi="Calibri"/>
          <w:sz w:val="21"/>
          <w:szCs w:val="21"/>
        </w:rPr>
        <w:t xml:space="preserve">Phase 1 re-runs the flow on existing accelerator IP; Phase 2 integrates a RISC-V core (SERV suggested) with the accelerator in simulation only; Phase 3 does SoC-level synthesis + basic floorplan; Phase 4 does FPGA prototyping. Version 3 (tapeout) kept explicitly open-ended, naming ChipFoundry (corrected from Efabless). Two documents produced: guide-facing comparison doc and a plain-language overview.</w:t>
      </w:r>
    </w:p>
    <w:p>
      <w:pPr>
        <w:pStyle w:val="Heading2"/>
        <w:spacing w:after="110" w:before="260"/>
      </w:pPr>
      <w:r>
        <w:rPr>
          <w:rFonts w:ascii="Calibri" w:cs="Calibri" w:eastAsia="Calibri" w:hAnsi="Calibri"/>
          <w:b/>
          <w:bCs/>
          <w:color w:val="1F3864"/>
          <w:sz w:val="24"/>
          <w:szCs w:val="24"/>
        </w:rPr>
        <w:t xml:space="preserve">3.5 Guide Requested 'An Application' — UAV Fault-Tolerant Core Proposal</w:t>
      </w:r>
    </w:p>
    <w:p>
      <w:pPr>
        <w:spacing w:after="150" w:line="276"/>
      </w:pPr>
      <w:r>
        <w:rPr>
          <w:rFonts w:ascii="Calibri" w:cs="Calibri" w:eastAsia="Calibri" w:hAnsi="Calibri"/>
          <w:sz w:val="21"/>
          <w:szCs w:val="21"/>
        </w:rPr>
        <w:t xml:space="preserve">Gemini-generated proposal: Battery-Aware Adaptive Fault-Tolerant RISC-V Core for UAVs — selective TMR, AMVU with simulated battery-level/ADC throttling, full UPF power-domain gating, Conformal CLP, 45nm target.</w:t>
      </w:r>
    </w:p>
    <w:p>
      <w:pPr>
        <w:spacing w:after="70" w:before="180"/>
      </w:pPr>
      <w:r>
        <w:rPr>
          <w:rFonts w:ascii="Calibri" w:cs="Calibri" w:eastAsia="Calibri" w:hAnsi="Calibri"/>
          <w:b/>
          <w:bCs/>
          <w:sz w:val="22"/>
          <w:szCs w:val="22"/>
        </w:rPr>
        <w:t xml:space="preserve">Problems found:</w:t>
      </w:r>
    </w:p>
    <w:p>
      <w:pPr>
        <w:pStyle w:val="ListParagraph"/>
        <w:numPr>
          <w:ilvl w:val="0"/>
          <w:numId w:val="2"/>
        </w:numPr>
        <w:spacing w:after="70"/>
      </w:pPr>
      <w:r>
        <w:rPr>
          <w:rFonts w:ascii="Calibri" w:cs="Calibri" w:eastAsia="Calibri" w:hAnsi="Calibri"/>
          <w:sz w:val="21"/>
          <w:szCs w:val="21"/>
        </w:rPr>
        <w:t xml:space="preserve">Contradicted the team's own constraint: heavy fault-injection + UPF + CLP verification became a majority of project effort, not a minor part.</w:t>
      </w:r>
    </w:p>
    <w:p>
      <w:pPr>
        <w:pStyle w:val="ListParagraph"/>
        <w:numPr>
          <w:ilvl w:val="0"/>
          <w:numId w:val="2"/>
        </w:numPr>
        <w:spacing w:after="70"/>
      </w:pPr>
      <w:r>
        <w:rPr>
          <w:rFonts w:ascii="Calibri" w:cs="Calibri" w:eastAsia="Calibri" w:hAnsi="Calibri"/>
          <w:sz w:val="21"/>
          <w:szCs w:val="21"/>
        </w:rPr>
        <w:t xml:space="preserve">UPF is one of the hardest PD specialties — a huge jump from the team's only verified experience (one multiplier run).</w:t>
      </w:r>
    </w:p>
    <w:p>
      <w:pPr>
        <w:pStyle w:val="ListParagraph"/>
        <w:numPr>
          <w:ilvl w:val="0"/>
          <w:numId w:val="2"/>
        </w:numPr>
        <w:spacing w:after="70"/>
      </w:pPr>
      <w:r>
        <w:rPr>
          <w:rFonts w:ascii="Calibri" w:cs="Calibri" w:eastAsia="Calibri" w:hAnsi="Calibri"/>
          <w:sz w:val="21"/>
          <w:szCs w:val="21"/>
        </w:rPr>
        <w:t xml:space="preserve">Yet another unverified PDK claim (45nm).</w:t>
      </w:r>
    </w:p>
    <w:p>
      <w:pPr>
        <w:pStyle w:val="ListParagraph"/>
        <w:numPr>
          <w:ilvl w:val="0"/>
          <w:numId w:val="2"/>
        </w:numPr>
        <w:spacing w:after="70"/>
      </w:pPr>
      <w:r>
        <w:rPr>
          <w:rFonts w:ascii="Calibri" w:cs="Calibri" w:eastAsia="Calibri" w:hAnsi="Calibri"/>
          <w:sz w:val="21"/>
          <w:szCs w:val="21"/>
        </w:rPr>
        <w:t xml:space="preserve">'On-chip ADC interface' was not really supported by the all-digital tool flow — would just be a behavioral stub, not real analog sensing.</w:t>
      </w:r>
    </w:p>
    <w:p>
      <w:pPr>
        <w:pStyle w:val="ListParagraph"/>
        <w:numPr>
          <w:ilvl w:val="0"/>
          <w:numId w:val="2"/>
        </w:numPr>
        <w:spacing w:after="70"/>
      </w:pPr>
      <w:r>
        <w:rPr>
          <w:rFonts w:ascii="Calibri" w:cs="Calibri" w:eastAsia="Calibri" w:hAnsi="Calibri"/>
          <w:sz w:val="21"/>
          <w:szCs w:val="21"/>
        </w:rPr>
        <w:t xml:space="preserve">16-week schedule bundled 2–3 hard workstreams per 4-week block.</w:t>
      </w:r>
    </w:p>
    <w:p>
      <w:pPr>
        <w:spacing w:after="70" w:before="180"/>
      </w:pPr>
      <w:r>
        <w:rPr>
          <w:rFonts w:ascii="Calibri" w:cs="Calibri" w:eastAsia="Calibri" w:hAnsi="Calibri"/>
          <w:b/>
          <w:bCs/>
          <w:sz w:val="22"/>
          <w:szCs w:val="22"/>
        </w:rPr>
        <w:t xml:space="preserve">What was correctly reframed (kept useful going forward):</w:t>
      </w:r>
    </w:p>
    <w:p>
      <w:pPr>
        <w:pStyle w:val="ListParagraph"/>
        <w:numPr>
          <w:ilvl w:val="0"/>
          <w:numId w:val="2"/>
        </w:numPr>
        <w:spacing w:after="70"/>
      </w:pPr>
      <w:r>
        <w:rPr>
          <w:rFonts w:ascii="Calibri" w:cs="Calibri" w:eastAsia="Calibri" w:hAnsi="Calibri"/>
          <w:sz w:val="21"/>
          <w:szCs w:val="21"/>
        </w:rPr>
        <w:t xml:space="preserve">Verification recognized as where design correctness is actually proven — NOT something to minimize. Earlier instinct to avoid heavy verification was identified as a misjudgment.</w:t>
      </w:r>
    </w:p>
    <w:p>
      <w:pPr>
        <w:pStyle w:val="ListParagraph"/>
        <w:numPr>
          <w:ilvl w:val="0"/>
          <w:numId w:val="2"/>
        </w:numPr>
        <w:spacing w:after="70"/>
      </w:pPr>
      <w:r>
        <w:rPr>
          <w:rFonts w:ascii="Calibri" w:cs="Calibri" w:eastAsia="Calibri" w:hAnsi="Calibri"/>
          <w:sz w:val="21"/>
          <w:szCs w:val="21"/>
        </w:rPr>
        <w:t xml:space="preserve">UPF specifically (not verification broadly) identified as the real problem: two parallel specifications (logic + power intent) that must stay consistent, checked by a specialized tool (CLP) the team has never used.</w:t>
      </w:r>
    </w:p>
    <w:p>
      <w:pPr>
        <w:pStyle w:val="Heading2"/>
        <w:spacing w:after="110" w:before="260"/>
      </w:pPr>
      <w:r>
        <w:rPr>
          <w:rFonts w:ascii="Calibri" w:cs="Calibri" w:eastAsia="Calibri" w:hAnsi="Calibri"/>
          <w:b/>
          <w:bCs/>
          <w:color w:val="1F3864"/>
          <w:sz w:val="24"/>
          <w:szCs w:val="24"/>
        </w:rPr>
        <w:t xml:space="preserve">3.6 Power Efficiency Without UPF — The Substitute Techniques</w:t>
      </w:r>
    </w:p>
    <w:p>
      <w:pPr>
        <w:pStyle w:val="ListParagraph"/>
        <w:numPr>
          <w:ilvl w:val="0"/>
          <w:numId w:val="2"/>
        </w:numPr>
        <w:spacing w:after="70"/>
      </w:pPr>
      <w:r>
        <w:rPr>
          <w:rFonts w:ascii="Calibri" w:cs="Calibri" w:eastAsia="Calibri" w:hAnsi="Calibri"/>
          <w:sz w:val="21"/>
          <w:szCs w:val="21"/>
        </w:rPr>
        <w:t xml:space="preserve">Clock gating: RTL enable pattern, Genus infers proper ICG cells automatically — no UPF needed.</w:t>
      </w:r>
    </w:p>
    <w:p>
      <w:pPr>
        <w:pStyle w:val="ListParagraph"/>
        <w:numPr>
          <w:ilvl w:val="0"/>
          <w:numId w:val="2"/>
        </w:numPr>
        <w:spacing w:after="70"/>
      </w:pPr>
      <w:r>
        <w:rPr>
          <w:rFonts w:ascii="Calibri" w:cs="Calibri" w:eastAsia="Calibri" w:hAnsi="Calibri"/>
          <w:sz w:val="21"/>
          <w:szCs w:val="21"/>
        </w:rPr>
        <w:t xml:space="preserve">Operand isolation: stops useless input switching on disabled logic, also inferable at synthesis.</w:t>
      </w:r>
    </w:p>
    <w:p>
      <w:pPr>
        <w:pStyle w:val="ListParagraph"/>
        <w:numPr>
          <w:ilvl w:val="0"/>
          <w:numId w:val="2"/>
        </w:numPr>
        <w:spacing w:after="70"/>
      </w:pPr>
      <w:r>
        <w:rPr>
          <w:rFonts w:ascii="Calibri" w:cs="Calibri" w:eastAsia="Calibri" w:hAnsi="Calibri"/>
          <w:sz w:val="21"/>
          <w:szCs w:val="21"/>
        </w:rPr>
        <w:t xml:space="preserve">Multi-Vt cell selection at synthesis: leakage/speed tradeoff using existing library variants, if available — a standard synthesis constraint, not a UPF feature.</w:t>
      </w:r>
    </w:p>
    <w:p>
      <w:pPr>
        <w:pStyle w:val="ListParagraph"/>
        <w:numPr>
          <w:ilvl w:val="0"/>
          <w:numId w:val="2"/>
        </w:numPr>
        <w:spacing w:after="70"/>
      </w:pPr>
      <w:r>
        <w:rPr>
          <w:rFonts w:ascii="Calibri" w:cs="Calibri" w:eastAsia="Calibri" w:hAnsi="Calibri"/>
          <w:sz w:val="21"/>
          <w:szCs w:val="21"/>
        </w:rPr>
        <w:t xml:space="preserve">Accepted tradeoff: no full power SHUTOFF (leakage remains on gated logic), but captures most of the realistic benefit for a small block without the UPF/CLP specialty risk.</w:t>
      </w:r>
    </w:p>
    <w:p>
      <w:pPr>
        <w:pStyle w:val="Heading2"/>
        <w:spacing w:after="110" w:before="260"/>
      </w:pPr>
      <w:r>
        <w:rPr>
          <w:rFonts w:ascii="Calibri" w:cs="Calibri" w:eastAsia="Calibri" w:hAnsi="Calibri"/>
          <w:b/>
          <w:bCs/>
          <w:color w:val="1F3864"/>
          <w:sz w:val="24"/>
          <w:szCs w:val="24"/>
        </w:rPr>
        <w:t xml:space="preserve">3.7 Revised UAV Version (Verification Kept, UPF Dropped)</w:t>
      </w:r>
    </w:p>
    <w:p>
      <w:pPr>
        <w:spacing w:after="150" w:line="276"/>
      </w:pPr>
      <w:r>
        <w:rPr>
          <w:rFonts w:ascii="Calibri" w:cs="Calibri" w:eastAsia="Calibri" w:hAnsi="Calibri"/>
          <w:sz w:val="21"/>
          <w:szCs w:val="21"/>
        </w:rPr>
        <w:t xml:space="preserve">Kept fault-injection verification as the centerpiece; removed UPF/CLP/ADC entirely; replaced with clock-gating + operand isolation and an explicit software-writable mode register. Team role split worked out: by pipeline stage (not by tool role) for Phase 1. Covered in-order vs. out-of-order (in-order chosen, correctly) and the three hazard types (structural, data — forwarding/stalling/load-use, control — branch/flush, branch prediction correctly rejected as unnecessary scope).</w:t>
      </w:r>
    </w:p>
    <w:p>
      <w:pPr>
        <w:pStyle w:val="Heading2"/>
        <w:spacing w:after="110" w:before="260"/>
      </w:pPr>
      <w:r>
        <w:rPr>
          <w:rFonts w:ascii="Calibri" w:cs="Calibri" w:eastAsia="Calibri" w:hAnsi="Calibri"/>
          <w:b/>
          <w:bCs/>
          <w:color w:val="1F3864"/>
          <w:sz w:val="24"/>
          <w:szCs w:val="24"/>
        </w:rPr>
        <w:t xml:space="preserve">3.8 Second Independent Proposal: TSMC-Based, UPF-Inclusive Version</w:t>
      </w:r>
    </w:p>
    <w:p>
      <w:pPr>
        <w:spacing w:after="150" w:line="276"/>
      </w:pPr>
      <w:r>
        <w:rPr>
          <w:rFonts w:ascii="Calibri" w:cs="Calibri" w:eastAsia="Calibri" w:hAnsi="Calibri"/>
          <w:sz w:val="21"/>
          <w:szCs w:val="21"/>
        </w:rPr>
        <w:t xml:space="preserve">A more elaborate 6-file document set proposed a two-semester version reintroducing UPF power-domain gating, Conformal CLP, and — critically — TSMC 180nm/65nm as target PDKs with SkyWater 130nm as fallback, plus a formal PDK scoring framework.</w:t>
      </w:r>
    </w:p>
    <w:p>
      <w:pPr>
        <w:spacing w:after="70" w:before="180"/>
      </w:pPr>
      <w:r>
        <w:rPr>
          <w:rFonts w:ascii="Calibri" w:cs="Calibri" w:eastAsia="Calibri" w:hAnsi="Calibri"/>
          <w:b/>
          <w:bCs/>
          <w:sz w:val="22"/>
          <w:szCs w:val="22"/>
        </w:rPr>
        <w:t xml:space="preserve">Problems found:</w:t>
      </w:r>
    </w:p>
    <w:p>
      <w:pPr>
        <w:pStyle w:val="ListParagraph"/>
        <w:numPr>
          <w:ilvl w:val="0"/>
          <w:numId w:val="2"/>
        </w:numPr>
        <w:spacing w:after="70"/>
      </w:pPr>
      <w:r>
        <w:rPr>
          <w:rFonts w:ascii="Calibri" w:cs="Calibri" w:eastAsia="Calibri" w:hAnsi="Calibri"/>
          <w:sz w:val="21"/>
          <w:szCs w:val="21"/>
        </w:rPr>
        <w:t xml:space="preserve">TSMC PDKs are commercial, NDA-restricted, with the document's own estimate of $10K–40K cost + NDA + academic account — the same unverified-PDK-assumption pattern seen four times now across four drafts.</w:t>
      </w:r>
    </w:p>
    <w:p>
      <w:pPr>
        <w:pStyle w:val="ListParagraph"/>
        <w:numPr>
          <w:ilvl w:val="0"/>
          <w:numId w:val="2"/>
        </w:numPr>
        <w:spacing w:after="70"/>
      </w:pPr>
      <w:r>
        <w:rPr>
          <w:rFonts w:ascii="Calibri" w:cs="Calibri" w:eastAsia="Calibri" w:hAnsi="Calibri"/>
          <w:sz w:val="21"/>
          <w:szCs w:val="21"/>
        </w:rPr>
        <w:t xml:space="preserve">UPF + CLP reappeared as core deliverables — the exact specialty already identified as too large a jump.</w:t>
      </w:r>
    </w:p>
    <w:p>
      <w:pPr>
        <w:pStyle w:val="ListParagraph"/>
        <w:numPr>
          <w:ilvl w:val="0"/>
          <w:numId w:val="2"/>
        </w:numPr>
        <w:spacing w:after="70"/>
      </w:pPr>
      <w:r>
        <w:rPr>
          <w:rFonts w:ascii="Calibri" w:cs="Calibri" w:eastAsia="Calibri" w:hAnsi="Calibri"/>
          <w:sz w:val="21"/>
          <w:szCs w:val="21"/>
        </w:rPr>
        <w:t xml:space="preserve">New complexity: SEC-DED, self-checking duplicated voting, formal SET/SEU/MBU fault model, recovery FSM with mask ROM, CDC synchronizer design.</w:t>
      </w:r>
    </w:p>
    <w:p>
      <w:pPr>
        <w:pStyle w:val="ListParagraph"/>
        <w:numPr>
          <w:ilvl w:val="0"/>
          <w:numId w:val="2"/>
        </w:numPr>
        <w:spacing w:after="70"/>
      </w:pPr>
      <w:r>
        <w:rPr>
          <w:rFonts w:ascii="Calibri" w:cs="Calibri" w:eastAsia="Calibri" w:hAnsi="Calibri"/>
          <w:sz w:val="21"/>
          <w:szCs w:val="21"/>
        </w:rPr>
        <w:t xml:space="preserve">Internal inconsistency: targeted &lt;40% TMR area overhead while citing a reference paper (IIT Madras M.Tech thesis) reporting 53.8% for a smaller-scope (DMR) design. NOTE: none of the three cited theses (IIT Madras, Lund University, TU Braunschweig) have been independently verified by this conversation — confirm before citing them anywhere.</w:t>
      </w:r>
    </w:p>
    <w:p>
      <w:pPr>
        <w:spacing w:after="70" w:before="180"/>
      </w:pPr>
      <w:r>
        <w:rPr>
          <w:rFonts w:ascii="Calibri" w:cs="Calibri" w:eastAsia="Calibri" w:hAnsi="Calibri"/>
          <w:b/>
          <w:bCs/>
          <w:sz w:val="22"/>
          <w:szCs w:val="22"/>
        </w:rPr>
        <w:t xml:space="preserve">What was genuinely good (kept going forward):</w:t>
      </w:r>
    </w:p>
    <w:p>
      <w:pPr>
        <w:pStyle w:val="ListParagraph"/>
        <w:numPr>
          <w:ilvl w:val="0"/>
          <w:numId w:val="2"/>
        </w:numPr>
        <w:spacing w:after="70"/>
      </w:pPr>
      <w:r>
        <w:rPr>
          <w:rFonts w:ascii="Calibri" w:cs="Calibri" w:eastAsia="Calibri" w:hAnsi="Calibri"/>
          <w:sz w:val="21"/>
          <w:szCs w:val="21"/>
        </w:rPr>
        <w:t xml:space="preserve">Real, specific, checkable prior-art citations instead of uncredited borrowed numbers (still unverified — confirm independently).</w:t>
      </w:r>
    </w:p>
    <w:p>
      <w:pPr>
        <w:pStyle w:val="ListParagraph"/>
        <w:numPr>
          <w:ilvl w:val="0"/>
          <w:numId w:val="2"/>
        </w:numPr>
        <w:spacing w:after="70"/>
      </w:pPr>
      <w:r>
        <w:rPr>
          <w:rFonts w:ascii="Calibri" w:cs="Calibri" w:eastAsia="Calibri" w:hAnsi="Calibri"/>
          <w:sz w:val="21"/>
          <w:szCs w:val="21"/>
        </w:rPr>
        <w:t xml:space="preserve">An honest in-line self-correction of a previously false 40% power-savings claim — good practice, worth continuing.</w:t>
      </w:r>
    </w:p>
    <w:p>
      <w:pPr>
        <w:pStyle w:val="ListParagraph"/>
        <w:numPr>
          <w:ilvl w:val="0"/>
          <w:numId w:val="2"/>
        </w:numPr>
        <w:spacing w:after="70"/>
      </w:pPr>
      <w:r>
        <w:rPr>
          <w:rFonts w:ascii="Calibri" w:cs="Calibri" w:eastAsia="Calibri" w:hAnsi="Calibri"/>
          <w:sz w:val="21"/>
          <w:szCs w:val="21"/>
        </w:rPr>
        <w:t xml:space="preserve">An explicit 'Scope Exclusions' section — good discipline, kept as a template ever since.</w:t>
      </w:r>
    </w:p>
    <w:p>
      <w:pPr>
        <w:pStyle w:val="ListParagraph"/>
        <w:numPr>
          <w:ilvl w:val="0"/>
          <w:numId w:val="2"/>
        </w:numPr>
        <w:spacing w:after="70"/>
      </w:pPr>
      <w:r>
        <w:rPr>
          <w:rFonts w:ascii="Calibri" w:cs="Calibri" w:eastAsia="Calibri" w:hAnsi="Calibri"/>
          <w:sz w:val="21"/>
          <w:szCs w:val="21"/>
        </w:rPr>
        <w:t xml:space="preserve">Dropped invented battery/ADC sensing in favor of a plain external signal/software command.</w:t>
      </w:r>
    </w:p>
    <w:p>
      <w:pPr>
        <w:pStyle w:val="ListParagraph"/>
        <w:numPr>
          <w:ilvl w:val="0"/>
          <w:numId w:val="2"/>
        </w:numPr>
        <w:spacing w:after="70"/>
      </w:pPr>
      <w:r>
        <w:rPr>
          <w:rFonts w:ascii="Calibri" w:cs="Calibri" w:eastAsia="Calibri" w:hAnsi="Calibri"/>
          <w:sz w:val="21"/>
          <w:szCs w:val="21"/>
        </w:rPr>
        <w:t xml:space="preserve">SEC-DED and self-checking voting identified as genuine, well-scoped, standard-technique upgrades — both bounded and realistically learnable, UNLIKE UPF.</w:t>
      </w:r>
    </w:p>
    <w:p>
      <w:pPr>
        <w:pStyle w:val="Heading2"/>
        <w:spacing w:after="110" w:before="260"/>
      </w:pPr>
      <w:r>
        <w:rPr>
          <w:rFonts w:ascii="Calibri" w:cs="Calibri" w:eastAsia="Calibri" w:hAnsi="Calibri"/>
          <w:b/>
          <w:bCs/>
          <w:color w:val="1F3864"/>
          <w:sz w:val="24"/>
          <w:szCs w:val="24"/>
        </w:rPr>
        <w:t xml:space="preserve">3.9 Honest Feasibility Check (Pre-Guide-Feedback)</w:t>
      </w:r>
    </w:p>
    <w:p>
      <w:pPr>
        <w:spacing w:after="150" w:line="276"/>
      </w:pPr>
      <w:r>
        <w:rPr>
          <w:rFonts w:ascii="Calibri" w:cs="Calibri" w:eastAsia="Calibri" w:hAnsi="Calibri"/>
          <w:sz w:val="21"/>
          <w:szCs w:val="21"/>
        </w:rPr>
        <w:t xml:space="preserve">Rated 4/10 for the TSMC/UPF-inclusive version even given two semesters — TSMC access judged a likely hard blocker (not just a risk), and UPF+CLP+SEC-DED+self-checking-voting+CDC+MMMC STA stacked together judged 5–6 specialties deep for a team whose only verified PD experience is one guided multiplier run. Noted that stripping UPF/TSMC while keeping the RTL-layer architecture (SEC-DED, selective TMR, self-checking voter, honest fault model, mode FSM) and using clock-gating on whatever PDK is actually available would raise the score to 7–8/10.</w:t>
      </w:r>
    </w:p>
    <w:p>
      <w:pPr>
        <w:pStyle w:val="Heading2"/>
        <w:spacing w:after="110" w:before="260"/>
      </w:pPr>
      <w:r>
        <w:rPr>
          <w:rFonts w:ascii="Calibri" w:cs="Calibri" w:eastAsia="Calibri" w:hAnsi="Calibri"/>
          <w:b/>
          <w:bCs/>
          <w:color w:val="1F3864"/>
          <w:sz w:val="24"/>
          <w:szCs w:val="24"/>
        </w:rPr>
        <w:t xml:space="preserve">3.10 Optimized, General (Application-Agnostic) Version</w:t>
      </w:r>
    </w:p>
    <w:p>
      <w:pPr>
        <w:spacing w:after="150" w:line="276"/>
      </w:pPr>
      <w:r>
        <w:rPr>
          <w:rFonts w:ascii="Calibri" w:cs="Calibri" w:eastAsia="Calibri" w:hAnsi="Calibri"/>
          <w:sz w:val="21"/>
          <w:szCs w:val="21"/>
        </w:rPr>
        <w:t xml:space="preserve">Per instruction to keep the topic general rather than application-specific, an optimized topic was produced: Selective Fault-Tolerant RISC-V Core with Error-Correcting Register File and Adaptive Redundancy Control — PDK-agnostic, UPF-free, keeping RV32E, selective TMR, SEC-DED, self-checking voter, honest fault model, and mode FSM, with success metrics reframed as measured/reported outcomes rather than pre-committed targets. Realistic score at this stage: 7/10 across two semesters.</w:t>
      </w:r>
    </w:p>
    <w:p>
      <w:pPr>
        <w:spacing w:after="150" w:line="276"/>
      </w:pPr>
      <w:r>
        <w:rPr>
          <w:rFonts w:ascii="Calibri" w:cs="Calibri" w:eastAsia="Calibri" w:hAnsi="Calibri"/>
          <w:sz w:val="21"/>
          <w:szCs w:val="21"/>
        </w:rPr>
        <w:t xml:space="preserve">A comprehensive handoff document (the predecessor to this one) was produced at this point, capturing the full history through this stage.</w:t>
      </w:r>
    </w:p>
    <w:p>
      <w:pPr>
        <w:pStyle w:val="Heading2"/>
        <w:spacing w:after="110" w:before="260"/>
      </w:pPr>
      <w:r>
        <w:rPr>
          <w:rFonts w:ascii="Calibri" w:cs="Calibri" w:eastAsia="Calibri" w:hAnsi="Calibri"/>
          <w:b/>
          <w:bCs/>
          <w:color w:val="1F3864"/>
          <w:sz w:val="24"/>
          <w:szCs w:val="24"/>
        </w:rPr>
        <w:t xml:space="preserve">3.11 Guide Feedback: Timeline Capped at January 2027</w:t>
      </w:r>
    </w:p>
    <w:p>
      <w:pPr>
        <w:spacing w:after="150" w:line="276"/>
      </w:pPr>
      <w:r>
        <w:rPr>
          <w:rFonts w:ascii="Calibri" w:cs="Calibri" w:eastAsia="Calibri" w:hAnsi="Calibri"/>
          <w:sz w:val="21"/>
          <w:szCs w:val="21"/>
        </w:rPr>
        <w:t xml:space="preserve">The team's professors reviewed a further-revised project document (Version 2.0 of the architecture doc, uploaded as RISC-V_Project_Review.pdf) and judged the project too complex for the original two-semester plan, capping the deadline at a maximum of January 2027 — approximately 24 weeks from July 22, 2026, roughly a third less time than the two-semester assumption.</w:t>
      </w:r>
    </w:p>
    <w:p>
      <w:pPr>
        <w:spacing w:after="70" w:before="180"/>
      </w:pPr>
      <w:r>
        <w:rPr>
          <w:rFonts w:ascii="Calibri" w:cs="Calibri" w:eastAsia="Calibri" w:hAnsi="Calibri"/>
          <w:b/>
          <w:bCs/>
          <w:sz w:val="22"/>
          <w:szCs w:val="22"/>
        </w:rPr>
        <w:t xml:space="preserve">Problems found in that Version 2.0 document, independent of the timeline cut:</w:t>
      </w:r>
    </w:p>
    <w:p>
      <w:pPr>
        <w:pStyle w:val="ListParagraph"/>
        <w:numPr>
          <w:ilvl w:val="0"/>
          <w:numId w:val="2"/>
        </w:numPr>
        <w:spacing w:after="70"/>
      </w:pPr>
      <w:r>
        <w:rPr>
          <w:rFonts w:ascii="Calibri" w:cs="Calibri" w:eastAsia="Calibri" w:hAnsi="Calibri"/>
          <w:sz w:val="21"/>
          <w:szCs w:val="21"/>
        </w:rPr>
        <w:t xml:space="preserve">No schedule anywhere in the document — zero weeks, zero phases, zero milestones, which does not match a guide-imposed hard deadline.</w:t>
      </w:r>
    </w:p>
    <w:p>
      <w:pPr>
        <w:pStyle w:val="ListParagraph"/>
        <w:numPr>
          <w:ilvl w:val="0"/>
          <w:numId w:val="2"/>
        </w:numPr>
        <w:spacing w:after="70"/>
      </w:pPr>
      <w:r>
        <w:rPr>
          <w:rFonts w:ascii="Calibri" w:cs="Calibri" w:eastAsia="Calibri" w:hAnsi="Calibri"/>
          <w:sz w:val="21"/>
          <w:szCs w:val="21"/>
        </w:rPr>
        <w:t xml:space="preserve">Full ASIC signoff (all of RTL through DRC/LVS) scoped as if two full semesters were still available, with no acknowledgment of the timeline cut.</w:t>
      </w:r>
    </w:p>
    <w:p>
      <w:pPr>
        <w:pStyle w:val="ListParagraph"/>
        <w:numPr>
          <w:ilvl w:val="0"/>
          <w:numId w:val="2"/>
        </w:numPr>
        <w:spacing w:after="70"/>
      </w:pPr>
      <w:r>
        <w:rPr>
          <w:rFonts w:ascii="Calibri" w:cs="Calibri" w:eastAsia="Calibri" w:hAnsi="Calibri"/>
          <w:sz w:val="21"/>
          <w:szCs w:val="21"/>
        </w:rPr>
        <w:t xml:space="preserve">Self-checking dual-voter reintroduced as a core (not optional) feature — real engineering value, but second-order relative to its cost given the compressed timeline.</w:t>
      </w:r>
    </w:p>
    <w:p>
      <w:pPr>
        <w:pStyle w:val="ListParagraph"/>
        <w:numPr>
          <w:ilvl w:val="0"/>
          <w:numId w:val="2"/>
        </w:numPr>
        <w:spacing w:after="70"/>
      </w:pPr>
      <w:r>
        <w:rPr>
          <w:rFonts w:ascii="Calibri" w:cs="Calibri" w:eastAsia="Calibri" w:hAnsi="Calibri"/>
          <w:sz w:val="21"/>
          <w:szCs w:val="21"/>
        </w:rPr>
        <w:t xml:space="preserve">Eight verification activities listed with no prioritization or weighting.</w:t>
      </w:r>
    </w:p>
    <w:p>
      <w:pPr>
        <w:spacing w:after="70" w:before="180"/>
      </w:pPr>
      <w:r>
        <w:rPr>
          <w:rFonts w:ascii="Calibri" w:cs="Calibri" w:eastAsia="Calibri" w:hAnsi="Calibri"/>
          <w:b/>
          <w:bCs/>
          <w:sz w:val="22"/>
          <w:szCs w:val="22"/>
        </w:rPr>
        <w:t xml:space="preserve">What was confirmed still correct and worth keeping:</w:t>
      </w:r>
    </w:p>
    <w:p>
      <w:pPr>
        <w:pStyle w:val="ListParagraph"/>
        <w:numPr>
          <w:ilvl w:val="0"/>
          <w:numId w:val="2"/>
        </w:numPr>
        <w:spacing w:after="70"/>
      </w:pPr>
      <w:r>
        <w:rPr>
          <w:rFonts w:ascii="Calibri" w:cs="Calibri" w:eastAsia="Calibri" w:hAnsi="Calibri"/>
          <w:sz w:val="21"/>
          <w:szCs w:val="21"/>
        </w:rPr>
        <w:t xml:space="preserve">The document's 'PDK-agnostic' framing (Section 16 of that draft) was exactly right — finally stating the honest position after four previous drafts each named an unconfirmed specific PDK. This must not regress in any future version.</w:t>
      </w:r>
    </w:p>
    <w:p>
      <w:pPr>
        <w:pStyle w:val="Heading2"/>
        <w:spacing w:after="110" w:before="260"/>
      </w:pPr>
      <w:r>
        <w:rPr>
          <w:rFonts w:ascii="Calibri" w:cs="Calibri" w:eastAsia="Calibri" w:hAnsi="Calibri"/>
          <w:b/>
          <w:bCs/>
          <w:color w:val="1F3864"/>
          <w:sz w:val="24"/>
          <w:szCs w:val="24"/>
        </w:rPr>
        <w:t xml:space="preserve">3.12 Pipeline Depth Decision: 5-Stage vs. 3-Stage</w:t>
      </w:r>
    </w:p>
    <w:p>
      <w:pPr>
        <w:spacing w:after="150" w:line="276"/>
      </w:pPr>
      <w:r>
        <w:rPr>
          <w:rFonts w:ascii="Calibri" w:cs="Calibri" w:eastAsia="Calibri" w:hAnsi="Calibri"/>
          <w:sz w:val="21"/>
          <w:szCs w:val="21"/>
        </w:rPr>
        <w:t xml:space="preserve">A full pros/cons analysis was done comparing a 5-stage pipeline (the common reference design, e.g. SERV/PicoRV32) against a 3-stage pipeline (Fetch / Decode+Execute / Memory+Writeback), specifically in light of the compressed timeline.</w:t>
      </w:r>
    </w:p>
    <w:p>
      <w:pPr>
        <w:spacing w:after="70" w:before="180"/>
      </w:pPr>
      <w:r>
        <w:rPr>
          <w:rFonts w:ascii="Calibri" w:cs="Calibri" w:eastAsia="Calibri" w:hAnsi="Calibri"/>
          <w:b/>
          <w:bCs/>
          <w:sz w:val="22"/>
          <w:szCs w:val="22"/>
        </w:rPr>
        <w:t xml:space="preserve">Reasons 3-stage was chosen:</w:t>
      </w:r>
    </w:p>
    <w:p>
      <w:pPr>
        <w:pStyle w:val="ListParagraph"/>
        <w:numPr>
          <w:ilvl w:val="0"/>
          <w:numId w:val="2"/>
        </w:numPr>
        <w:spacing w:after="70"/>
      </w:pPr>
      <w:r>
        <w:rPr>
          <w:rFonts w:ascii="Calibri" w:cs="Calibri" w:eastAsia="Calibri" w:hAnsi="Calibri"/>
          <w:sz w:val="21"/>
          <w:szCs w:val="21"/>
        </w:rPr>
        <w:t xml:space="preserve">Fewer pipeline stages directly reduce the number of hazard cases, forwarding paths, and stall/flush logic — shrinking the team's previously-identified highest-risk RTL work (hazard handling).</w:t>
      </w:r>
    </w:p>
    <w:p>
      <w:pPr>
        <w:pStyle w:val="ListParagraph"/>
        <w:numPr>
          <w:ilvl w:val="0"/>
          <w:numId w:val="2"/>
        </w:numPr>
        <w:spacing w:after="70"/>
      </w:pPr>
      <w:r>
        <w:rPr>
          <w:rFonts w:ascii="Calibri" w:cs="Calibri" w:eastAsia="Calibri" w:hAnsi="Calibri"/>
          <w:sz w:val="21"/>
          <w:szCs w:val="21"/>
        </w:rPr>
        <w:t xml:space="preserve">Fewer pipeline register boundaries mean a smaller, simpler fault surface for the fault model.</w:t>
      </w:r>
    </w:p>
    <w:p>
      <w:pPr>
        <w:pStyle w:val="ListParagraph"/>
        <w:numPr>
          <w:ilvl w:val="0"/>
          <w:numId w:val="2"/>
        </w:numPr>
        <w:spacing w:after="70"/>
      </w:pPr>
      <w:r>
        <w:rPr>
          <w:rFonts w:ascii="Calibri" w:cs="Calibri" w:eastAsia="Calibri" w:hAnsi="Calibri"/>
          <w:sz w:val="21"/>
          <w:szCs w:val="21"/>
        </w:rPr>
        <w:t xml:space="preserve">The project's success metrics center on fault coverage, area, and power — not throughput — so the performance/CPI cost of merging stages has little bearing on the project's actual goals.</w:t>
      </w:r>
    </w:p>
    <w:p>
      <w:pPr>
        <w:pStyle w:val="ListParagraph"/>
        <w:numPr>
          <w:ilvl w:val="0"/>
          <w:numId w:val="2"/>
        </w:numPr>
        <w:spacing w:after="70"/>
      </w:pPr>
      <w:r>
        <w:rPr>
          <w:rFonts w:ascii="Calibri" w:cs="Calibri" w:eastAsia="Calibri" w:hAnsi="Calibri"/>
          <w:sz w:val="21"/>
          <w:szCs w:val="21"/>
        </w:rPr>
        <w:t xml:space="preserve">Faster path to a working, simulating core — directly addresses the compressed timeline.</w:t>
      </w:r>
    </w:p>
    <w:p>
      <w:pPr>
        <w:spacing w:after="70" w:before="180"/>
      </w:pPr>
      <w:r>
        <w:rPr>
          <w:rFonts w:ascii="Calibri" w:cs="Calibri" w:eastAsia="Calibri" w:hAnsi="Calibri"/>
          <w:b/>
          <w:bCs/>
          <w:sz w:val="22"/>
          <w:szCs w:val="22"/>
        </w:rPr>
        <w:t xml:space="preserve">Accepted tradeoffs:</w:t>
      </w:r>
    </w:p>
    <w:p>
      <w:pPr>
        <w:pStyle w:val="ListParagraph"/>
        <w:numPr>
          <w:ilvl w:val="0"/>
          <w:numId w:val="2"/>
        </w:numPr>
        <w:spacing w:after="70"/>
      </w:pPr>
      <w:r>
        <w:rPr>
          <w:rFonts w:ascii="Calibri" w:cs="Calibri" w:eastAsia="Calibri" w:hAnsi="Calibri"/>
          <w:sz w:val="21"/>
          <w:szCs w:val="21"/>
        </w:rPr>
        <w:t xml:space="preserve">Lower throughput/CPI than 5-stage (judged acceptable given the project's actual metrics).</w:t>
      </w:r>
    </w:p>
    <w:p>
      <w:pPr>
        <w:pStyle w:val="ListParagraph"/>
        <w:numPr>
          <w:ilvl w:val="0"/>
          <w:numId w:val="2"/>
        </w:numPr>
        <w:spacing w:after="70"/>
      </w:pPr>
      <w:r>
        <w:rPr>
          <w:rFonts w:ascii="Calibri" w:cs="Calibri" w:eastAsia="Calibri" w:hAnsi="Calibri"/>
          <w:sz w:val="21"/>
          <w:szCs w:val="21"/>
        </w:rPr>
        <w:t xml:space="preserve">Less alignment with the most commonly cited reference implementations — mitigated by explicitly documenting this as a deliberate tradeoff, not an unexplained simplification, in the project document itself.</w:t>
      </w:r>
    </w:p>
    <w:p>
      <w:pPr>
        <w:pStyle w:val="ListParagraph"/>
        <w:numPr>
          <w:ilvl w:val="0"/>
          <w:numId w:val="2"/>
        </w:numPr>
        <w:spacing w:after="70"/>
      </w:pPr>
      <w:r>
        <w:rPr>
          <w:rFonts w:ascii="Calibri" w:cs="Calibri" w:eastAsia="Calibri" w:hAnsi="Calibri"/>
          <w:sz w:val="21"/>
          <w:szCs w:val="21"/>
        </w:rPr>
        <w:t xml:space="preserve">Requires precise documentation of exactly which logic within the merged Decode+Execute stage is triplicated (ALU/shifter only).</w:t>
      </w:r>
    </w:p>
    <w:p>
      <w:pPr>
        <w:pStyle w:val="ListParagraph"/>
        <w:numPr>
          <w:ilvl w:val="0"/>
          <w:numId w:val="2"/>
        </w:numPr>
        <w:spacing w:after="70"/>
      </w:pPr>
      <w:r>
        <w:rPr>
          <w:rFonts w:ascii="Calibri" w:cs="Calibri" w:eastAsia="Calibri" w:hAnsi="Calibri"/>
          <w:sz w:val="21"/>
          <w:szCs w:val="21"/>
        </w:rPr>
        <w:t xml:space="preserve">The team's natural 3-way pipeline-stage split (used for the 5-stage version) needs rebalancing since there are now fewer independently ownable RTL blocks.</w:t>
      </w:r>
    </w:p>
    <w:p>
      <w:pPr>
        <w:pStyle w:val="Heading2"/>
        <w:spacing w:after="110" w:before="260"/>
      </w:pPr>
      <w:r>
        <w:rPr>
          <w:rFonts w:ascii="Calibri" w:cs="Calibri" w:eastAsia="Calibri" w:hAnsi="Calibri"/>
          <w:b/>
          <w:bCs/>
          <w:color w:val="1F3864"/>
          <w:sz w:val="24"/>
          <w:szCs w:val="24"/>
        </w:rPr>
        <w:t xml:space="preserve">3.13 Final Consolidated Change List and Version 3.0 Document</w:t>
      </w:r>
    </w:p>
    <w:p>
      <w:pPr>
        <w:spacing w:after="150" w:line="276"/>
      </w:pPr>
      <w:r>
        <w:rPr>
          <w:rFonts w:ascii="Calibri" w:cs="Calibri" w:eastAsia="Calibri" w:hAnsi="Calibri"/>
          <w:sz w:val="21"/>
          <w:szCs w:val="21"/>
        </w:rPr>
        <w:t xml:space="preserve">A final, consolidated list of changes from Version 2.0 to Version 3.0 was produced and built directly into a new project design/architecture document (Project_Final_v3.docx), covering: timeline compression acknowledgment with an explicit ~24-week schedule; 5-stage → 3-stage pipeline change with justification; self-checking dual-voter demoted to stretch goal; full PD signoff (CTS/routing/timing closure/DRC-LVS) demoted to stretch goal; verification activities explicitly ranked by priority (fault-injection campaigns + SEC-DED/TMR verification as Priority 1; hazard/mode-switching testing as Priority 2, required but scoped for less time).</w:t>
      </w:r>
    </w:p>
    <w:p>
      <w:pPr>
        <w:pStyle w:val="Heading2"/>
        <w:spacing w:after="110" w:before="260"/>
      </w:pPr>
      <w:r>
        <w:rPr>
          <w:rFonts w:ascii="Calibri" w:cs="Calibri" w:eastAsia="Calibri" w:hAnsi="Calibri"/>
          <w:b/>
          <w:bCs/>
          <w:color w:val="1F3864"/>
          <w:sz w:val="24"/>
          <w:szCs w:val="24"/>
        </w:rPr>
        <w:t xml:space="preserve">3.14 Fault Injection Mechanics — Explained</w:t>
      </w:r>
    </w:p>
    <w:p>
      <w:pPr>
        <w:spacing w:after="150" w:line="276"/>
      </w:pPr>
      <w:r>
        <w:rPr>
          <w:rFonts w:ascii="Calibri" w:cs="Calibri" w:eastAsia="Calibri" w:hAnsi="Calibri"/>
          <w:sz w:val="21"/>
          <w:szCs w:val="21"/>
        </w:rPr>
        <w:t xml:space="preserve">Since the project's core verification method is fault injection, the actual mechanics were explained for team understanding:</w:t>
      </w:r>
    </w:p>
    <w:p>
      <w:pPr>
        <w:pStyle w:val="ListParagraph"/>
        <w:numPr>
          <w:ilvl w:val="0"/>
          <w:numId w:val="2"/>
        </w:numPr>
        <w:spacing w:after="70"/>
      </w:pPr>
      <w:r>
        <w:rPr>
          <w:rFonts w:ascii="Calibri" w:cs="Calibri" w:eastAsia="Calibri" w:hAnsi="Calibri"/>
          <w:sz w:val="21"/>
          <w:szCs w:val="21"/>
        </w:rPr>
        <w:t xml:space="preserve">Fault injection is simulation-level, not physical radiation testing — you model the EFFECT of radiation/EMI (a bit flip) directly in the simulated hardware description, not by irradiating actual silicon. This is standard, accepted academic methodology and should be described precisely as 'simulated fault injection' in any report, not implied to be physical testing.</w:t>
      </w:r>
    </w:p>
    <w:p>
      <w:pPr>
        <w:pStyle w:val="ListParagraph"/>
        <w:numPr>
          <w:ilvl w:val="0"/>
          <w:numId w:val="2"/>
        </w:numPr>
        <w:spacing w:after="70"/>
      </w:pPr>
      <w:r>
        <w:rPr>
          <w:rFonts w:ascii="Calibri" w:cs="Calibri" w:eastAsia="Calibri" w:hAnsi="Calibri"/>
          <w:sz w:val="21"/>
          <w:szCs w:val="21"/>
        </w:rPr>
        <w:t xml:space="preserve">Mechanically: in the testbench, a specific internal signal (a register file bit, or an EX unit's output/internal register) is forced/XOR-flipped for exactly one clock cycle at a chosen (often randomized) simulation time, then released — matching the fault model's transient (not permanent stuck-at) nature.</w:t>
      </w:r>
    </w:p>
    <w:p>
      <w:pPr>
        <w:pStyle w:val="ListParagraph"/>
        <w:numPr>
          <w:ilvl w:val="0"/>
          <w:numId w:val="2"/>
        </w:numPr>
        <w:spacing w:after="70"/>
      </w:pPr>
      <w:r>
        <w:rPr>
          <w:rFonts w:ascii="Calibri" w:cs="Calibri" w:eastAsia="Calibri" w:hAnsi="Calibri"/>
          <w:sz w:val="21"/>
          <w:szCs w:val="21"/>
        </w:rPr>
        <w:t xml:space="preserve">A real campaign runs this process many times in a loop, randomizing which cycle, which bit, and which target signal is hit each trial, logging whether the fault was correctly masked/corrected each time. The resulting fault-masking/correction rate, computed from this self-generated data, is intended to be the project's core experimental result.</w:t>
      </w:r>
    </w:p>
    <w:p>
      <w:pPr>
        <w:pStyle w:val="ListParagraph"/>
        <w:numPr>
          <w:ilvl w:val="0"/>
          <w:numId w:val="2"/>
        </w:numPr>
        <w:spacing w:after="70"/>
      </w:pPr>
      <w:r>
        <w:rPr>
          <w:rFonts w:ascii="Calibri" w:cs="Calibri" w:eastAsia="Calibri" w:hAnsi="Calibri"/>
          <w:sz w:val="21"/>
          <w:szCs w:val="21"/>
        </w:rPr>
        <w:t xml:space="preserve">Two distinct campaigns are planned: a register-file campaign (single-bit flip → confirm SEC-DED correction; double-bit flip → confirm detection/reporting) and an Execute-stage campaign (single EX-unit fault → confirm majority voter masks it correctly; also test fault injection while in Simplex mode, where the design is expected to be vulnerable — a legitimate, useful data point demonstrating the reliability/power tradeoff quantitatively).</w:t>
      </w:r>
    </w:p>
    <w:p>
      <w:r>
        <w:br w:type="page"/>
      </w:r>
    </w:p>
    <w:p>
      <w:pPr>
        <w:pStyle w:val="Heading1"/>
        <w:pBdr>
          <w:bottom w:val="single" w:color="1F3864" w:sz="6" w:space="4"/>
        </w:pBdr>
        <w:spacing w:after="160" w:before="380"/>
      </w:pPr>
      <w:r>
        <w:rPr>
          <w:rFonts w:ascii="Calibri" w:cs="Calibri" w:eastAsia="Calibri" w:hAnsi="Calibri"/>
          <w:b/>
          <w:bCs/>
          <w:color w:val="1F3864"/>
          <w:sz w:val="30"/>
          <w:szCs w:val="30"/>
        </w:rPr>
        <w:t xml:space="preserve">4. Current Settled Topic and Plan (Version 3.0 — Current State)</w:t>
      </w:r>
    </w:p>
    <w:p>
      <w:pPr>
        <w:pStyle w:val="Heading2"/>
        <w:spacing w:after="110" w:before="260"/>
      </w:pPr>
      <w:r>
        <w:rPr>
          <w:rFonts w:ascii="Calibri" w:cs="Calibri" w:eastAsia="Calibri" w:hAnsi="Calibri"/>
          <w:b/>
          <w:bCs/>
          <w:color w:val="1F3864"/>
          <w:sz w:val="24"/>
          <w:szCs w:val="24"/>
        </w:rPr>
        <w:t xml:space="preserve">4.1 Topic</w:t>
      </w:r>
    </w:p>
    <w:p>
      <w:pPr>
        <w:spacing w:after="150" w:line="276"/>
      </w:pPr>
      <w:r>
        <w:rPr>
          <w:rFonts w:ascii="Calibri" w:cs="Calibri" w:eastAsia="Calibri" w:hAnsi="Calibri"/>
          <w:sz w:val="21"/>
          <w:szCs w:val="21"/>
        </w:rPr>
        <w:t xml:space="preserve">Selective Fault-Tolerant RV32E RISC-V Processor with Error-Correcting Register File, Adaptive Redundancy Control, and a 3-Stage Pipeline. General/application-agnostic. PDK-agnostic.</w:t>
      </w:r>
    </w:p>
    <w:p>
      <w:pPr>
        <w:pStyle w:val="Heading2"/>
        <w:spacing w:after="110" w:before="260"/>
      </w:pPr>
      <w:r>
        <w:rPr>
          <w:rFonts w:ascii="Calibri" w:cs="Calibri" w:eastAsia="Calibri" w:hAnsi="Calibri"/>
          <w:b/>
          <w:bCs/>
          <w:color w:val="1F3864"/>
          <w:sz w:val="24"/>
          <w:szCs w:val="24"/>
        </w:rPr>
        <w:t xml:space="preserve">4.2 Architecture (Current)</w:t>
      </w:r>
    </w:p>
    <w:p>
      <w:pPr>
        <w:pStyle w:val="ListParagraph"/>
        <w:numPr>
          <w:ilvl w:val="0"/>
          <w:numId w:val="2"/>
        </w:numPr>
        <w:spacing w:after="70"/>
      </w:pPr>
      <w:r>
        <w:rPr>
          <w:rFonts w:ascii="Calibri" w:cs="Calibri" w:eastAsia="Calibri" w:hAnsi="Calibri"/>
          <w:sz w:val="21"/>
          <w:szCs w:val="21"/>
        </w:rPr>
        <w:t xml:space="preserve">RV32E core, 3-stage pipeline: Fetch / Decode+Execute / Memory+Writeback (deliberately reduced from 5-stage — see 3.12).</w:t>
      </w:r>
    </w:p>
    <w:p>
      <w:pPr>
        <w:pStyle w:val="ListParagraph"/>
        <w:numPr>
          <w:ilvl w:val="0"/>
          <w:numId w:val="2"/>
        </w:numPr>
        <w:spacing w:after="70"/>
      </w:pPr>
      <w:r>
        <w:rPr>
          <w:rFonts w:ascii="Calibri" w:cs="Calibri" w:eastAsia="Calibri" w:hAnsi="Calibri"/>
          <w:sz w:val="21"/>
          <w:szCs w:val="21"/>
        </w:rPr>
        <w:t xml:space="preserve">SEC-DED (Hamming code) error correction on the register file.</w:t>
      </w:r>
    </w:p>
    <w:p>
      <w:pPr>
        <w:pStyle w:val="ListParagraph"/>
        <w:numPr>
          <w:ilvl w:val="0"/>
          <w:numId w:val="2"/>
        </w:numPr>
        <w:spacing w:after="70"/>
      </w:pPr>
      <w:r>
        <w:rPr>
          <w:rFonts w:ascii="Calibri" w:cs="Calibri" w:eastAsia="Calibri" w:hAnsi="Calibri"/>
          <w:sz w:val="21"/>
          <w:szCs w:val="21"/>
        </w:rPr>
        <w:t xml:space="preserve">Selective TMR on the Execute logic only (EX0/EX1/EX2), within the merged Decode+Execute stage.</w:t>
      </w:r>
    </w:p>
    <w:p>
      <w:pPr>
        <w:pStyle w:val="ListParagraph"/>
        <w:numPr>
          <w:ilvl w:val="0"/>
          <w:numId w:val="2"/>
        </w:numPr>
        <w:spacing w:after="70"/>
      </w:pPr>
      <w:r>
        <w:rPr>
          <w:rFonts w:ascii="Calibri" w:cs="Calibri" w:eastAsia="Calibri" w:hAnsi="Calibri"/>
          <w:sz w:val="21"/>
          <w:szCs w:val="21"/>
        </w:rPr>
        <w:t xml:space="preserve">Single majority voter (self-checking dual-voter demoted to stretch goal).</w:t>
      </w:r>
    </w:p>
    <w:p>
      <w:pPr>
        <w:pStyle w:val="ListParagraph"/>
        <w:numPr>
          <w:ilvl w:val="0"/>
          <w:numId w:val="2"/>
        </w:numPr>
        <w:spacing w:after="70"/>
      </w:pPr>
      <w:r>
        <w:rPr>
          <w:rFonts w:ascii="Calibri" w:cs="Calibri" w:eastAsia="Calibri" w:hAnsi="Calibri"/>
          <w:sz w:val="21"/>
          <w:szCs w:val="21"/>
        </w:rPr>
        <w:t xml:space="preserve">Explicit, bounded fault model: SEUs/SETs protected and corrected/masked; MBUs detected but not corrected (documented limitation).</w:t>
      </w:r>
    </w:p>
    <w:p>
      <w:pPr>
        <w:pStyle w:val="ListParagraph"/>
        <w:numPr>
          <w:ilvl w:val="0"/>
          <w:numId w:val="2"/>
        </w:numPr>
        <w:spacing w:after="70"/>
      </w:pPr>
      <w:r>
        <w:rPr>
          <w:rFonts w:ascii="Calibri" w:cs="Calibri" w:eastAsia="Calibri" w:hAnsi="Calibri"/>
          <w:sz w:val="21"/>
          <w:szCs w:val="21"/>
        </w:rPr>
        <w:t xml:space="preserve">Two-state mode control (Simplex vs. TMR), via external signal or software-writable register.</w:t>
      </w:r>
    </w:p>
    <w:p>
      <w:pPr>
        <w:pStyle w:val="ListParagraph"/>
        <w:numPr>
          <w:ilvl w:val="0"/>
          <w:numId w:val="2"/>
        </w:numPr>
        <w:spacing w:after="70"/>
      </w:pPr>
      <w:r>
        <w:rPr>
          <w:rFonts w:ascii="Calibri" w:cs="Calibri" w:eastAsia="Calibri" w:hAnsi="Calibri"/>
          <w:sz w:val="21"/>
          <w:szCs w:val="21"/>
        </w:rPr>
        <w:t xml:space="preserve">Power efficiency via clock-gating (Genus-inferred ICG cells) and operand isolation — NOT UPF.</w:t>
      </w:r>
    </w:p>
    <w:p>
      <w:pPr>
        <w:pStyle w:val="ListParagraph"/>
        <w:numPr>
          <w:ilvl w:val="0"/>
          <w:numId w:val="2"/>
        </w:numPr>
        <w:spacing w:after="70"/>
      </w:pPr>
      <w:r>
        <w:rPr>
          <w:rFonts w:ascii="Calibri" w:cs="Calibri" w:eastAsia="Calibri" w:hAnsi="Calibri"/>
          <w:sz w:val="21"/>
          <w:szCs w:val="21"/>
        </w:rPr>
        <w:t xml:space="preserve">Hazard handling: forwarding, stall, and flush logic, scoped for a 3-stage pipeline's reduced hazard surface.</w:t>
      </w:r>
    </w:p>
    <w:p>
      <w:pPr>
        <w:pStyle w:val="Heading2"/>
        <w:spacing w:after="110" w:before="260"/>
      </w:pPr>
      <w:r>
        <w:rPr>
          <w:rFonts w:ascii="Calibri" w:cs="Calibri" w:eastAsia="Calibri" w:hAnsi="Calibri"/>
          <w:b/>
          <w:bCs/>
          <w:color w:val="1F3864"/>
          <w:sz w:val="24"/>
          <w:szCs w:val="24"/>
        </w:rPr>
        <w:t xml:space="preserve">4.3 Committed Deliverables (~24-Week Timeline)</w:t>
      </w:r>
    </w:p>
    <w:p>
      <w:pPr>
        <w:pStyle w:val="ListParagraph"/>
        <w:numPr>
          <w:ilvl w:val="0"/>
          <w:numId w:val="2"/>
        </w:numPr>
        <w:spacing w:after="70"/>
      </w:pPr>
      <w:r>
        <w:rPr>
          <w:rFonts w:ascii="Calibri" w:cs="Calibri" w:eastAsia="Calibri" w:hAnsi="Calibri"/>
          <w:sz w:val="21"/>
          <w:szCs w:val="21"/>
        </w:rPr>
        <w:t xml:space="preserve">Working, simulated 3-stage RV32E core.</w:t>
      </w:r>
    </w:p>
    <w:p>
      <w:pPr>
        <w:pStyle w:val="ListParagraph"/>
        <w:numPr>
          <w:ilvl w:val="0"/>
          <w:numId w:val="2"/>
        </w:numPr>
        <w:spacing w:after="70"/>
      </w:pPr>
      <w:r>
        <w:rPr>
          <w:rFonts w:ascii="Calibri" w:cs="Calibri" w:eastAsia="Calibri" w:hAnsi="Calibri"/>
          <w:sz w:val="21"/>
          <w:szCs w:val="21"/>
        </w:rPr>
        <w:t xml:space="preserve">SEC-DED verified (single-bit correction, double-bit detection).</w:t>
      </w:r>
    </w:p>
    <w:p>
      <w:pPr>
        <w:pStyle w:val="ListParagraph"/>
        <w:numPr>
          <w:ilvl w:val="0"/>
          <w:numId w:val="2"/>
        </w:numPr>
        <w:spacing w:after="70"/>
      </w:pPr>
      <w:r>
        <w:rPr>
          <w:rFonts w:ascii="Calibri" w:cs="Calibri" w:eastAsia="Calibri" w:hAnsi="Calibri"/>
          <w:sz w:val="21"/>
          <w:szCs w:val="21"/>
        </w:rPr>
        <w:t xml:space="preserve">Selective TMR + single majority voter verified via structured fault-injection campaigns — the project's centerpiece result.</w:t>
      </w:r>
    </w:p>
    <w:p>
      <w:pPr>
        <w:pStyle w:val="ListParagraph"/>
        <w:numPr>
          <w:ilvl w:val="0"/>
          <w:numId w:val="2"/>
        </w:numPr>
        <w:spacing w:after="70"/>
      </w:pPr>
      <w:r>
        <w:rPr>
          <w:rFonts w:ascii="Calibri" w:cs="Calibri" w:eastAsia="Calibri" w:hAnsi="Calibri"/>
          <w:sz w:val="21"/>
          <w:szCs w:val="21"/>
        </w:rPr>
        <w:t xml:space="preserve">Mode-switching (Simplex/TMR) verified as non-corrupting.</w:t>
      </w:r>
    </w:p>
    <w:p>
      <w:pPr>
        <w:pStyle w:val="ListParagraph"/>
        <w:numPr>
          <w:ilvl w:val="0"/>
          <w:numId w:val="2"/>
        </w:numPr>
        <w:spacing w:after="70"/>
      </w:pPr>
      <w:r>
        <w:rPr>
          <w:rFonts w:ascii="Calibri" w:cs="Calibri" w:eastAsia="Calibri" w:hAnsi="Calibri"/>
          <w:sz w:val="21"/>
          <w:szCs w:val="21"/>
        </w:rPr>
        <w:t xml:space="preserve">Genus synthesis (with clock-gating/multi-Vt if available) on whatever PDK the lab actually has confirmed.</w:t>
      </w:r>
    </w:p>
    <w:p>
      <w:pPr>
        <w:pStyle w:val="ListParagraph"/>
        <w:numPr>
          <w:ilvl w:val="0"/>
          <w:numId w:val="2"/>
        </w:numPr>
        <w:spacing w:after="70"/>
      </w:pPr>
      <w:r>
        <w:rPr>
          <w:rFonts w:ascii="Calibri" w:cs="Calibri" w:eastAsia="Calibri" w:hAnsi="Calibri"/>
          <w:sz w:val="21"/>
          <w:szCs w:val="21"/>
        </w:rPr>
        <w:t xml:space="preserve">Basic Innovus floorplan/placement.</w:t>
      </w:r>
    </w:p>
    <w:p>
      <w:pPr>
        <w:pStyle w:val="ListParagraph"/>
        <w:numPr>
          <w:ilvl w:val="0"/>
          <w:numId w:val="2"/>
        </w:numPr>
        <w:spacing w:after="70"/>
      </w:pPr>
      <w:r>
        <w:rPr>
          <w:rFonts w:ascii="Calibri" w:cs="Calibri" w:eastAsia="Calibri" w:hAnsi="Calibri"/>
          <w:sz w:val="21"/>
          <w:szCs w:val="21"/>
        </w:rPr>
        <w:t xml:space="preserve">Genus/Innovus-level power comparison (TMR-on vs. Simplex).</w:t>
      </w:r>
    </w:p>
    <w:p>
      <w:pPr>
        <w:pStyle w:val="ListParagraph"/>
        <w:numPr>
          <w:ilvl w:val="0"/>
          <w:numId w:val="2"/>
        </w:numPr>
        <w:spacing w:after="70"/>
      </w:pPr>
      <w:r>
        <w:rPr>
          <w:rFonts w:ascii="Calibri" w:cs="Calibri" w:eastAsia="Calibri" w:hAnsi="Calibri"/>
          <w:sz w:val="21"/>
          <w:szCs w:val="21"/>
        </w:rPr>
        <w:t xml:space="preserve">Final documentation and PPA writeup.</w:t>
      </w:r>
    </w:p>
    <w:p>
      <w:pPr>
        <w:pStyle w:val="Heading2"/>
        <w:spacing w:after="110" w:before="260"/>
      </w:pPr>
      <w:r>
        <w:rPr>
          <w:rFonts w:ascii="Calibri" w:cs="Calibri" w:eastAsia="Calibri" w:hAnsi="Calibri"/>
          <w:b/>
          <w:bCs/>
          <w:color w:val="1F3864"/>
          <w:sz w:val="24"/>
          <w:szCs w:val="24"/>
        </w:rPr>
        <w:t xml:space="preserve">4.4 Stretch Goals (Only If Core Deliverables Finish Early)</w:t>
      </w:r>
    </w:p>
    <w:p>
      <w:pPr>
        <w:pStyle w:val="ListParagraph"/>
        <w:numPr>
          <w:ilvl w:val="0"/>
          <w:numId w:val="2"/>
        </w:numPr>
        <w:spacing w:after="70"/>
      </w:pPr>
      <w:r>
        <w:rPr>
          <w:rFonts w:ascii="Calibri" w:cs="Calibri" w:eastAsia="Calibri" w:hAnsi="Calibri"/>
          <w:sz w:val="21"/>
          <w:szCs w:val="21"/>
        </w:rPr>
        <w:t xml:space="preserve">Self-checking dual majority voter.</w:t>
      </w:r>
    </w:p>
    <w:p>
      <w:pPr>
        <w:pStyle w:val="ListParagraph"/>
        <w:numPr>
          <w:ilvl w:val="0"/>
          <w:numId w:val="2"/>
        </w:numPr>
        <w:spacing w:after="70"/>
      </w:pPr>
      <w:r>
        <w:rPr>
          <w:rFonts w:ascii="Calibri" w:cs="Calibri" w:eastAsia="Calibri" w:hAnsi="Calibri"/>
          <w:sz w:val="21"/>
          <w:szCs w:val="21"/>
        </w:rPr>
        <w:t xml:space="preserve">Full CTS, routing, multi-corner timing closure, DRC/LVS signoff.</w:t>
      </w:r>
    </w:p>
    <w:p>
      <w:pPr>
        <w:pStyle w:val="ListParagraph"/>
        <w:numPr>
          <w:ilvl w:val="0"/>
          <w:numId w:val="2"/>
        </w:numPr>
        <w:spacing w:after="70"/>
      </w:pPr>
      <w:r>
        <w:rPr>
          <w:rFonts w:ascii="Calibri" w:cs="Calibri" w:eastAsia="Calibri" w:hAnsi="Calibri"/>
          <w:sz w:val="21"/>
          <w:szCs w:val="21"/>
        </w:rPr>
        <w:t xml:space="preserve">MPW submission — only if PDK access and funding genuinely support it by that point.</w:t>
      </w:r>
    </w:p>
    <w:p>
      <w:pPr>
        <w:pStyle w:val="Heading2"/>
        <w:spacing w:after="110" w:before="260"/>
      </w:pPr>
      <w:r>
        <w:rPr>
          <w:rFonts w:ascii="Calibri" w:cs="Calibri" w:eastAsia="Calibri" w:hAnsi="Calibri"/>
          <w:b/>
          <w:bCs/>
          <w:color w:val="1F3864"/>
          <w:sz w:val="24"/>
          <w:szCs w:val="24"/>
        </w:rPr>
        <w:t xml:space="preserve">4.5 Suggested Schedule (≈ 24 Weeks, July 2026 – January 2027)</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Weeks</w:t>
            </w:r>
          </w:p>
        </w:tc>
        <w:tc>
          <w:tcPr>
            <w:tcW w:type="dxa" w:w="78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Focus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1–5</w:t>
            </w:r>
          </w:p>
        </w:tc>
        <w:tc>
          <w:tcPr>
            <w:tcW w:type="dxa" w:w="7800"/>
            <w:tcMar>
              <w:top w:type="dxa" w:w="80"/>
              <w:left w:type="dxa" w:w="100"/>
              <w:bottom w:type="dxa" w:w="80"/>
              <w:right w:type="dxa" w:w="100"/>
            </w:tcMar>
          </w:tcPr>
          <w:p>
            <w:r>
              <w:rPr>
                <w:rFonts w:ascii="Calibri" w:cs="Calibri" w:eastAsia="Calibri" w:hAnsi="Calibri"/>
                <w:b w:val="false"/>
                <w:bCs w:val="false"/>
                <w:color w:val="000000"/>
                <w:sz w:val="19"/>
                <w:szCs w:val="19"/>
              </w:rPr>
              <w:t xml:space="preserve">RV32E core RTL (3-stage pipeline), split across the team; basic simulation</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6–9</w:t>
            </w:r>
          </w:p>
        </w:tc>
        <w:tc>
          <w:tcPr>
            <w:tcW w:type="dxa" w:w="78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SEC-DED encoder/decoder on register file; verify correction/detection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10–14</w:t>
            </w:r>
          </w:p>
        </w:tc>
        <w:tc>
          <w:tcPr>
            <w:tcW w:type="dxa" w:w="7800"/>
            <w:tcMar>
              <w:top w:type="dxa" w:w="80"/>
              <w:left w:type="dxa" w:w="100"/>
              <w:bottom w:type="dxa" w:w="80"/>
              <w:right w:type="dxa" w:w="100"/>
            </w:tcMar>
          </w:tcPr>
          <w:p>
            <w:r>
              <w:rPr>
                <w:rFonts w:ascii="Calibri" w:cs="Calibri" w:eastAsia="Calibri" w:hAnsi="Calibri"/>
                <w:b w:val="false"/>
                <w:bCs w:val="false"/>
                <w:color w:val="000000"/>
                <w:sz w:val="19"/>
                <w:szCs w:val="19"/>
              </w:rPr>
              <w:t xml:space="preserve">Triplicated Execute logic, majority voter, mode control (Simplex/TMR), clock-gating + operand isolation</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15–19</w:t>
            </w:r>
          </w:p>
        </w:tc>
        <w:tc>
          <w:tcPr>
            <w:tcW w:type="dxa" w:w="78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Fault-injection campaigns (project centerpiece): structured trials, measured masking/correction rates, mode-switch verification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20–22</w:t>
            </w:r>
          </w:p>
        </w:tc>
        <w:tc>
          <w:tcPr>
            <w:tcW w:type="dxa" w:w="7800"/>
            <w:tcMar>
              <w:top w:type="dxa" w:w="80"/>
              <w:left w:type="dxa" w:w="100"/>
              <w:bottom w:type="dxa" w:w="80"/>
              <w:right w:type="dxa" w:w="100"/>
            </w:tcMar>
          </w:tcPr>
          <w:p>
            <w:r>
              <w:rPr>
                <w:rFonts w:ascii="Calibri" w:cs="Calibri" w:eastAsia="Calibri" w:hAnsi="Calibri"/>
                <w:b w:val="false"/>
                <w:bCs w:val="false"/>
                <w:color w:val="000000"/>
                <w:sz w:val="19"/>
                <w:szCs w:val="19"/>
              </w:rPr>
              <w:t xml:space="preserve">Genus synthesis; basic Innovus floorplan/placement; power comparison</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23–24</w:t>
            </w:r>
          </w:p>
        </w:tc>
        <w:tc>
          <w:tcPr>
            <w:tcW w:type="dxa" w:w="78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Documentation, PPA writeup, final report</w:t>
            </w:r>
          </w:p>
        </w:tc>
      </w:tr>
    </w:tbl>
    <w:p>
      <w:pPr>
        <w:pStyle w:val="Heading2"/>
        <w:spacing w:after="110" w:before="260"/>
      </w:pPr>
      <w:r>
        <w:rPr>
          <w:rFonts w:ascii="Calibri" w:cs="Calibri" w:eastAsia="Calibri" w:hAnsi="Calibri"/>
          <w:b/>
          <w:bCs/>
          <w:color w:val="1F3864"/>
          <w:sz w:val="24"/>
          <w:szCs w:val="24"/>
        </w:rPr>
        <w:t xml:space="preserve">4.6 What Must Still Be Confirmed</w:t>
      </w:r>
    </w:p>
    <w:p>
      <w:pPr>
        <w:pStyle w:val="ListParagraph"/>
        <w:numPr>
          <w:ilvl w:val="0"/>
          <w:numId w:val="2"/>
        </w:numPr>
        <w:spacing w:after="70"/>
      </w:pPr>
      <w:r>
        <w:rPr>
          <w:rFonts w:ascii="Calibri" w:cs="Calibri" w:eastAsia="Calibri" w:hAnsi="Calibri"/>
          <w:sz w:val="21"/>
          <w:szCs w:val="21"/>
        </w:rPr>
        <w:t xml:space="preserve">Exactly which standard cell library/PDK is actually licensed and usable at the team's own lab (confirmed so far: gsclib090, from the CUSAT internship files — verify whether other options exist).</w:t>
      </w:r>
    </w:p>
    <w:p>
      <w:pPr>
        <w:pStyle w:val="ListParagraph"/>
        <w:numPr>
          <w:ilvl w:val="0"/>
          <w:numId w:val="2"/>
        </w:numPr>
        <w:spacing w:after="70"/>
      </w:pPr>
      <w:r>
        <w:rPr>
          <w:rFonts w:ascii="Calibri" w:cs="Calibri" w:eastAsia="Calibri" w:hAnsi="Calibri"/>
          <w:sz w:val="21"/>
          <w:szCs w:val="21"/>
        </w:rPr>
        <w:t xml:space="preserve">Whether all three team members can independently run a basic Genus → Innovus flow without guidance (only one teammate has verified hands-on experience so far).</w:t>
      </w:r>
    </w:p>
    <w:p>
      <w:pPr>
        <w:pStyle w:val="ListParagraph"/>
        <w:numPr>
          <w:ilvl w:val="0"/>
          <w:numId w:val="2"/>
        </w:numPr>
        <w:spacing w:after="70"/>
      </w:pPr>
      <w:r>
        <w:rPr>
          <w:rFonts w:ascii="Calibri" w:cs="Calibri" w:eastAsia="Calibri" w:hAnsi="Calibri"/>
          <w:sz w:val="21"/>
          <w:szCs w:val="21"/>
        </w:rPr>
        <w:t xml:space="preserve">Final confirmation of the January 2027 deadline and any interim milestone/review dates the guide expects.</w:t>
      </w:r>
    </w:p>
    <w:p>
      <w:pPr>
        <w:pStyle w:val="Heading2"/>
        <w:spacing w:after="110" w:before="260"/>
      </w:pPr>
      <w:r>
        <w:rPr>
          <w:rFonts w:ascii="Calibri" w:cs="Calibri" w:eastAsia="Calibri" w:hAnsi="Calibri"/>
          <w:b/>
          <w:bCs/>
          <w:color w:val="1F3864"/>
          <w:sz w:val="24"/>
          <w:szCs w:val="24"/>
        </w:rPr>
        <w:t xml:space="preserve">4.7 Realistic Feasibility</w:t>
      </w:r>
    </w:p>
    <w:p>
      <w:pPr>
        <w:spacing w:after="150" w:line="276"/>
      </w:pPr>
      <w:r>
        <w:rPr>
          <w:rFonts w:ascii="Calibri" w:cs="Calibri" w:eastAsia="Calibri" w:hAnsi="Calibri"/>
          <w:sz w:val="21"/>
          <w:szCs w:val="21"/>
        </w:rPr>
        <w:t xml:space="preserve">Judged achievable within the ~24-week window given the 3-stage pipeline change and the demotion of the dual-voter and full PD signoff to stretch goals — provided the team locks a real, confirmed PDK early and does not let scope drift back toward any previously-rejected element (UPF, unconfirmed commercial PDKs, dual-voter-as-core-feature, full signoff-as-committed-deliverable).</w:t>
      </w:r>
    </w:p>
    <w:p>
      <w:pPr>
        <w:pStyle w:val="Heading1"/>
        <w:pBdr>
          <w:bottom w:val="single" w:color="1F3864" w:sz="6" w:space="4"/>
        </w:pBdr>
        <w:spacing w:after="160" w:before="380"/>
      </w:pPr>
      <w:r>
        <w:rPr>
          <w:rFonts w:ascii="Calibri" w:cs="Calibri" w:eastAsia="Calibri" w:hAnsi="Calibri"/>
          <w:b/>
          <w:bCs/>
          <w:color w:val="1F3864"/>
          <w:sz w:val="30"/>
          <w:szCs w:val="30"/>
        </w:rPr>
        <w:t xml:space="preserve">5. Standing Instructions / Preferences for Future Conversation</w:t>
      </w:r>
    </w:p>
    <w:p>
      <w:pPr>
        <w:pStyle w:val="ListParagraph"/>
        <w:numPr>
          <w:ilvl w:val="0"/>
          <w:numId w:val="2"/>
        </w:numPr>
        <w:spacing w:after="70"/>
      </w:pPr>
      <w:r>
        <w:rPr>
          <w:rFonts w:ascii="Calibri" w:cs="Calibri" w:eastAsia="Calibri" w:hAnsi="Calibri"/>
          <w:sz w:val="21"/>
          <w:szCs w:val="21"/>
        </w:rPr>
        <w:t xml:space="preserve">Be direct and skeptical by default. Stress-test ideas rather than validating them. Lead with what's wrong before what's right.</w:t>
      </w:r>
    </w:p>
    <w:p>
      <w:pPr>
        <w:pStyle w:val="ListParagraph"/>
        <w:numPr>
          <w:ilvl w:val="0"/>
          <w:numId w:val="2"/>
        </w:numPr>
        <w:spacing w:after="70"/>
      </w:pPr>
      <w:r>
        <w:rPr>
          <w:rFonts w:ascii="Calibri" w:cs="Calibri" w:eastAsia="Calibri" w:hAnsi="Calibri"/>
          <w:sz w:val="21"/>
          <w:szCs w:val="21"/>
        </w:rPr>
        <w:t xml:space="preserve">Do not accept AI-drafted (or any) proposal claims about tool/PDK/vendor access at face value — verify against actual confirmed lab facts before treating any plan as settled. This has been the single most recurring failure mode across every draft reviewed so far (five separate occurrences: SKY130/FreePDK45/SCL180 → 45nm → TSMC 180nm/65nm, plus two earlier Efabless-related errors).</w:t>
      </w:r>
    </w:p>
    <w:p>
      <w:pPr>
        <w:pStyle w:val="ListParagraph"/>
        <w:numPr>
          <w:ilvl w:val="0"/>
          <w:numId w:val="2"/>
        </w:numPr>
        <w:spacing w:after="70"/>
      </w:pPr>
      <w:r>
        <w:rPr>
          <w:rFonts w:ascii="Calibri" w:cs="Calibri" w:eastAsia="Calibri" w:hAnsi="Calibri"/>
          <w:sz w:val="21"/>
          <w:szCs w:val="21"/>
        </w:rPr>
        <w:t xml:space="preserve">Flag uncertainty explicitly rather than presenting guesses as settled facts.</w:t>
      </w:r>
    </w:p>
    <w:p>
      <w:pPr>
        <w:pStyle w:val="ListParagraph"/>
        <w:numPr>
          <w:ilvl w:val="0"/>
          <w:numId w:val="2"/>
        </w:numPr>
        <w:spacing w:after="70"/>
      </w:pPr>
      <w:r>
        <w:rPr>
          <w:rFonts w:ascii="Calibri" w:cs="Calibri" w:eastAsia="Calibri" w:hAnsi="Calibri"/>
          <w:sz w:val="21"/>
          <w:szCs w:val="21"/>
        </w:rPr>
        <w:t xml:space="preserve">The team is open to learning genuinely difficult new topics (already demonstrated: accepting SEC-DED and majority voting as reasonable additions) — the concern has never been 'too hard,' it's been 'this specific thing (UPF, unconfirmed PDKs, excessive stacked specialties) is disproportionately hard relative to team's verified experience, available infrastructure, and now a firm January 2027 deadline.'</w:t>
      </w:r>
    </w:p>
    <w:p>
      <w:pPr>
        <w:pStyle w:val="ListParagraph"/>
        <w:numPr>
          <w:ilvl w:val="0"/>
          <w:numId w:val="2"/>
        </w:numPr>
        <w:spacing w:after="70"/>
      </w:pPr>
      <w:r>
        <w:rPr>
          <w:rFonts w:ascii="Calibri" w:cs="Calibri" w:eastAsia="Calibri" w:hAnsi="Calibri"/>
          <w:sz w:val="21"/>
          <w:szCs w:val="21"/>
        </w:rPr>
        <w:t xml:space="preserve">The guide has already once judged a version of this project too complex and cut the timeline — treat any further scope addition with real caution, and default to demoting new ideas to 'stretch goal' status rather than folding them into the committed deliverable.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2026-07-22T05:46:05.396Z</dcterms:created>
  <dcterms:modified xsi:type="dcterms:W3CDTF">2026-07-22T05:46:05.419Z</dcterms:modified>
</cp:coreProperties>
</file>

<file path=docProps/custom.xml><?xml version="1.0" encoding="utf-8"?>
<Properties xmlns="http://schemas.openxmlformats.org/officeDocument/2006/custom-properties" xmlns:vt="http://schemas.openxmlformats.org/officeDocument/2006/docPropsVTypes"/>
</file>