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543A" w:rsidRDefault="00A25390">
      <w:pPr>
        <w:spacing w:after="280" w:line="360" w:lineRule="auto"/>
        <w:jc w:val="center"/>
        <w:rPr>
          <w:sz w:val="28"/>
          <w:szCs w:val="28"/>
        </w:rPr>
      </w:pPr>
      <w:r>
        <w:rPr>
          <w:b/>
          <w:bCs/>
          <w:sz w:val="28"/>
          <w:szCs w:val="28"/>
        </w:rPr>
        <w:t xml:space="preserve">Evaluating the Effect of Extreme Rainfall Return Periods on Temporal Flood Build-Up and Inundation Volume in the </w:t>
      </w:r>
      <w:proofErr w:type="spellStart"/>
      <w:r>
        <w:rPr>
          <w:b/>
          <w:bCs/>
          <w:sz w:val="28"/>
          <w:szCs w:val="28"/>
        </w:rPr>
        <w:t>Eleyele</w:t>
      </w:r>
      <w:proofErr w:type="spellEnd"/>
      <w:r>
        <w:rPr>
          <w:b/>
          <w:bCs/>
          <w:sz w:val="28"/>
          <w:szCs w:val="28"/>
        </w:rPr>
        <w:t xml:space="preserve"> Reservoir Using a Hybrid Machine Learning</w:t>
      </w:r>
      <w:r w:rsidR="0021644A">
        <w:rPr>
          <w:b/>
          <w:bCs/>
          <w:sz w:val="28"/>
          <w:szCs w:val="28"/>
        </w:rPr>
        <w:t xml:space="preserve"> </w:t>
      </w:r>
      <w:r>
        <w:rPr>
          <w:b/>
          <w:bCs/>
          <w:sz w:val="28"/>
          <w:szCs w:val="28"/>
        </w:rPr>
        <w:t>System Dynamics Framework</w:t>
      </w:r>
    </w:p>
    <w:p w:rsidR="00B8543A" w:rsidRDefault="00A25390">
      <w:pPr>
        <w:spacing w:before="280" w:after="280" w:line="360" w:lineRule="auto"/>
        <w:jc w:val="both"/>
      </w:pPr>
      <w:r>
        <w:rPr>
          <w:b/>
          <w:bCs/>
        </w:rPr>
        <w:t>Abstract</w:t>
      </w:r>
    </w:p>
    <w:p w:rsidR="00B8543A" w:rsidRDefault="00A25390">
      <w:pPr>
        <w:spacing w:before="280" w:after="280" w:line="360" w:lineRule="auto"/>
        <w:jc w:val="both"/>
      </w:pPr>
      <w:r>
        <w:t xml:space="preserve">Urban catchments in data-scarce regions, such as the Ona </w:t>
      </w:r>
      <w:r>
        <w:t>River basin in Nigeria, continue to face heightened vulnerability to catastrophic flash floods, a situation compounded by the chronic absence of sub-hourly gauge data. In response to these constraints, this study introduces a sequential hybrid framework th</w:t>
      </w:r>
      <w:r>
        <w:t xml:space="preserve">at integrates daily satellite meteorology, deep learning, extreme value statistics, and System Dynamics (SD) physical routing. The approach benchmarks the predictive limits of continuous daily forecasting using an Encoder-Decoder Attention-LSTM trained on </w:t>
      </w:r>
      <w:r>
        <w:t xml:space="preserve">36 years of fused NASA POWER and </w:t>
      </w:r>
      <w:proofErr w:type="spellStart"/>
      <w:r>
        <w:t>GEOGloWS</w:t>
      </w:r>
      <w:proofErr w:type="spellEnd"/>
      <w:r>
        <w:t xml:space="preserve"> data, while a sub-hourly SD level-pool model is used to simulate the </w:t>
      </w:r>
      <w:proofErr w:type="spellStart"/>
      <w:r>
        <w:t>Eleyele</w:t>
      </w:r>
      <w:proofErr w:type="spellEnd"/>
      <w:r>
        <w:t xml:space="preserve"> Reservoir’s response to Gumbel-derived design storms (5- to 50-year return periods) across a range of antecedent conditions. The empirica</w:t>
      </w:r>
      <w:r>
        <w:t xml:space="preserve">l results from the ML benchmark reveal a temporal “resolution ceiling,” where daily satellite forcing consistently underpredicts sub-hourly extreme peaks, even as it captures seasonal baseflow dynamics. This limitation necessitated a deliberate shift from </w:t>
      </w:r>
      <w:r>
        <w:t xml:space="preserve">continuous ML forecasting to physics-based scenario testing. Under severe antecedent wet-season storage (90%), SD simulation of a 50-year design storm produced 8.33 million cubic meters of spillway overflow. Furthermore, reconstruction of the catastrophic </w:t>
      </w:r>
      <w:r>
        <w:t>August 2011 event yielded a peak spillway discharge of 748.82 m³/s and 23.65 million cubic meters of cumulative downstream overflow, aligning with historical accounts of damage. Collectively, these findings suggest that while daily satellite-driven deep le</w:t>
      </w:r>
      <w:r>
        <w:t>arning cannot provide continuous forecasting of flashy urban peaks, it remains diagnostically valuable for quantifying reservoir overflow vulnerability in ungauged tropical basins.</w:t>
      </w:r>
    </w:p>
    <w:p w:rsidR="00B8543A" w:rsidRDefault="00A25390">
      <w:pPr>
        <w:spacing w:before="280" w:after="280" w:line="360" w:lineRule="auto"/>
        <w:jc w:val="both"/>
      </w:pPr>
      <w:r>
        <w:rPr>
          <w:b/>
          <w:bCs/>
        </w:rPr>
        <w:t>Keywords:</w:t>
      </w:r>
      <w:r>
        <w:t xml:space="preserve"> </w:t>
      </w:r>
      <w:proofErr w:type="spellStart"/>
      <w:r>
        <w:t>Eleyele</w:t>
      </w:r>
      <w:proofErr w:type="spellEnd"/>
      <w:r>
        <w:t xml:space="preserve"> Reservoir; hybrid machine learning; system dynamics; extr</w:t>
      </w:r>
      <w:r>
        <w:t xml:space="preserve">eme design storms; flood vulnerability; data-scarce basins. </w:t>
      </w:r>
    </w:p>
    <w:p w:rsidR="00B8543A" w:rsidRDefault="00B8543A">
      <w:pPr>
        <w:spacing w:before="110" w:after="110" w:line="259" w:lineRule="auto"/>
        <w:rPr>
          <w:sz w:val="22"/>
          <w:szCs w:val="22"/>
        </w:rPr>
      </w:pPr>
    </w:p>
    <w:p w:rsidR="0021644A" w:rsidRDefault="0021644A">
      <w:pPr>
        <w:rPr>
          <w:b/>
          <w:bCs/>
        </w:rPr>
      </w:pPr>
      <w:r>
        <w:rPr>
          <w:b/>
          <w:bCs/>
        </w:rPr>
        <w:br w:type="page"/>
      </w:r>
    </w:p>
    <w:p w:rsidR="00B8543A" w:rsidRDefault="00A25390">
      <w:pPr>
        <w:spacing w:before="280" w:after="280" w:line="360" w:lineRule="auto"/>
        <w:jc w:val="both"/>
      </w:pPr>
      <w:r>
        <w:rPr>
          <w:b/>
          <w:bCs/>
        </w:rPr>
        <w:lastRenderedPageBreak/>
        <w:t>1. Introduction</w:t>
      </w:r>
    </w:p>
    <w:p w:rsidR="00B8543A" w:rsidRDefault="00A25390">
      <w:pPr>
        <w:spacing w:before="280" w:after="280" w:line="360" w:lineRule="auto"/>
        <w:jc w:val="both"/>
      </w:pPr>
      <w:r>
        <w:t xml:space="preserve">The increasing frequency of extreme rainfall events continues to pose significant threats to urban infrastructure, particularly in developing regions (Douglas et al., 2008). The </w:t>
      </w:r>
      <w:r>
        <w:t xml:space="preserve">Ona River basin in Ibadan, Nigeria, exemplifies this vulnerability, as evidenced by the catastrophic spillway overflow at the </w:t>
      </w:r>
      <w:proofErr w:type="spellStart"/>
      <w:r>
        <w:t>Eleyele</w:t>
      </w:r>
      <w:proofErr w:type="spellEnd"/>
      <w:r>
        <w:t xml:space="preserve"> Reservoir during the August 2011 disaster, which resulted in over 100 fatalities and widespread destruction (</w:t>
      </w:r>
      <w:proofErr w:type="spellStart"/>
      <w:r>
        <w:t>Agbola</w:t>
      </w:r>
      <w:proofErr w:type="spellEnd"/>
      <w:r>
        <w:t xml:space="preserve"> et al.</w:t>
      </w:r>
      <w:r>
        <w:t>, 2012). Addressing such events is fundamentally challenged by the chronic lack of continuous, high-resolution sub-hourly reservoir data in data-scarce basins, a limitation that undermines the effectiveness of traditional hydrological modelling approaches.</w:t>
      </w:r>
    </w:p>
    <w:p w:rsidR="00B8543A" w:rsidRDefault="00A25390">
      <w:pPr>
        <w:spacing w:before="280" w:after="280" w:line="360" w:lineRule="auto"/>
        <w:jc w:val="both"/>
      </w:pPr>
      <w:r>
        <w:t xml:space="preserve">To address local data scarcity, researchers increasingly couple global open-source datasets (e.g., NASA POWER, </w:t>
      </w:r>
      <w:proofErr w:type="spellStart"/>
      <w:r>
        <w:t>GEOGloWS</w:t>
      </w:r>
      <w:proofErr w:type="spellEnd"/>
      <w:r>
        <w:t>) with deep learning architectures such as Long Short-Term Memory (LSTM) networks (</w:t>
      </w:r>
      <w:proofErr w:type="spellStart"/>
      <w:r>
        <w:t>Kratzert</w:t>
      </w:r>
      <w:proofErr w:type="spellEnd"/>
      <w:r>
        <w:t xml:space="preserve"> et al., 2018; Reichstein et al., 2019; </w:t>
      </w:r>
      <w:proofErr w:type="spellStart"/>
      <w:r>
        <w:t>Souff</w:t>
      </w:r>
      <w:r>
        <w:t>ront</w:t>
      </w:r>
      <w:proofErr w:type="spellEnd"/>
      <w:r>
        <w:t xml:space="preserve"> Alcantara et al., 2019; Sparks, 2018). However, a critical "temporal resolution ceiling" emerges in flashy urban catchments: daily-aggregated satellite data mathematically smooths out the severe, sub-hourly rainfall-intensity spikes needed to predict </w:t>
      </w:r>
      <w:r>
        <w:t>sudden flash floods. When continuous data-driven forecasting is constrained by this resolution limit, flood risk assessment must pivot to stochastic vulnerability scenario testing using System Dynamics (SD) explicit level-pool routing (Ahmad &amp; Simonovic, 2</w:t>
      </w:r>
      <w:r>
        <w:t>000).</w:t>
      </w:r>
    </w:p>
    <w:p w:rsidR="00B8543A" w:rsidRDefault="00A25390">
      <w:pPr>
        <w:spacing w:before="280" w:after="280" w:line="360" w:lineRule="auto"/>
        <w:jc w:val="both"/>
      </w:pPr>
      <w:r>
        <w:t>Prior studies often treat Machine Learning (ML) and physically-based routing as competing alternatives, or couple them for long-term climate scenarios in well-gauged basins (</w:t>
      </w:r>
      <w:proofErr w:type="spellStart"/>
      <w:r>
        <w:t>Babolhakami</w:t>
      </w:r>
      <w:proofErr w:type="spellEnd"/>
      <w:r>
        <w:t xml:space="preserve"> et al., 2023) and continuous operational forecasting (García-</w:t>
      </w:r>
      <w:proofErr w:type="spellStart"/>
      <w:r>
        <w:t>Fea</w:t>
      </w:r>
      <w:r>
        <w:t>l</w:t>
      </w:r>
      <w:proofErr w:type="spellEnd"/>
      <w:r>
        <w:t xml:space="preserve"> et al., 2022). Neither establishes empirically when a daily-forced ML model should be trusted for extreme-event routing in data-scarce basins. This study addresses that gap by using deep learning to empirically test that assumption before deliberately pi</w:t>
      </w:r>
      <w:r>
        <w:t>voting to SD scenario testing.</w:t>
      </w:r>
    </w:p>
    <w:p w:rsidR="00B8543A" w:rsidRDefault="00A25390">
      <w:pPr>
        <w:spacing w:before="280" w:after="280" w:line="360" w:lineRule="auto"/>
        <w:jc w:val="both"/>
      </w:pPr>
      <w:r>
        <w:t xml:space="preserve">The specific objectives of this study are fourfold: (1) benchmark the capability of an attention-based deep learning model to capture peak discharge using daily satellite forcing; (2) generate synthetic extreme design storms </w:t>
      </w:r>
      <w:r>
        <w:t xml:space="preserve">(5- to 50-year return periods) using Gumbel extreme-value statistics and the Alternating Block Method; (3) quantify temporal flood build-up and spillway overflow volume across a matrix of antecedent conditions using a sub-hourly SD routing engine; </w:t>
      </w:r>
      <w:r>
        <w:lastRenderedPageBreak/>
        <w:t xml:space="preserve">and (4) </w:t>
      </w:r>
      <w:r>
        <w:t>reconstruct the August 2011 Ibadan flood to qualitatively assess the physical plausibility of the SD model under extreme stress. Ultimately, this work contributes an empirical demonstration of ML boundary limits in flashy catchments, a novel sequential hyb</w:t>
      </w:r>
      <w:r>
        <w:t>rid architecture where ML serves a diagnostic rather than operational role, and a transferable SD routing template for data-scarce regions.</w:t>
      </w:r>
    </w:p>
    <w:p w:rsidR="00B8543A" w:rsidRDefault="00A25390">
      <w:pPr>
        <w:spacing w:before="280" w:after="280" w:line="360" w:lineRule="auto"/>
        <w:jc w:val="both"/>
      </w:pPr>
      <w:r>
        <w:rPr>
          <w:b/>
          <w:bCs/>
        </w:rPr>
        <w:t>2. Study Area and Data Fusion Pipeline</w:t>
      </w:r>
    </w:p>
    <w:p w:rsidR="00B8543A" w:rsidRDefault="00A25390">
      <w:pPr>
        <w:spacing w:before="280" w:after="280" w:line="360" w:lineRule="auto"/>
        <w:jc w:val="both"/>
      </w:pPr>
      <w:r>
        <w:rPr>
          <w:b/>
          <w:bCs/>
        </w:rPr>
        <w:t>2.1 Study Area</w:t>
      </w:r>
    </w:p>
    <w:p w:rsidR="00B8543A" w:rsidRDefault="00A25390">
      <w:pPr>
        <w:spacing w:before="280" w:after="280" w:line="360" w:lineRule="auto"/>
        <w:jc w:val="both"/>
      </w:pPr>
      <w:r>
        <w:t xml:space="preserve">The study focuses on the </w:t>
      </w:r>
      <w:proofErr w:type="spellStart"/>
      <w:r>
        <w:t>Eleyele</w:t>
      </w:r>
      <w:proofErr w:type="spellEnd"/>
      <w:r>
        <w:t xml:space="preserve"> Reservoir and its contributin</w:t>
      </w:r>
      <w:r>
        <w:t>g Ona River catchment, located in Ibadan, Oyo State, Nigeria. The catchment covers a drainage area of approximately 325 km² with a primary channel length of roughly 30 km. The region experiences a tropical wet-and-dry climate, characterized by a distinct r</w:t>
      </w:r>
      <w:r>
        <w:t xml:space="preserve">ainy season that routinely saturates the urbanized soils. The </w:t>
      </w:r>
      <w:proofErr w:type="spellStart"/>
      <w:r>
        <w:t>Eleyele</w:t>
      </w:r>
      <w:proofErr w:type="spellEnd"/>
      <w:r>
        <w:t xml:space="preserve"> Dam, constructed for water supply and flood control, has a provisional capacity of 7.04 million m³ and a 98-meter spillway. Due to rapid urban encroachment and shifting rainfall patterns</w:t>
      </w:r>
      <w:r>
        <w:t>, the catchment is highly susceptible to severe flash flooding, most notably the catastrophic August 26, 2011 event that overwhelmed the reservoir’s spillway capacity (</w:t>
      </w:r>
      <w:proofErr w:type="spellStart"/>
      <w:r>
        <w:t>Agbola</w:t>
      </w:r>
      <w:proofErr w:type="spellEnd"/>
      <w:r>
        <w:t xml:space="preserve"> et al., 2012; World Bank, 2014). </w:t>
      </w:r>
    </w:p>
    <w:p w:rsidR="00B8543A" w:rsidRDefault="0021644A">
      <w:pPr>
        <w:spacing w:before="110" w:after="110" w:line="259" w:lineRule="auto"/>
        <w:rPr>
          <w:sz w:val="22"/>
          <w:szCs w:val="22"/>
        </w:rPr>
      </w:pPr>
      <w:r>
        <w:rPr>
          <w:sz w:val="22"/>
          <w:szCs w:val="22"/>
        </w:rPr>
        <w:tab/>
      </w:r>
      <w:r>
        <w:rPr>
          <w:noProof/>
        </w:rPr>
        <w:drawing>
          <wp:inline distT="0" distB="0" distL="0" distR="0" wp14:anchorId="625C9A77" wp14:editId="159EB6A7">
            <wp:extent cx="4621530" cy="29908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4621530" cy="2990850"/>
                    </a:xfrm>
                    <a:prstGeom prst="rect">
                      <a:avLst/>
                    </a:prstGeom>
                  </pic:spPr>
                </pic:pic>
              </a:graphicData>
            </a:graphic>
          </wp:inline>
        </w:drawing>
      </w:r>
    </w:p>
    <w:p w:rsidR="00B8543A" w:rsidRDefault="00A25390">
      <w:pPr>
        <w:spacing w:before="280" w:after="280" w:line="360" w:lineRule="auto"/>
        <w:jc w:val="both"/>
      </w:pPr>
      <w:r>
        <w:rPr>
          <w:i/>
          <w:iCs/>
        </w:rPr>
        <w:lastRenderedPageBreak/>
        <w:t xml:space="preserve">Figure 1. Geographical location of the </w:t>
      </w:r>
      <w:proofErr w:type="spellStart"/>
      <w:r>
        <w:rPr>
          <w:i/>
          <w:iCs/>
        </w:rPr>
        <w:t>Eleyele</w:t>
      </w:r>
      <w:proofErr w:type="spellEnd"/>
      <w:r>
        <w:rPr>
          <w:i/>
          <w:iCs/>
        </w:rPr>
        <w:t xml:space="preserve"> Reservoir and Ona River catchment within Ibadan, Oyo State, Nigeria</w:t>
      </w:r>
    </w:p>
    <w:p w:rsidR="00B8543A" w:rsidRDefault="00A25390">
      <w:pPr>
        <w:spacing w:before="280" w:after="280" w:line="360" w:lineRule="auto"/>
        <w:jc w:val="both"/>
      </w:pPr>
      <w:r>
        <w:rPr>
          <w:b/>
          <w:bCs/>
        </w:rPr>
        <w:t>2.2 Hydrometeorological Data Acquisition</w:t>
      </w:r>
    </w:p>
    <w:p w:rsidR="00B8543A" w:rsidRDefault="00A25390">
      <w:pPr>
        <w:spacing w:before="280" w:after="280" w:line="360" w:lineRule="auto"/>
        <w:jc w:val="both"/>
      </w:pPr>
      <w:r>
        <w:t>In ungauged or data-scarce basins, continuous and reliable local sub-hourly gauge data is rarely available. To address this limitation, this study</w:t>
      </w:r>
      <w:r>
        <w:t xml:space="preserve"> fuses globally recognized open-source datasets to reconstruct the historical hydro-meteorological baseline spanning 1981–2020. Historical continuous daily discharge was extracted from the </w:t>
      </w:r>
      <w:proofErr w:type="spellStart"/>
      <w:r>
        <w:t>GEOGloWS</w:t>
      </w:r>
      <w:proofErr w:type="spellEnd"/>
      <w:r>
        <w:t xml:space="preserve"> ECMWF streamflow reanalysis service for the Ona River segm</w:t>
      </w:r>
      <w:r>
        <w:t xml:space="preserve">ent immediately upstream of the </w:t>
      </w:r>
      <w:proofErr w:type="spellStart"/>
      <w:r>
        <w:t>Eleyele</w:t>
      </w:r>
      <w:proofErr w:type="spellEnd"/>
      <w:r>
        <w:t xml:space="preserve"> Reservoir (</w:t>
      </w:r>
      <w:proofErr w:type="spellStart"/>
      <w:r>
        <w:t>Souffront</w:t>
      </w:r>
      <w:proofErr w:type="spellEnd"/>
      <w:r>
        <w:t xml:space="preserve"> Alcantara et al., 2019), serving as the baseline hydrological target. Continuous daily precipitation, maximum and minimum temperature, and solar radiation were retrieved from the NASA Prediction </w:t>
      </w:r>
      <w:r>
        <w:t xml:space="preserve">of Worldwide Energy Resources (POWER) satellite database (Sparks, 2018). </w:t>
      </w:r>
    </w:p>
    <w:p w:rsidR="00B8543A" w:rsidRDefault="00A25390">
      <w:pPr>
        <w:spacing w:before="280" w:after="280" w:line="360" w:lineRule="auto"/>
        <w:jc w:val="both"/>
      </w:pPr>
      <w:r>
        <w:rPr>
          <w:b/>
          <w:bCs/>
        </w:rPr>
        <w:t>2.3 Data Fusion and Hydrological Feature Engineering</w:t>
      </w:r>
    </w:p>
    <w:p w:rsidR="00B8543A" w:rsidRDefault="00A25390">
      <w:pPr>
        <w:spacing w:before="280" w:after="280" w:line="360" w:lineRule="auto"/>
        <w:jc w:val="both"/>
      </w:pPr>
      <w:r>
        <w:t>Because raw daily weather data lacks explicit physical context on catchment state, extensive feature engineering was performed pr</w:t>
      </w:r>
      <w:r>
        <w:t>ior to model training. The disparate datasets were merged via an inner join on date, producing a continuous modeling dataset spanning over 13,000 days. To supply the deep learning architecture with physical hydrological context, 3-day and 7-day rolling rai</w:t>
      </w:r>
      <w:r>
        <w:t>nfall totals were computed to approximate short-term topsoil saturation and medium-term shallow groundwater recharge, following regionalization approaches used for ungauged catchments elsewhere (</w:t>
      </w:r>
      <w:proofErr w:type="spellStart"/>
      <w:r>
        <w:t>Oudin</w:t>
      </w:r>
      <w:proofErr w:type="spellEnd"/>
      <w:r>
        <w:t xml:space="preserve"> et al., 2008; Ochoa-</w:t>
      </w:r>
      <w:proofErr w:type="spellStart"/>
      <w:r>
        <w:t>Tocachi</w:t>
      </w:r>
      <w:proofErr w:type="spellEnd"/>
      <w:r>
        <w:t xml:space="preserve"> et al., 2016). Because West</w:t>
      </w:r>
      <w:r>
        <w:t xml:space="preserve"> African hydrology is governed by distinct wet and dry seasons, day-of-year was encoded as continuous sine and cosine features to avoid boundary discontinuities at the calendar year-end. Autoregressive features representing 1- to 7-day lagged peak discharg</w:t>
      </w:r>
      <w:r>
        <w:t xml:space="preserve">e were also included to capture baseflow conditions and hydrograph recession </w:t>
      </w:r>
      <w:proofErr w:type="spellStart"/>
      <w:r>
        <w:t>behaviour</w:t>
      </w:r>
      <w:proofErr w:type="spellEnd"/>
      <w:r>
        <w:t xml:space="preserve">. </w:t>
      </w:r>
    </w:p>
    <w:p w:rsidR="00B8543A" w:rsidRDefault="0021644A">
      <w:pPr>
        <w:spacing w:before="110" w:after="110" w:line="259" w:lineRule="auto"/>
        <w:rPr>
          <w:sz w:val="22"/>
          <w:szCs w:val="22"/>
        </w:rPr>
      </w:pPr>
      <w:r>
        <w:rPr>
          <w:sz w:val="22"/>
          <w:szCs w:val="22"/>
        </w:rPr>
        <w:lastRenderedPageBreak/>
        <w:tab/>
      </w:r>
      <w:r>
        <w:rPr>
          <w:noProof/>
        </w:rPr>
        <w:drawing>
          <wp:inline distT="0" distB="0" distL="0" distR="0" wp14:anchorId="5EC7A6BA" wp14:editId="2C5407C9">
            <wp:extent cx="4953000" cy="3787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787140"/>
                    </a:xfrm>
                    <a:prstGeom prst="rect">
                      <a:avLst/>
                    </a:prstGeom>
                  </pic:spPr>
                </pic:pic>
              </a:graphicData>
            </a:graphic>
          </wp:inline>
        </w:drawing>
      </w:r>
    </w:p>
    <w:p w:rsidR="00B8543A" w:rsidRDefault="00A25390">
      <w:pPr>
        <w:spacing w:before="280" w:after="280" w:line="360" w:lineRule="auto"/>
        <w:jc w:val="both"/>
      </w:pPr>
      <w:r>
        <w:rPr>
          <w:i/>
          <w:iCs/>
        </w:rPr>
        <w:t>Figure 2. Exploratory data analysis showing the seasonality of rainfall and streamflow across the 36-year fused dataset</w:t>
      </w:r>
    </w:p>
    <w:p w:rsidR="00B8543A" w:rsidRDefault="00A25390">
      <w:pPr>
        <w:spacing w:before="280" w:after="280" w:line="360" w:lineRule="auto"/>
        <w:jc w:val="both"/>
      </w:pPr>
      <w:r>
        <w:rPr>
          <w:b/>
          <w:bCs/>
        </w:rPr>
        <w:t>3. Methodology</w:t>
      </w:r>
    </w:p>
    <w:p w:rsidR="00B8543A" w:rsidRDefault="00A25390">
      <w:pPr>
        <w:spacing w:before="280" w:after="280" w:line="360" w:lineRule="auto"/>
        <w:jc w:val="both"/>
      </w:pPr>
      <w:r>
        <w:t xml:space="preserve">This study adopts a four-phase </w:t>
      </w:r>
      <w:r>
        <w:t>sequential hybrid framework, intentionally avoiding the mathematical coupling of data-driven and physical models into a single integrated pipeline. Instead, the methodology leverages machine learning to empirically delineate the boundaries of continuous da</w:t>
      </w:r>
      <w:r>
        <w:t>ily historical forecasting, which in turn motivates a deliberate transition toward stochastic physical vulnerability testing. This approach foregrounds the diagnostic role of machine learning in identifying where traditional forecasting methods become insu</w:t>
      </w:r>
      <w:r>
        <w:t>fficient, thus justifying the subsequent reliance on scenario-based physical modelling.</w:t>
      </w:r>
    </w:p>
    <w:p w:rsidR="00B8543A" w:rsidRDefault="00A25390">
      <w:pPr>
        <w:spacing w:before="280" w:after="280" w:line="360" w:lineRule="auto"/>
        <w:jc w:val="both"/>
      </w:pPr>
      <w:r>
        <w:rPr>
          <w:b/>
          <w:bCs/>
        </w:rPr>
        <w:t>3.1 Phase 1: Machine Learning Benchmark and Explainable AI</w:t>
      </w:r>
    </w:p>
    <w:p w:rsidR="00B8543A" w:rsidRDefault="00A25390">
      <w:pPr>
        <w:spacing w:before="280" w:after="280" w:line="360" w:lineRule="auto"/>
        <w:jc w:val="both"/>
      </w:pPr>
      <w:r>
        <w:t>To test the predictive ceiling of daily satellite meteorological forcing, an Encoder-Decoder Attention-LSTM n</w:t>
      </w:r>
      <w:r>
        <w:t xml:space="preserve">etwork was trained and evaluated, selected for its established performance on </w:t>
      </w:r>
      <w:r>
        <w:lastRenderedPageBreak/>
        <w:t>long-term hydrological time-series memory (</w:t>
      </w:r>
      <w:proofErr w:type="spellStart"/>
      <w:r>
        <w:t>Kratzert</w:t>
      </w:r>
      <w:proofErr w:type="spellEnd"/>
      <w:r>
        <w:t xml:space="preserve"> et al., 2018). The network was configured with a 14-day lookback window to encompass the typical duration of tropical synoptic</w:t>
      </w:r>
      <w:r>
        <w:t xml:space="preserve"> weather systems and antecedent soil-moisture saturation periods. A cross-attention mechanism was integrated to allow the network to assign higher weights to specific antecedent days that act as critical runoff triggers. To ensure stable gradient descent i</w:t>
      </w:r>
      <w:r>
        <w:t xml:space="preserve">n the presence of extreme hydro-meteorological outliers, a Huber (Smooth L1) loss function was used, preventing anomalous flood peaks from disproportionately skewing network weights. </w:t>
      </w:r>
      <w:proofErr w:type="spellStart"/>
      <w:r>
        <w:t>SHapley</w:t>
      </w:r>
      <w:proofErr w:type="spellEnd"/>
      <w:r>
        <w:t xml:space="preserve"> Additive </w:t>
      </w:r>
      <w:proofErr w:type="spellStart"/>
      <w:r>
        <w:t>exPlanations</w:t>
      </w:r>
      <w:proofErr w:type="spellEnd"/>
      <w:r>
        <w:t xml:space="preserve"> (SHAP) were applied post hoc to provide glo</w:t>
      </w:r>
      <w:r>
        <w:t xml:space="preserve">bal model interpretability and to verify that the network’s predictive logic aligned with physically meaningful hydrological drivers rather than spurious correlations. </w:t>
      </w:r>
    </w:p>
    <w:p w:rsidR="00B8543A" w:rsidRDefault="00A25390">
      <w:pPr>
        <w:spacing w:before="280" w:after="280" w:line="360" w:lineRule="auto"/>
        <w:jc w:val="both"/>
      </w:pPr>
      <w:r>
        <w:rPr>
          <w:b/>
          <w:bCs/>
        </w:rPr>
        <w:t>3.2 Phase 2: Stochastic Extreme Scenario Generation</w:t>
      </w:r>
    </w:p>
    <w:p w:rsidR="00B8543A" w:rsidRDefault="00A25390">
      <w:pPr>
        <w:spacing w:before="280" w:after="280" w:line="360" w:lineRule="auto"/>
        <w:jc w:val="both"/>
      </w:pPr>
      <w:r>
        <w:t>Anticipating that continuous daily ML forecasting would mathematically smooth out sub-hourly extremes, the framework incorporated a parallel scenario-generation pathway. The true calendar-year Annual Maximum Series (AMS) of daily precipitation was extracte</w:t>
      </w:r>
      <w:r>
        <w:t>d from the 36-year dataset, and a Gumbel Extreme Value (Type I) distribution was fitted to calculate theoretical 24-hour rainfall depths for the 5-, 10-, 20-, and 50-year return periods. The Alternating Block Method was used to disaggregate daily 24-hour t</w:t>
      </w:r>
      <w:r>
        <w:t xml:space="preserve">otals into synthetic hourly hyetographs, concentrating the heaviest rainfall increments at the center of the storm to simulate a worst-case tropical downpour. </w:t>
      </w:r>
    </w:p>
    <w:p w:rsidR="00B8543A" w:rsidRDefault="0021644A">
      <w:pPr>
        <w:spacing w:before="110" w:after="110" w:line="259" w:lineRule="auto"/>
        <w:rPr>
          <w:sz w:val="22"/>
          <w:szCs w:val="22"/>
        </w:rPr>
      </w:pPr>
      <w:r>
        <w:rPr>
          <w:noProof/>
        </w:rPr>
        <w:drawing>
          <wp:inline distT="0" distB="0" distL="0" distR="0" wp14:anchorId="71A3F9A9" wp14:editId="3AADCF44">
            <wp:extent cx="5364480" cy="26441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64480" cy="2644140"/>
                    </a:xfrm>
                    <a:prstGeom prst="rect">
                      <a:avLst/>
                    </a:prstGeom>
                  </pic:spPr>
                </pic:pic>
              </a:graphicData>
            </a:graphic>
          </wp:inline>
        </w:drawing>
      </w:r>
    </w:p>
    <w:p w:rsidR="00B8543A" w:rsidRDefault="00A25390">
      <w:pPr>
        <w:spacing w:before="280" w:after="280" w:line="360" w:lineRule="auto"/>
        <w:jc w:val="both"/>
      </w:pPr>
      <w:r>
        <w:rPr>
          <w:i/>
          <w:iCs/>
        </w:rPr>
        <w:lastRenderedPageBreak/>
        <w:t xml:space="preserve">Figure 3. Synthetic hourly design-storm hyetographs generated via the Alternating Block Method </w:t>
      </w:r>
      <w:r>
        <w:rPr>
          <w:i/>
          <w:iCs/>
        </w:rPr>
        <w:t>for the 5-, 10-, 20-, and 50-year return periods</w:t>
      </w:r>
    </w:p>
    <w:p w:rsidR="00B8543A" w:rsidRDefault="00A25390">
      <w:pPr>
        <w:spacing w:before="280" w:after="280" w:line="360" w:lineRule="auto"/>
        <w:jc w:val="both"/>
      </w:pPr>
      <w:r>
        <w:rPr>
          <w:b/>
          <w:bCs/>
        </w:rPr>
        <w:t>3.3 Phase 3: System Dynamics Reservoir Routing and Sensitivity Analysis</w:t>
      </w:r>
    </w:p>
    <w:p w:rsidR="0021644A" w:rsidRPr="009E0E21" w:rsidRDefault="00A25390" w:rsidP="0021644A">
      <w:pPr>
        <w:spacing w:before="100" w:beforeAutospacing="1" w:after="100" w:afterAutospacing="1" w:line="360" w:lineRule="auto"/>
        <w:jc w:val="both"/>
      </w:pPr>
      <w:r>
        <w:t>To convert the synthetic design storms into physical spillway discharge volumes, a System Dynamics (SD) routing engine was constructed.</w:t>
      </w:r>
      <w:r>
        <w:t xml:space="preserve"> The temporal build-up of the flood wave across the 325 km² catchment was estimated using the </w:t>
      </w:r>
      <w:proofErr w:type="spellStart"/>
      <w:r>
        <w:t>Kirpich</w:t>
      </w:r>
      <w:proofErr w:type="spellEnd"/>
      <w:r>
        <w:t xml:space="preserve"> time-of-concentration formula (</w:t>
      </w:r>
      <w:proofErr w:type="spellStart"/>
      <w:r>
        <w:t>Kirpich</w:t>
      </w:r>
      <w:proofErr w:type="spellEnd"/>
      <w:r>
        <w:t xml:space="preserve">, 1940): </w:t>
      </w:r>
    </w:p>
    <w:p w:rsidR="00B8543A" w:rsidRPr="0021644A" w:rsidRDefault="0021644A" w:rsidP="0021644A">
      <w:pPr>
        <w:spacing w:line="360" w:lineRule="auto"/>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r>
            <w:rPr>
              <w:rFonts w:ascii="Cambria Math" w:hAnsi="Cambria Math" w:cstheme="majorBidi"/>
            </w:rPr>
            <m:t>=0.0195</m:t>
          </m:r>
          <m:sSup>
            <m:sSupPr>
              <m:ctrlPr>
                <w:rPr>
                  <w:rFonts w:ascii="Cambria Math" w:hAnsi="Cambria Math" w:cstheme="majorBidi"/>
                  <w:i/>
                </w:rPr>
              </m:ctrlPr>
            </m:sSupPr>
            <m:e>
              <m:r>
                <w:rPr>
                  <w:rFonts w:ascii="Cambria Math" w:hAnsi="Cambria Math" w:cstheme="majorBidi"/>
                </w:rPr>
                <m:t>L</m:t>
              </m:r>
            </m:e>
            <m:sup>
              <m:r>
                <w:rPr>
                  <w:rFonts w:ascii="Cambria Math" w:hAnsi="Cambria Math" w:cstheme="majorBidi"/>
                </w:rPr>
                <m:t>0.77</m:t>
              </m:r>
            </m:sup>
          </m:sSup>
          <m:sSup>
            <m:sSupPr>
              <m:ctrlPr>
                <w:rPr>
                  <w:rFonts w:ascii="Cambria Math" w:hAnsi="Cambria Math" w:cstheme="majorBidi"/>
                  <w:i/>
                </w:rPr>
              </m:ctrlPr>
            </m:sSupPr>
            <m:e>
              <m:r>
                <w:rPr>
                  <w:rFonts w:ascii="Cambria Math" w:hAnsi="Cambria Math" w:cstheme="majorBidi"/>
                </w:rPr>
                <m:t>S</m:t>
              </m:r>
            </m:e>
            <m:sup>
              <m:r>
                <w:rPr>
                  <w:rFonts w:ascii="Cambria Math" w:hAnsi="Cambria Math" w:cstheme="majorBidi"/>
                </w:rPr>
                <m:t>-0.385</m:t>
              </m:r>
            </m:sup>
          </m:sSup>
        </m:oMath>
      </m:oMathPara>
    </w:p>
    <w:p w:rsidR="0021644A" w:rsidRPr="009E0E21" w:rsidRDefault="00A25390" w:rsidP="0021644A">
      <w:pPr>
        <w:spacing w:before="100" w:beforeAutospacing="1" w:after="100" w:afterAutospacing="1" w:line="360" w:lineRule="auto"/>
        <w:jc w:val="both"/>
      </w:pPr>
      <w:r>
        <w:t>where is the main channel length (m) and is the average catchment slope (m/m); this established a 9.96-ho</w:t>
      </w:r>
      <w:r>
        <w:t xml:space="preserve">ur catchment lag for the </w:t>
      </w:r>
      <w:proofErr w:type="spellStart"/>
      <w:r>
        <w:t>Eleyele</w:t>
      </w:r>
      <w:proofErr w:type="spellEnd"/>
      <w:r>
        <w:t xml:space="preserve"> catchment. This lag was enforced using an exact, numerically stable exponential-decay routing formulation to avoid instability at sub-hourly time steps: </w:t>
      </w:r>
    </w:p>
    <w:p w:rsidR="00B8543A" w:rsidRPr="0021644A" w:rsidRDefault="0021644A" w:rsidP="0021644A">
      <w:pPr>
        <w:spacing w:line="360" w:lineRule="auto"/>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r>
                <m:rPr>
                  <m:sty m:val="p"/>
                </m:rPr>
                <w:rPr>
                  <w:rFonts w:ascii="Cambria Math" w:hAnsi="Cambria Math" w:cstheme="majorBidi"/>
                </w:rPr>
                <m:t>Δ</m:t>
              </m:r>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Q</m:t>
              </m:r>
            </m:e>
            <m:sub>
              <m:r>
                <m:rPr>
                  <m:nor/>
                </m:rPr>
                <w:rPr>
                  <w:rFonts w:asciiTheme="majorBidi" w:hAnsiTheme="majorBidi" w:cstheme="majorBidi"/>
                </w:rPr>
                <m:t>target</m:t>
              </m:r>
            </m:sub>
          </m:sSub>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Q</m:t>
                  </m:r>
                </m:e>
                <m:sub>
                  <m:r>
                    <m:rPr>
                      <m:nor/>
                    </m:rPr>
                    <w:rPr>
                      <w:rFonts w:asciiTheme="majorBidi" w:hAnsiTheme="majorBidi" w:cstheme="majorBidi"/>
                    </w:rPr>
                    <m:t>target</m:t>
                  </m:r>
                </m:sub>
              </m:sSub>
            </m:e>
          </m:d>
          <m:func>
            <m:funcPr>
              <m:ctrlPr>
                <w:rPr>
                  <w:rFonts w:ascii="Cambria Math" w:hAnsi="Cambria Math" w:cstheme="majorBidi"/>
                </w:rPr>
              </m:ctrlPr>
            </m:funcPr>
            <m:fName>
              <m:r>
                <m:rPr>
                  <m:sty m:val="p"/>
                </m:rPr>
                <w:rPr>
                  <w:rFonts w:ascii="Cambria Math" w:hAnsi="Cambria Math" w:cstheme="majorBidi"/>
                </w:rPr>
                <m:t>exp</m:t>
              </m:r>
            </m:fName>
            <m:e>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Δ</m:t>
                      </m:r>
                      <m:r>
                        <w:rPr>
                          <w:rFonts w:ascii="Cambria Math" w:hAnsi="Cambria Math" w:cstheme="majorBidi"/>
                        </w:rPr>
                        <m:t>t</m:t>
                      </m:r>
                      <m:ctrlPr>
                        <w:rPr>
                          <w:rFonts w:ascii="Cambria Math" w:hAnsi="Cambria Math" w:cstheme="majorBidi"/>
                          <w:i/>
                        </w:rPr>
                      </m:ctrlPr>
                    </m:num>
                    <m:den>
                      <m:r>
                        <w:rPr>
                          <w:rFonts w:ascii="Cambria Math" w:hAnsi="Cambria Math" w:cstheme="majorBidi"/>
                        </w:rPr>
                        <m:t>K</m:t>
                      </m:r>
                      <m:ctrlPr>
                        <w:rPr>
                          <w:rFonts w:ascii="Cambria Math" w:hAnsi="Cambria Math" w:cstheme="majorBidi"/>
                          <w:i/>
                        </w:rPr>
                      </m:ctrlPr>
                    </m:den>
                  </m:f>
                  <m:ctrlPr>
                    <w:rPr>
                      <w:rFonts w:ascii="Cambria Math" w:hAnsi="Cambria Math" w:cstheme="majorBidi"/>
                      <w:i/>
                    </w:rPr>
                  </m:ctrlPr>
                </m:e>
              </m:d>
            </m:e>
          </m:func>
        </m:oMath>
      </m:oMathPara>
    </w:p>
    <w:p w:rsidR="0021644A" w:rsidRPr="009E0E21" w:rsidRDefault="00A25390" w:rsidP="0021644A">
      <w:pPr>
        <w:spacing w:before="100" w:beforeAutospacing="1" w:after="100" w:afterAutospacing="1" w:line="360" w:lineRule="auto"/>
        <w:jc w:val="both"/>
      </w:pPr>
      <w:r>
        <w:t xml:space="preserve">where is the target runoff, is the lag time, and is the sub-step </w:t>
      </w:r>
      <w:proofErr w:type="gramStart"/>
      <w:r>
        <w:t>dur</w:t>
      </w:r>
      <w:r>
        <w:t>ation.</w:t>
      </w:r>
      <w:proofErr w:type="gramEnd"/>
      <w:r>
        <w:t xml:space="preserve"> Reservoir mass balance was computed using a strict level-pool routing scheme (Chow et al., 1988). Spillway outflow was activated once storage exceeded provisional capacity, following the broad-crested weir equation: </w:t>
      </w:r>
    </w:p>
    <w:p w:rsidR="00B8543A" w:rsidRPr="0021644A" w:rsidRDefault="0021644A" w:rsidP="0021644A">
      <w:pPr>
        <w:spacing w:before="100" w:beforeAutospacing="1" w:after="100" w:afterAutospacing="1" w:line="360" w:lineRule="auto"/>
        <w:jc w:val="both"/>
      </w:pPr>
      <m:oMathPara>
        <m:oMath>
          <m:sSub>
            <m:sSubPr>
              <m:ctrlPr>
                <w:rPr>
                  <w:rFonts w:ascii="Cambria Math" w:hAnsi="Cambria Math"/>
                  <w:i/>
                </w:rPr>
              </m:ctrlPr>
            </m:sSubPr>
            <m:e>
              <m:r>
                <w:rPr>
                  <w:rFonts w:ascii="Cambria Math" w:hAnsi="Cambria Math"/>
                </w:rPr>
                <m:t>Q</m:t>
              </m:r>
            </m:e>
            <m:sub>
              <m:r>
                <m:rPr>
                  <m:nor/>
                </m:rPr>
                <w:rPr>
                  <w:rFonts w:ascii="Cambria Math" w:hAnsi="Cambria Math"/>
                </w:rPr>
                <m:t>spill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m:t>
              </m:r>
            </m:sub>
          </m:sSub>
          <m:sSub>
            <m:sSubPr>
              <m:ctrlPr>
                <w:rPr>
                  <w:rFonts w:ascii="Cambria Math" w:hAnsi="Cambria Math"/>
                  <w:i/>
                </w:rPr>
              </m:ctrlPr>
            </m:sSubPr>
            <m:e>
              <m:r>
                <w:rPr>
                  <w:rFonts w:ascii="Cambria Math" w:hAnsi="Cambria Math"/>
                </w:rPr>
                <m:t>L</m:t>
              </m:r>
            </m:e>
            <m:sub>
              <m:r>
                <w:rPr>
                  <w:rFonts w:ascii="Cambria Math" w:hAnsi="Cambria Math"/>
                </w:rPr>
                <m:t>w</m:t>
              </m:r>
            </m:sub>
          </m:sSub>
          <m:sSup>
            <m:sSupPr>
              <m:ctrlPr>
                <w:rPr>
                  <w:rFonts w:ascii="Cambria Math" w:hAnsi="Cambria Math"/>
                  <w:i/>
                </w:rPr>
              </m:ctrlPr>
            </m:sSupPr>
            <m:e>
              <m:r>
                <w:rPr>
                  <w:rFonts w:ascii="Cambria Math" w:hAnsi="Cambria Math"/>
                </w:rPr>
                <m:t>H</m:t>
              </m:r>
            </m:e>
            <m:sup>
              <m:r>
                <w:rPr>
                  <w:rFonts w:ascii="Cambria Math" w:hAnsi="Cambria Math"/>
                </w:rPr>
                <m:t>1.5</m:t>
              </m:r>
            </m:sup>
          </m:sSup>
        </m:oMath>
      </m:oMathPara>
    </w:p>
    <w:p w:rsidR="0021644A" w:rsidRPr="009E0E21" w:rsidRDefault="00A25390" w:rsidP="0021644A">
      <w:pPr>
        <w:spacing w:before="100" w:beforeAutospacing="1" w:after="100" w:afterAutospacing="1" w:line="360" w:lineRule="auto"/>
        <w:jc w:val="both"/>
      </w:pPr>
      <w:r>
        <w:t>where is the weir coefficient (</w:t>
      </w:r>
      <w:r>
        <w:t xml:space="preserve">2.0), is the spillway length (98 m), and is the head above the spillway crest. Reservoir state was updated using a mass-balance equation at 5-minute numerical sub-steps: </w:t>
      </w:r>
    </w:p>
    <w:p w:rsidR="00B8543A" w:rsidRPr="0021644A" w:rsidRDefault="0021644A" w:rsidP="0021644A">
      <w:pPr>
        <w:spacing w:before="100" w:beforeAutospacing="1" w:after="100" w:afterAutospacing="1" w:line="360" w:lineRule="auto"/>
        <w:jc w:val="both"/>
      </w:pPr>
      <m:oMathPara>
        <m:oMath>
          <m:sSub>
            <m:sSubPr>
              <m:ctrlPr>
                <w:rPr>
                  <w:rFonts w:ascii="Cambria Math" w:hAnsi="Cambria Math"/>
                  <w:i/>
                </w:rPr>
              </m:ctrlPr>
            </m:sSubPr>
            <m:e>
              <m:r>
                <w:rPr>
                  <w:rFonts w:ascii="Cambria Math" w:hAnsi="Cambria Math"/>
                </w:rPr>
                <m:t>S</m:t>
              </m:r>
            </m:e>
            <m:sub>
              <m:r>
                <w:rPr>
                  <w:rFonts w:ascii="Cambria Math" w:hAnsi="Cambria Math"/>
                </w:rPr>
                <m:t>t+</m:t>
              </m:r>
              <m:r>
                <m:rPr>
                  <m:sty m:val="p"/>
                </m:rPr>
                <w:rPr>
                  <w:rFonts w:ascii="Cambria Math" w:hAnsi="Cambria Math"/>
                </w:rPr>
                <m:t>Δ</m:t>
              </m:r>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m:rPr>
                      <m:nor/>
                    </m:rP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Q</m:t>
                  </m:r>
                </m:e>
                <m:sub>
                  <m:r>
                    <m:rPr>
                      <m:nor/>
                    </m:rPr>
                    <w:rPr>
                      <w:rFonts w:ascii="Cambria Math" w:hAnsi="Cambria Math"/>
                    </w:rPr>
                    <m:t>out</m:t>
                  </m:r>
                </m:sub>
              </m:sSub>
            </m:e>
          </m:d>
          <m:r>
            <m:rPr>
              <m:sty m:val="p"/>
            </m:rPr>
            <w:rPr>
              <w:rFonts w:ascii="Cambria Math" w:hAnsi="Cambria Math"/>
            </w:rPr>
            <m:t>Δ</m:t>
          </m:r>
          <m:r>
            <w:rPr>
              <w:rFonts w:ascii="Cambria Math" w:hAnsi="Cambria Math"/>
            </w:rPr>
            <m:t>t</m:t>
          </m:r>
        </m:oMath>
      </m:oMathPara>
    </w:p>
    <w:p w:rsidR="00B8543A" w:rsidRDefault="00A25390">
      <w:pPr>
        <w:spacing w:before="280" w:after="280" w:line="360" w:lineRule="auto"/>
        <w:jc w:val="both"/>
      </w:pPr>
      <w:r>
        <w:t xml:space="preserve">Given the parameter uncertainty inherent in ungauged basins, the physical model was </w:t>
      </w:r>
      <w:r>
        <w:t xml:space="preserve">tested across a matrix of runoff coefficients (0.40, 0.50, 0.60) and initial antecedent storage states (70%, 90% of capacity) for each return period. </w:t>
      </w:r>
    </w:p>
    <w:p w:rsidR="00B8543A" w:rsidRDefault="00A25390">
      <w:pPr>
        <w:spacing w:before="280" w:after="280" w:line="360" w:lineRule="auto"/>
        <w:jc w:val="both"/>
      </w:pPr>
      <w:r>
        <w:rPr>
          <w:b/>
          <w:bCs/>
        </w:rPr>
        <w:lastRenderedPageBreak/>
        <w:t>3.4 Phase 4: Qualitative Event Reconstruction (August 2011)</w:t>
      </w:r>
    </w:p>
    <w:p w:rsidR="00B8543A" w:rsidRDefault="00A25390">
      <w:pPr>
        <w:spacing w:before="280" w:after="280" w:line="360" w:lineRule="auto"/>
        <w:jc w:val="both"/>
      </w:pPr>
      <w:r>
        <w:t>To assess the plausibility of the uncalibrate</w:t>
      </w:r>
      <w:r>
        <w:t>d SD model under extreme stress, the catastrophic August 26, 2011 Ibadan flood was reconstructed. Historical documentation indicates the event deposited approximately 187.5 mm of rainfall, including a highly concentrated burst of 140.63 mm within roughly 7</w:t>
      </w:r>
      <w:r>
        <w:t>0 minutes (</w:t>
      </w:r>
      <w:proofErr w:type="spellStart"/>
      <w:r>
        <w:t>Agbola</w:t>
      </w:r>
      <w:proofErr w:type="spellEnd"/>
      <w:r>
        <w:t xml:space="preserve"> et al., 2012; World Bank, 2014). The synthetic hyetograph was engineered to place this 140.63 mm block at the central hour of the storm. Spillway length and weir coefficients were aligned with structural estimates from World Bank post-dis</w:t>
      </w:r>
      <w:r>
        <w:t xml:space="preserve">aster assessments (World Bank, 2014). Because the reservoir’s stage-storage curve is not locally verified, this reconstruction is treated strictly as a plausibility check rather than a formal validation. </w:t>
      </w:r>
    </w:p>
    <w:p w:rsidR="00B8543A" w:rsidRDefault="00A25390">
      <w:pPr>
        <w:spacing w:before="280" w:after="280" w:line="360" w:lineRule="auto"/>
        <w:jc w:val="both"/>
      </w:pPr>
      <w:r>
        <w:rPr>
          <w:b/>
          <w:bCs/>
        </w:rPr>
        <w:t>4. Results</w:t>
      </w:r>
    </w:p>
    <w:p w:rsidR="00B8543A" w:rsidRDefault="00A25390">
      <w:pPr>
        <w:spacing w:before="280" w:after="280" w:line="360" w:lineRule="auto"/>
        <w:jc w:val="both"/>
      </w:pPr>
      <w:r>
        <w:rPr>
          <w:b/>
          <w:bCs/>
        </w:rPr>
        <w:t xml:space="preserve">4.1 Machine Learning Benchmark and the </w:t>
      </w:r>
      <w:r>
        <w:rPr>
          <w:b/>
          <w:bCs/>
        </w:rPr>
        <w:t>Resolution Ceiling</w:t>
      </w:r>
    </w:p>
    <w:p w:rsidR="00B8543A" w:rsidRDefault="00A25390">
      <w:pPr>
        <w:spacing w:before="280" w:after="280" w:line="360" w:lineRule="auto"/>
        <w:jc w:val="both"/>
      </w:pPr>
      <w:r>
        <w:t>The initial phase of the framework sought to determine whether continuous daily satellite forcing could adequately predict sub-hourly flash-flood peaks. While the Encoder-Decoder Attention-LSTM demonstrated the capacity to capture cyclic</w:t>
      </w:r>
      <w:r>
        <w:t>al baseflow dynamics and seasonal recession limbs</w:t>
      </w:r>
      <w:r w:rsidR="002128D2">
        <w:t xml:space="preserve">, </w:t>
      </w:r>
      <w:r>
        <w:t xml:space="preserve">suggesting that its autoregressive memory </w:t>
      </w:r>
      <w:proofErr w:type="spellStart"/>
      <w:r>
        <w:t>internalised</w:t>
      </w:r>
      <w:proofErr w:type="spellEnd"/>
      <w:r>
        <w:t xml:space="preserve"> the catchment’s general wet-season </w:t>
      </w:r>
      <w:proofErr w:type="spellStart"/>
      <w:r>
        <w:t>behaviour</w:t>
      </w:r>
      <w:proofErr w:type="spellEnd"/>
      <w:r>
        <w:t xml:space="preserve"> (Table 1)</w:t>
      </w:r>
      <w:r w:rsidR="002128D2">
        <w:t xml:space="preserve">, </w:t>
      </w:r>
      <w:r>
        <w:t>the hydrograph evaluation exposed a clear resolution ceiling. Specifically, although the model w</w:t>
      </w:r>
      <w:r>
        <w:t>as able to track moderate flood pulses, it consistently and severely underpredicted extreme outlier events, failing to represent peak discharges approaching 175 m³/s. This systematic underestimation reinforces the hypothesis that daily aggregated precipita</w:t>
      </w:r>
      <w:r>
        <w:t>tion data inherently smooths out the sub-hourly intensity spikes that drive violent urban flash floods.</w:t>
      </w:r>
    </w:p>
    <w:p w:rsidR="0021644A" w:rsidRPr="009E0E21" w:rsidRDefault="0021644A" w:rsidP="0021644A">
      <w:pPr>
        <w:spacing w:before="100" w:beforeAutospacing="1" w:after="100" w:afterAutospacing="1" w:line="360" w:lineRule="auto"/>
        <w:jc w:val="both"/>
      </w:pPr>
      <w:r w:rsidRPr="009E0E21">
        <w:rPr>
          <w:b/>
          <w:bCs/>
        </w:rPr>
        <w:t>Table 1. Attention-LSTM performance metrics.</w:t>
      </w:r>
    </w:p>
    <w:tbl>
      <w:tblPr>
        <w:tblStyle w:val="TableGrid"/>
        <w:tblW w:w="9847" w:type="dxa"/>
        <w:tblLook w:val="0000" w:firstRow="0" w:lastRow="0" w:firstColumn="0" w:lastColumn="0" w:noHBand="0" w:noVBand="0"/>
      </w:tblPr>
      <w:tblGrid>
        <w:gridCol w:w="2462"/>
        <w:gridCol w:w="1893"/>
        <w:gridCol w:w="2462"/>
        <w:gridCol w:w="3030"/>
      </w:tblGrid>
      <w:tr w:rsidR="0021644A" w:rsidRPr="009461DF" w:rsidTr="009A3C16">
        <w:trPr>
          <w:trHeight w:val="287"/>
        </w:trPr>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b/>
                <w:bCs/>
              </w:rPr>
              <w:t>Metric</w:t>
            </w:r>
          </w:p>
        </w:tc>
        <w:tc>
          <w:tcPr>
            <w:tcW w:w="1893"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b/>
                <w:bCs/>
              </w:rPr>
              <w:t>Training set</w:t>
            </w:r>
          </w:p>
        </w:tc>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b/>
                <w:bCs/>
              </w:rPr>
              <w:t>Test set (final 1-year)</w:t>
            </w:r>
          </w:p>
        </w:tc>
        <w:tc>
          <w:tcPr>
            <w:tcW w:w="3030"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b/>
                <w:bCs/>
              </w:rPr>
              <w:t>Interpretation</w:t>
            </w:r>
          </w:p>
        </w:tc>
      </w:tr>
      <w:tr w:rsidR="0021644A" w:rsidRPr="009461DF" w:rsidTr="009A3C16">
        <w:trPr>
          <w:trHeight w:val="574"/>
        </w:trPr>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NSE</w:t>
            </w:r>
          </w:p>
        </w:tc>
        <w:tc>
          <w:tcPr>
            <w:tcW w:w="1893"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0.220</w:t>
            </w:r>
          </w:p>
        </w:tc>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0.201</w:t>
            </w:r>
          </w:p>
        </w:tc>
        <w:tc>
          <w:tcPr>
            <w:tcW w:w="3030"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Overall fit; low/negative NSE expected near peaks</w:t>
            </w:r>
          </w:p>
        </w:tc>
      </w:tr>
      <w:tr w:rsidR="0021644A" w:rsidRPr="009461DF" w:rsidTr="009A3C16">
        <w:trPr>
          <w:trHeight w:val="287"/>
        </w:trPr>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RMSE (m³/s)</w:t>
            </w:r>
          </w:p>
        </w:tc>
        <w:tc>
          <w:tcPr>
            <w:tcW w:w="1893"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13.033</w:t>
            </w:r>
          </w:p>
        </w:tc>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12.317</w:t>
            </w:r>
          </w:p>
        </w:tc>
        <w:tc>
          <w:tcPr>
            <w:tcW w:w="3030"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Absolute error magnitude</w:t>
            </w:r>
          </w:p>
        </w:tc>
      </w:tr>
      <w:tr w:rsidR="0021644A" w:rsidRPr="009461DF" w:rsidTr="009A3C16">
        <w:trPr>
          <w:trHeight w:val="287"/>
        </w:trPr>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PBIAS (%)</w:t>
            </w:r>
          </w:p>
        </w:tc>
        <w:tc>
          <w:tcPr>
            <w:tcW w:w="1893"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29.133</w:t>
            </w:r>
          </w:p>
        </w:tc>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11.632</w:t>
            </w:r>
          </w:p>
        </w:tc>
        <w:tc>
          <w:tcPr>
            <w:tcW w:w="3030"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Systematic under-/over-prediction</w:t>
            </w:r>
          </w:p>
        </w:tc>
      </w:tr>
      <w:tr w:rsidR="0021644A" w:rsidRPr="009461DF" w:rsidTr="009A3C16">
        <w:trPr>
          <w:trHeight w:val="574"/>
        </w:trPr>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lastRenderedPageBreak/>
              <w:t>Peak-flow NSE (top 5% events)</w:t>
            </w:r>
          </w:p>
        </w:tc>
        <w:tc>
          <w:tcPr>
            <w:tcW w:w="1893"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-0.494</w:t>
            </w:r>
          </w:p>
        </w:tc>
        <w:tc>
          <w:tcPr>
            <w:tcW w:w="2462" w:type="dxa"/>
          </w:tcPr>
          <w:p w:rsidR="0021644A" w:rsidRPr="009461DF" w:rsidRDefault="0021644A" w:rsidP="009A3C16">
            <w:pPr>
              <w:spacing w:line="360" w:lineRule="auto"/>
              <w:jc w:val="both"/>
              <w:rPr>
                <w:rFonts w:asciiTheme="majorBidi" w:hAnsiTheme="majorBidi" w:cstheme="majorBidi"/>
              </w:rPr>
            </w:pPr>
            <w:r w:rsidRPr="009461DF">
              <w:rPr>
                <w:rFonts w:asciiTheme="majorBidi" w:hAnsiTheme="majorBidi" w:cstheme="majorBidi"/>
              </w:rPr>
              <w:t>-0.587</w:t>
            </w:r>
          </w:p>
        </w:tc>
        <w:tc>
          <w:tcPr>
            <w:tcW w:w="3030" w:type="dxa"/>
          </w:tcPr>
          <w:p w:rsidR="0021644A" w:rsidRPr="009461DF" w:rsidRDefault="0021644A" w:rsidP="009A3C16">
            <w:pPr>
              <w:spacing w:line="360" w:lineRule="auto"/>
              <w:jc w:val="both"/>
              <w:rPr>
                <w:rFonts w:asciiTheme="majorBidi" w:hAnsiTheme="majorBidi" w:cstheme="majorBidi"/>
              </w:rPr>
            </w:pPr>
            <w:r w:rsidRPr="009461DF">
              <w:rPr>
                <w:rFonts w:asciiTheme="majorBidi" w:eastAsia="Times New Roman" w:hAnsiTheme="majorBidi" w:cstheme="majorBidi"/>
              </w:rPr>
              <w:t>Direct evidence for the resolution ceiling</w:t>
            </w:r>
          </w:p>
        </w:tc>
      </w:tr>
    </w:tbl>
    <w:p w:rsidR="0021644A" w:rsidRDefault="0021644A" w:rsidP="0021644A">
      <w:pPr>
        <w:spacing w:before="100" w:beforeAutospacing="1" w:after="100" w:afterAutospacing="1" w:line="360" w:lineRule="auto"/>
        <w:jc w:val="both"/>
        <w:rPr>
          <w:i/>
          <w:iCs/>
        </w:rPr>
      </w:pPr>
      <w:r>
        <w:rPr>
          <w:i/>
          <w:iCs/>
        </w:rPr>
        <w:tab/>
      </w:r>
      <w:r>
        <w:rPr>
          <w:noProof/>
        </w:rPr>
        <w:drawing>
          <wp:inline distT="0" distB="0" distL="0" distR="0" wp14:anchorId="4B94B591" wp14:editId="23065D9C">
            <wp:extent cx="5440680" cy="23812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40680" cy="2381250"/>
                    </a:xfrm>
                    <a:prstGeom prst="rect">
                      <a:avLst/>
                    </a:prstGeom>
                  </pic:spPr>
                </pic:pic>
              </a:graphicData>
            </a:graphic>
          </wp:inline>
        </w:drawing>
      </w:r>
    </w:p>
    <w:p w:rsidR="0021644A" w:rsidRPr="009E0E21" w:rsidRDefault="0021644A" w:rsidP="0021644A">
      <w:pPr>
        <w:spacing w:before="100" w:beforeAutospacing="1" w:after="100" w:afterAutospacing="1" w:line="360" w:lineRule="auto"/>
        <w:jc w:val="both"/>
      </w:pPr>
      <w:r w:rsidRPr="009E0E21">
        <w:rPr>
          <w:i/>
          <w:iCs/>
        </w:rPr>
        <w:t>Figure 4. Temporal flood hydrograph (final 1-year test set) showing LSTM prediction versus observed peak flow</w:t>
      </w:r>
    </w:p>
    <w:p w:rsidR="00B8543A" w:rsidRDefault="00A25390">
      <w:pPr>
        <w:spacing w:before="280" w:after="280" w:line="360" w:lineRule="auto"/>
        <w:jc w:val="both"/>
      </w:pPr>
      <w:r>
        <w:rPr>
          <w:b/>
          <w:bCs/>
        </w:rPr>
        <w:t>4.2 Explainable AI and Hydrological Drivers</w:t>
      </w:r>
    </w:p>
    <w:p w:rsidR="00B8543A" w:rsidRDefault="00A25390">
      <w:pPr>
        <w:spacing w:before="280" w:after="280" w:line="360" w:lineRule="auto"/>
        <w:jc w:val="both"/>
      </w:pPr>
      <w:r>
        <w:t>To address the “black-box” nature of deep learning, SHAP summary plots confirmed that the network’s predictive logic aligned with physical hydrological principles. The engineered antecedent moisture proxies, the 3-day and 7-day rolling rainfall accumulatio</w:t>
      </w:r>
      <w:r>
        <w:t xml:space="preserve">ns, emerged as dominant drivers of model output, indicating that the attention mechanism learned that high runoff is generated by storms occurring over previously saturated soil rather than by isolated daily rainfall alone. The cyclical seasonal encodings </w:t>
      </w:r>
      <w:r>
        <w:t xml:space="preserve">also ranked highly, confirming the model’s ability to distinguish wet-season vulnerability from dry-season resilience. </w:t>
      </w:r>
    </w:p>
    <w:p w:rsidR="0021644A" w:rsidRDefault="0021644A" w:rsidP="0021644A">
      <w:pPr>
        <w:spacing w:before="100" w:beforeAutospacing="1" w:after="100" w:afterAutospacing="1" w:line="360" w:lineRule="auto"/>
        <w:jc w:val="both"/>
        <w:rPr>
          <w:i/>
          <w:iCs/>
        </w:rPr>
      </w:pPr>
      <w:r>
        <w:rPr>
          <w:i/>
          <w:iCs/>
        </w:rPr>
        <w:lastRenderedPageBreak/>
        <w:tab/>
      </w:r>
      <w:r>
        <w:rPr>
          <w:noProof/>
        </w:rPr>
        <w:drawing>
          <wp:inline distT="0" distB="0" distL="0" distR="0" wp14:anchorId="204EAA43" wp14:editId="04E69DDE">
            <wp:extent cx="4574738"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6568" cy="4116446"/>
                    </a:xfrm>
                    <a:prstGeom prst="rect">
                      <a:avLst/>
                    </a:prstGeom>
                  </pic:spPr>
                </pic:pic>
              </a:graphicData>
            </a:graphic>
          </wp:inline>
        </w:drawing>
      </w:r>
    </w:p>
    <w:p w:rsidR="0021644A" w:rsidRPr="009E0E21" w:rsidRDefault="0021644A" w:rsidP="0021644A">
      <w:pPr>
        <w:spacing w:before="100" w:beforeAutospacing="1" w:after="100" w:afterAutospacing="1" w:line="360" w:lineRule="auto"/>
        <w:jc w:val="center"/>
      </w:pPr>
      <w:r w:rsidRPr="009E0E21">
        <w:rPr>
          <w:i/>
          <w:iCs/>
        </w:rPr>
        <w:t>Figure 5. SHAP feature-importance summary for the Attention-LSTM</w:t>
      </w:r>
    </w:p>
    <w:p w:rsidR="00B8543A" w:rsidRDefault="00A25390">
      <w:pPr>
        <w:spacing w:before="280" w:after="280" w:line="360" w:lineRule="auto"/>
        <w:jc w:val="both"/>
      </w:pPr>
      <w:r>
        <w:rPr>
          <w:b/>
          <w:bCs/>
        </w:rPr>
        <w:t>4.3 System Dynamics Routing and Vulnerability Assessment</w:t>
      </w:r>
    </w:p>
    <w:p w:rsidR="00B8543A" w:rsidRDefault="00A25390">
      <w:pPr>
        <w:spacing w:before="280" w:after="280" w:line="360" w:lineRule="auto"/>
        <w:jc w:val="both"/>
      </w:pPr>
      <w:r>
        <w:t>Because continuous forecasting was constrained by data resolution, the SD routing engine explicitly simulated the reservoir’s physical response to the stochastically generated design storms across the full parameter matrix. Under conservative conditions (7</w:t>
      </w:r>
      <w:r>
        <w:t>0% initial storage, runoff coefficient 0.40), the 5-year design storm produced a manageable peak spillway discharge of 71.32 m³/s and a cumulative overflow volume of 1.56 million m³. Under the most severe conditions, a 50-year return-period storm, high ant</w:t>
      </w:r>
      <w:r>
        <w:t>ecedent soil moisture (runoff coefficient 0.60), and a nearly full reservoir (90% initial storage), peak catchment inflow reached 277.09 m³/s, rapidly overwhelming the reservoir’s attenuation capacity. Spillway discharge initiated 5.58 hours into the storm</w:t>
      </w:r>
      <w:r>
        <w:t xml:space="preserve"> and surged to a peak outflow of 222.88 m³/s, persisting for 18.42 hours and releasing a cumulative spill volume of 8.33 million m³ downstream (Table 2). </w:t>
      </w:r>
    </w:p>
    <w:p w:rsidR="00B8543A" w:rsidRDefault="00A25390">
      <w:pPr>
        <w:spacing w:before="280" w:after="280" w:line="360" w:lineRule="auto"/>
        <w:jc w:val="both"/>
      </w:pPr>
      <w:r>
        <w:rPr>
          <w:b/>
          <w:bCs/>
        </w:rPr>
        <w:lastRenderedPageBreak/>
        <w:t>Table 2. Representative simulated scenario outcomes spanning the tested parameter range.</w:t>
      </w:r>
    </w:p>
    <w:tbl>
      <w:tblPr>
        <w:tblStyle w:val="TableGrid"/>
        <w:tblW w:w="10680" w:type="dxa"/>
        <w:tblInd w:w="-629" w:type="dxa"/>
        <w:tblLook w:val="0000" w:firstRow="0" w:lastRow="0" w:firstColumn="0" w:lastColumn="0" w:noHBand="0" w:noVBand="0"/>
      </w:tblPr>
      <w:tblGrid>
        <w:gridCol w:w="2057"/>
        <w:gridCol w:w="1712"/>
        <w:gridCol w:w="1370"/>
        <w:gridCol w:w="1268"/>
        <w:gridCol w:w="1481"/>
        <w:gridCol w:w="1326"/>
        <w:gridCol w:w="1466"/>
      </w:tblGrid>
      <w:tr w:rsidR="00192A77" w:rsidTr="009A3C16">
        <w:trPr>
          <w:trHeight w:val="637"/>
        </w:trPr>
        <w:tc>
          <w:tcPr>
            <w:tcW w:w="2057" w:type="dxa"/>
          </w:tcPr>
          <w:p w:rsidR="00192A77" w:rsidRPr="00192A77" w:rsidRDefault="00192A77" w:rsidP="009A3C16">
            <w:pPr>
              <w:spacing w:line="360" w:lineRule="auto"/>
              <w:jc w:val="both"/>
            </w:pPr>
            <w:r w:rsidRPr="00192A77">
              <w:rPr>
                <w:rFonts w:ascii="Times New Roman" w:eastAsia="Times New Roman" w:hAnsi="Times New Roman" w:cs="Times New Roman"/>
                <w:b/>
                <w:bCs/>
              </w:rPr>
              <w:t>Scenario</w:t>
            </w:r>
          </w:p>
        </w:tc>
        <w:tc>
          <w:tcPr>
            <w:tcW w:w="1712" w:type="dxa"/>
          </w:tcPr>
          <w:p w:rsidR="00192A77" w:rsidRPr="00192A77" w:rsidRDefault="00192A77" w:rsidP="009A3C16">
            <w:pPr>
              <w:spacing w:line="360" w:lineRule="auto"/>
              <w:jc w:val="both"/>
            </w:pPr>
            <w:r w:rsidRPr="00192A77">
              <w:rPr>
                <w:rFonts w:ascii="Times New Roman" w:eastAsia="Times New Roman" w:hAnsi="Times New Roman" w:cs="Times New Roman"/>
                <w:b/>
                <w:bCs/>
              </w:rPr>
              <w:t xml:space="preserve">Runoff </w:t>
            </w:r>
            <w:proofErr w:type="spellStart"/>
            <w:r w:rsidRPr="00192A77">
              <w:rPr>
                <w:rFonts w:ascii="Times New Roman" w:eastAsia="Times New Roman" w:hAnsi="Times New Roman" w:cs="Times New Roman"/>
                <w:b/>
                <w:bCs/>
              </w:rPr>
              <w:t>coeff</w:t>
            </w:r>
            <w:proofErr w:type="spellEnd"/>
            <w:r w:rsidRPr="00192A77">
              <w:rPr>
                <w:rFonts w:ascii="Times New Roman" w:eastAsia="Times New Roman" w:hAnsi="Times New Roman" w:cs="Times New Roman"/>
                <w:b/>
                <w:bCs/>
              </w:rPr>
              <w:t>. / initial storage</w:t>
            </w:r>
          </w:p>
        </w:tc>
        <w:tc>
          <w:tcPr>
            <w:tcW w:w="1370" w:type="dxa"/>
          </w:tcPr>
          <w:p w:rsidR="00192A77" w:rsidRPr="00192A77" w:rsidRDefault="00192A77" w:rsidP="009A3C16">
            <w:pPr>
              <w:spacing w:line="360" w:lineRule="auto"/>
              <w:jc w:val="both"/>
            </w:pPr>
            <w:r w:rsidRPr="00192A77">
              <w:rPr>
                <w:rFonts w:ascii="Times New Roman" w:eastAsia="Times New Roman" w:hAnsi="Times New Roman" w:cs="Times New Roman"/>
                <w:b/>
                <w:bCs/>
              </w:rPr>
              <w:t>Peak inflow (m³/s)</w:t>
            </w:r>
          </w:p>
        </w:tc>
        <w:tc>
          <w:tcPr>
            <w:tcW w:w="1268" w:type="dxa"/>
          </w:tcPr>
          <w:p w:rsidR="00192A77" w:rsidRPr="00192A77" w:rsidRDefault="00192A77" w:rsidP="009A3C16">
            <w:pPr>
              <w:spacing w:line="360" w:lineRule="auto"/>
              <w:jc w:val="both"/>
            </w:pPr>
            <w:r w:rsidRPr="00192A77">
              <w:rPr>
                <w:rFonts w:ascii="Times New Roman" w:eastAsia="Times New Roman" w:hAnsi="Times New Roman" w:cs="Times New Roman"/>
                <w:b/>
                <w:bCs/>
              </w:rPr>
              <w:t>Time to spill (h)</w:t>
            </w:r>
          </w:p>
        </w:tc>
        <w:tc>
          <w:tcPr>
            <w:tcW w:w="1481" w:type="dxa"/>
          </w:tcPr>
          <w:p w:rsidR="00192A77" w:rsidRPr="00192A77" w:rsidRDefault="00192A77" w:rsidP="009A3C16">
            <w:pPr>
              <w:spacing w:line="360" w:lineRule="auto"/>
              <w:jc w:val="both"/>
            </w:pPr>
            <w:r w:rsidRPr="00192A77">
              <w:rPr>
                <w:rFonts w:ascii="Times New Roman" w:eastAsia="Times New Roman" w:hAnsi="Times New Roman" w:cs="Times New Roman"/>
                <w:b/>
                <w:bCs/>
              </w:rPr>
              <w:t>Peak spillway (m³/s)</w:t>
            </w:r>
          </w:p>
        </w:tc>
        <w:tc>
          <w:tcPr>
            <w:tcW w:w="1326" w:type="dxa"/>
          </w:tcPr>
          <w:p w:rsidR="00192A77" w:rsidRPr="00192A77" w:rsidRDefault="00192A77" w:rsidP="009A3C16">
            <w:pPr>
              <w:spacing w:line="360" w:lineRule="auto"/>
              <w:jc w:val="both"/>
            </w:pPr>
            <w:r w:rsidRPr="00192A77">
              <w:rPr>
                <w:rFonts w:ascii="Times New Roman" w:eastAsia="Times New Roman" w:hAnsi="Times New Roman" w:cs="Times New Roman"/>
                <w:b/>
                <w:bCs/>
              </w:rPr>
              <w:t>Spill duration (h)</w:t>
            </w:r>
          </w:p>
        </w:tc>
        <w:tc>
          <w:tcPr>
            <w:tcW w:w="1466" w:type="dxa"/>
          </w:tcPr>
          <w:p w:rsidR="00192A77" w:rsidRPr="00192A77" w:rsidRDefault="00192A77" w:rsidP="009A3C16">
            <w:pPr>
              <w:spacing w:line="360" w:lineRule="auto"/>
              <w:jc w:val="both"/>
            </w:pPr>
            <w:r w:rsidRPr="00192A77">
              <w:rPr>
                <w:rFonts w:ascii="Times New Roman" w:eastAsia="Times New Roman" w:hAnsi="Times New Roman" w:cs="Times New Roman"/>
                <w:b/>
                <w:bCs/>
              </w:rPr>
              <w:t>Spill volume (Mm³)</w:t>
            </w:r>
          </w:p>
        </w:tc>
      </w:tr>
      <w:tr w:rsidR="00192A77" w:rsidTr="009A3C16">
        <w:trPr>
          <w:trHeight w:val="318"/>
        </w:trPr>
        <w:tc>
          <w:tcPr>
            <w:tcW w:w="2057" w:type="dxa"/>
          </w:tcPr>
          <w:p w:rsidR="00192A77" w:rsidRPr="00192A77" w:rsidRDefault="00192A77" w:rsidP="009A3C16">
            <w:pPr>
              <w:spacing w:line="360" w:lineRule="auto"/>
              <w:jc w:val="both"/>
            </w:pPr>
            <w:r w:rsidRPr="00192A77">
              <w:rPr>
                <w:rFonts w:ascii="Times New Roman" w:eastAsia="Times New Roman" w:hAnsi="Times New Roman" w:cs="Times New Roman"/>
              </w:rPr>
              <w:t>5-yr, conservative</w:t>
            </w:r>
          </w:p>
        </w:tc>
        <w:tc>
          <w:tcPr>
            <w:tcW w:w="1712" w:type="dxa"/>
          </w:tcPr>
          <w:p w:rsidR="00192A77" w:rsidRPr="00192A77" w:rsidRDefault="00192A77" w:rsidP="009A3C16">
            <w:pPr>
              <w:spacing w:line="360" w:lineRule="auto"/>
              <w:jc w:val="both"/>
            </w:pPr>
            <w:r w:rsidRPr="00192A77">
              <w:rPr>
                <w:rFonts w:ascii="Times New Roman" w:eastAsia="Times New Roman" w:hAnsi="Times New Roman" w:cs="Times New Roman"/>
              </w:rPr>
              <w:t>0.40 / 70%</w:t>
            </w:r>
          </w:p>
        </w:tc>
        <w:tc>
          <w:tcPr>
            <w:tcW w:w="1370" w:type="dxa"/>
          </w:tcPr>
          <w:p w:rsidR="00192A77" w:rsidRPr="00192A77" w:rsidRDefault="00192A77" w:rsidP="009A3C16">
            <w:pPr>
              <w:spacing w:line="360" w:lineRule="auto"/>
              <w:jc w:val="both"/>
            </w:pPr>
            <w:r w:rsidRPr="00192A77">
              <w:rPr>
                <w:rFonts w:ascii="Times New Roman" w:eastAsia="Times New Roman" w:hAnsi="Times New Roman" w:cs="Times New Roman"/>
              </w:rPr>
              <w:t>–</w:t>
            </w:r>
          </w:p>
        </w:tc>
        <w:tc>
          <w:tcPr>
            <w:tcW w:w="1268" w:type="dxa"/>
          </w:tcPr>
          <w:p w:rsidR="00192A77" w:rsidRPr="00192A77" w:rsidRDefault="00192A77" w:rsidP="009A3C16">
            <w:pPr>
              <w:spacing w:line="360" w:lineRule="auto"/>
              <w:jc w:val="both"/>
            </w:pPr>
            <w:r w:rsidRPr="00192A77">
              <w:rPr>
                <w:rFonts w:ascii="Times New Roman" w:eastAsia="Times New Roman" w:hAnsi="Times New Roman" w:cs="Times New Roman"/>
              </w:rPr>
              <w:t>–</w:t>
            </w:r>
          </w:p>
        </w:tc>
        <w:tc>
          <w:tcPr>
            <w:tcW w:w="1481" w:type="dxa"/>
          </w:tcPr>
          <w:p w:rsidR="00192A77" w:rsidRPr="00192A77" w:rsidRDefault="00192A77" w:rsidP="009A3C16">
            <w:pPr>
              <w:spacing w:line="360" w:lineRule="auto"/>
              <w:jc w:val="both"/>
            </w:pPr>
            <w:r w:rsidRPr="00192A77">
              <w:rPr>
                <w:rFonts w:ascii="Times New Roman" w:eastAsia="Times New Roman" w:hAnsi="Times New Roman" w:cs="Times New Roman"/>
              </w:rPr>
              <w:t>71.32</w:t>
            </w:r>
          </w:p>
        </w:tc>
        <w:tc>
          <w:tcPr>
            <w:tcW w:w="1326" w:type="dxa"/>
          </w:tcPr>
          <w:p w:rsidR="00192A77" w:rsidRPr="00192A77" w:rsidRDefault="00192A77" w:rsidP="009A3C16">
            <w:pPr>
              <w:spacing w:line="360" w:lineRule="auto"/>
              <w:jc w:val="both"/>
            </w:pPr>
            <w:r w:rsidRPr="00192A77">
              <w:rPr>
                <w:rFonts w:ascii="Times New Roman" w:eastAsia="Times New Roman" w:hAnsi="Times New Roman" w:cs="Times New Roman"/>
              </w:rPr>
              <w:t>–</w:t>
            </w:r>
          </w:p>
        </w:tc>
        <w:tc>
          <w:tcPr>
            <w:tcW w:w="1466" w:type="dxa"/>
          </w:tcPr>
          <w:p w:rsidR="00192A77" w:rsidRPr="00192A77" w:rsidRDefault="00192A77" w:rsidP="009A3C16">
            <w:pPr>
              <w:spacing w:line="360" w:lineRule="auto"/>
              <w:jc w:val="both"/>
            </w:pPr>
            <w:r w:rsidRPr="00192A77">
              <w:rPr>
                <w:rFonts w:ascii="Times New Roman" w:eastAsia="Times New Roman" w:hAnsi="Times New Roman" w:cs="Times New Roman"/>
              </w:rPr>
              <w:t>1.56</w:t>
            </w:r>
          </w:p>
        </w:tc>
      </w:tr>
      <w:tr w:rsidR="00192A77" w:rsidTr="009A3C16">
        <w:trPr>
          <w:trHeight w:val="318"/>
        </w:trPr>
        <w:tc>
          <w:tcPr>
            <w:tcW w:w="2057" w:type="dxa"/>
          </w:tcPr>
          <w:p w:rsidR="00192A77" w:rsidRPr="00192A77" w:rsidRDefault="00192A77" w:rsidP="009A3C16">
            <w:pPr>
              <w:spacing w:line="360" w:lineRule="auto"/>
              <w:jc w:val="both"/>
            </w:pPr>
            <w:r w:rsidRPr="00192A77">
              <w:rPr>
                <w:rFonts w:ascii="Times New Roman" w:eastAsia="Times New Roman" w:hAnsi="Times New Roman" w:cs="Times New Roman"/>
              </w:rPr>
              <w:t>50-yr, worst case</w:t>
            </w:r>
          </w:p>
        </w:tc>
        <w:tc>
          <w:tcPr>
            <w:tcW w:w="1712" w:type="dxa"/>
          </w:tcPr>
          <w:p w:rsidR="00192A77" w:rsidRPr="00192A77" w:rsidRDefault="00192A77" w:rsidP="009A3C16">
            <w:pPr>
              <w:spacing w:line="360" w:lineRule="auto"/>
              <w:jc w:val="both"/>
            </w:pPr>
            <w:r w:rsidRPr="00192A77">
              <w:rPr>
                <w:rFonts w:ascii="Times New Roman" w:eastAsia="Times New Roman" w:hAnsi="Times New Roman" w:cs="Times New Roman"/>
              </w:rPr>
              <w:t>0.60 / 90%</w:t>
            </w:r>
          </w:p>
        </w:tc>
        <w:tc>
          <w:tcPr>
            <w:tcW w:w="1370" w:type="dxa"/>
          </w:tcPr>
          <w:p w:rsidR="00192A77" w:rsidRPr="00192A77" w:rsidRDefault="00192A77" w:rsidP="009A3C16">
            <w:pPr>
              <w:spacing w:line="360" w:lineRule="auto"/>
              <w:jc w:val="both"/>
            </w:pPr>
            <w:r w:rsidRPr="00192A77">
              <w:rPr>
                <w:rFonts w:ascii="Times New Roman" w:eastAsia="Times New Roman" w:hAnsi="Times New Roman" w:cs="Times New Roman"/>
              </w:rPr>
              <w:t>277.09</w:t>
            </w:r>
          </w:p>
        </w:tc>
        <w:tc>
          <w:tcPr>
            <w:tcW w:w="1268" w:type="dxa"/>
          </w:tcPr>
          <w:p w:rsidR="00192A77" w:rsidRPr="00192A77" w:rsidRDefault="00192A77" w:rsidP="009A3C16">
            <w:pPr>
              <w:spacing w:line="360" w:lineRule="auto"/>
              <w:jc w:val="both"/>
            </w:pPr>
            <w:r w:rsidRPr="00192A77">
              <w:rPr>
                <w:rFonts w:ascii="Times New Roman" w:eastAsia="Times New Roman" w:hAnsi="Times New Roman" w:cs="Times New Roman"/>
              </w:rPr>
              <w:t>5.58</w:t>
            </w:r>
          </w:p>
        </w:tc>
        <w:tc>
          <w:tcPr>
            <w:tcW w:w="1481" w:type="dxa"/>
          </w:tcPr>
          <w:p w:rsidR="00192A77" w:rsidRPr="00192A77" w:rsidRDefault="00192A77" w:rsidP="009A3C16">
            <w:pPr>
              <w:spacing w:line="360" w:lineRule="auto"/>
              <w:jc w:val="both"/>
            </w:pPr>
            <w:r w:rsidRPr="00192A77">
              <w:rPr>
                <w:rFonts w:ascii="Times New Roman" w:eastAsia="Times New Roman" w:hAnsi="Times New Roman" w:cs="Times New Roman"/>
              </w:rPr>
              <w:t>222.88</w:t>
            </w:r>
          </w:p>
        </w:tc>
        <w:tc>
          <w:tcPr>
            <w:tcW w:w="1326" w:type="dxa"/>
          </w:tcPr>
          <w:p w:rsidR="00192A77" w:rsidRPr="00192A77" w:rsidRDefault="00192A77" w:rsidP="009A3C16">
            <w:pPr>
              <w:spacing w:line="360" w:lineRule="auto"/>
              <w:jc w:val="both"/>
            </w:pPr>
            <w:r w:rsidRPr="00192A77">
              <w:rPr>
                <w:rFonts w:ascii="Times New Roman" w:eastAsia="Times New Roman" w:hAnsi="Times New Roman" w:cs="Times New Roman"/>
              </w:rPr>
              <w:t>18.42</w:t>
            </w:r>
          </w:p>
        </w:tc>
        <w:tc>
          <w:tcPr>
            <w:tcW w:w="1466" w:type="dxa"/>
          </w:tcPr>
          <w:p w:rsidR="00192A77" w:rsidRPr="00192A77" w:rsidRDefault="00192A77" w:rsidP="009A3C16">
            <w:pPr>
              <w:spacing w:line="360" w:lineRule="auto"/>
              <w:jc w:val="both"/>
            </w:pPr>
            <w:r w:rsidRPr="00192A77">
              <w:rPr>
                <w:rFonts w:ascii="Times New Roman" w:eastAsia="Times New Roman" w:hAnsi="Times New Roman" w:cs="Times New Roman"/>
              </w:rPr>
              <w:t>8.33</w:t>
            </w:r>
          </w:p>
        </w:tc>
      </w:tr>
      <w:tr w:rsidR="00192A77" w:rsidTr="009A3C16">
        <w:trPr>
          <w:trHeight w:val="637"/>
        </w:trPr>
        <w:tc>
          <w:tcPr>
            <w:tcW w:w="2057" w:type="dxa"/>
          </w:tcPr>
          <w:p w:rsidR="00192A77" w:rsidRPr="00192A77" w:rsidRDefault="00192A77" w:rsidP="00192A77">
            <w:pPr>
              <w:spacing w:line="360" w:lineRule="auto"/>
            </w:pPr>
            <w:r w:rsidRPr="00192A77">
              <w:rPr>
                <w:rFonts w:ascii="Times New Roman" w:eastAsia="Times New Roman" w:hAnsi="Times New Roman" w:cs="Times New Roman"/>
              </w:rPr>
              <w:t>Aug</w:t>
            </w:r>
            <w:r>
              <w:rPr>
                <w:rFonts w:ascii="Times New Roman" w:eastAsia="Times New Roman" w:hAnsi="Times New Roman" w:cs="Times New Roman"/>
              </w:rPr>
              <w:t xml:space="preserve"> </w:t>
            </w:r>
            <w:r w:rsidRPr="00192A77">
              <w:rPr>
                <w:rFonts w:ascii="Times New Roman" w:eastAsia="Times New Roman" w:hAnsi="Times New Roman" w:cs="Times New Roman"/>
              </w:rPr>
              <w:t>2011 reconstruction</w:t>
            </w:r>
          </w:p>
        </w:tc>
        <w:tc>
          <w:tcPr>
            <w:tcW w:w="1712" w:type="dxa"/>
          </w:tcPr>
          <w:p w:rsidR="00192A77" w:rsidRPr="00192A77" w:rsidRDefault="00192A77" w:rsidP="009A3C16">
            <w:pPr>
              <w:spacing w:line="360" w:lineRule="auto"/>
              <w:jc w:val="both"/>
            </w:pPr>
            <w:r w:rsidRPr="00192A77">
              <w:rPr>
                <w:rFonts w:ascii="Times New Roman" w:eastAsia="Times New Roman" w:hAnsi="Times New Roman" w:cs="Times New Roman"/>
              </w:rPr>
              <w:t>event-specific</w:t>
            </w:r>
          </w:p>
        </w:tc>
        <w:tc>
          <w:tcPr>
            <w:tcW w:w="1370" w:type="dxa"/>
          </w:tcPr>
          <w:p w:rsidR="00192A77" w:rsidRPr="00192A77" w:rsidRDefault="00192A77" w:rsidP="009A3C16">
            <w:pPr>
              <w:spacing w:line="360" w:lineRule="auto"/>
              <w:jc w:val="both"/>
            </w:pPr>
            <w:r w:rsidRPr="00192A77">
              <w:rPr>
                <w:rFonts w:ascii="Times New Roman" w:eastAsia="Times New Roman" w:hAnsi="Times New Roman" w:cs="Times New Roman"/>
              </w:rPr>
              <w:t>854.00</w:t>
            </w:r>
          </w:p>
        </w:tc>
        <w:tc>
          <w:tcPr>
            <w:tcW w:w="1268" w:type="dxa"/>
          </w:tcPr>
          <w:p w:rsidR="00192A77" w:rsidRPr="00192A77" w:rsidRDefault="00192A77" w:rsidP="009A3C16">
            <w:pPr>
              <w:spacing w:line="360" w:lineRule="auto"/>
              <w:jc w:val="both"/>
            </w:pPr>
            <w:r w:rsidRPr="00192A77">
              <w:rPr>
                <w:rFonts w:ascii="Times New Roman" w:eastAsia="Times New Roman" w:hAnsi="Times New Roman" w:cs="Times New Roman"/>
              </w:rPr>
              <w:t>2.17</w:t>
            </w:r>
          </w:p>
        </w:tc>
        <w:tc>
          <w:tcPr>
            <w:tcW w:w="1481" w:type="dxa"/>
          </w:tcPr>
          <w:p w:rsidR="00192A77" w:rsidRPr="00192A77" w:rsidRDefault="00192A77" w:rsidP="009A3C16">
            <w:pPr>
              <w:spacing w:line="360" w:lineRule="auto"/>
              <w:jc w:val="both"/>
            </w:pPr>
            <w:r w:rsidRPr="00192A77">
              <w:rPr>
                <w:rFonts w:ascii="Times New Roman" w:eastAsia="Times New Roman" w:hAnsi="Times New Roman" w:cs="Times New Roman"/>
              </w:rPr>
              <w:t>748.82</w:t>
            </w:r>
          </w:p>
        </w:tc>
        <w:tc>
          <w:tcPr>
            <w:tcW w:w="1326" w:type="dxa"/>
          </w:tcPr>
          <w:p w:rsidR="00192A77" w:rsidRPr="00192A77" w:rsidRDefault="00192A77" w:rsidP="009A3C16">
            <w:pPr>
              <w:spacing w:line="360" w:lineRule="auto"/>
              <w:jc w:val="both"/>
            </w:pPr>
            <w:r w:rsidRPr="00192A77">
              <w:rPr>
                <w:rFonts w:ascii="Times New Roman" w:eastAsia="Times New Roman" w:hAnsi="Times New Roman" w:cs="Times New Roman"/>
              </w:rPr>
              <w:t>12.83</w:t>
            </w:r>
          </w:p>
        </w:tc>
        <w:tc>
          <w:tcPr>
            <w:tcW w:w="1466" w:type="dxa"/>
          </w:tcPr>
          <w:p w:rsidR="00192A77" w:rsidRPr="00192A77" w:rsidRDefault="00192A77" w:rsidP="009A3C16">
            <w:pPr>
              <w:spacing w:line="360" w:lineRule="auto"/>
              <w:jc w:val="both"/>
            </w:pPr>
            <w:r w:rsidRPr="00192A77">
              <w:rPr>
                <w:rFonts w:ascii="Times New Roman" w:eastAsia="Times New Roman" w:hAnsi="Times New Roman" w:cs="Times New Roman"/>
              </w:rPr>
              <w:t>23.65</w:t>
            </w:r>
          </w:p>
        </w:tc>
      </w:tr>
    </w:tbl>
    <w:p w:rsidR="00B8543A" w:rsidRDefault="00A25390">
      <w:pPr>
        <w:spacing w:before="280" w:after="280" w:line="360" w:lineRule="auto"/>
        <w:jc w:val="both"/>
      </w:pPr>
      <w:r>
        <w:rPr>
          <w:b/>
          <w:bCs/>
        </w:rPr>
        <w:t>4.4 Reconstruction of the August 2011 Disaster</w:t>
      </w:r>
      <w:r>
        <w:t xml:space="preserve"> Forced by the documented 187.5 mm total rainfall with a 140.63 mm central burst, the reconstruction generated a simulated peak inflow of 854.00 m³/s. Dam overtopping was triggered 2.17 hours into the storm, producing a peak spillway discharge of 748.82 m³</w:t>
      </w:r>
      <w:r>
        <w:t>/s. The simulation maintained an active spill state for 12.83 hours, discharging 23.65 million m³ downstream (Table 2). This simulated overflow magnitude is broadly consistent with the scale of structural damage and downstream inundation documented for the</w:t>
      </w:r>
      <w:r>
        <w:t xml:space="preserve"> event (</w:t>
      </w:r>
      <w:proofErr w:type="spellStart"/>
      <w:r>
        <w:t>Agbola</w:t>
      </w:r>
      <w:proofErr w:type="spellEnd"/>
      <w:r>
        <w:t xml:space="preserve"> et al., 2012; World Bank, 2014), supporting the physical plausibility of the routing engine under extreme stress. </w:t>
      </w:r>
    </w:p>
    <w:p w:rsidR="00192A77" w:rsidRDefault="00192A77" w:rsidP="00192A77">
      <w:pPr>
        <w:spacing w:before="100" w:beforeAutospacing="1" w:after="100" w:afterAutospacing="1" w:line="360" w:lineRule="auto"/>
        <w:jc w:val="both"/>
        <w:rPr>
          <w:i/>
          <w:iCs/>
        </w:rPr>
      </w:pPr>
      <w:r>
        <w:rPr>
          <w:noProof/>
        </w:rPr>
        <w:drawing>
          <wp:inline distT="0" distB="0" distL="0" distR="0" wp14:anchorId="121318AB" wp14:editId="01A622FB">
            <wp:extent cx="5401945" cy="2735580"/>
            <wp:effectExtent l="0" t="0" r="825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4493" cy="2736870"/>
                    </a:xfrm>
                    <a:prstGeom prst="rect">
                      <a:avLst/>
                    </a:prstGeom>
                  </pic:spPr>
                </pic:pic>
              </a:graphicData>
            </a:graphic>
          </wp:inline>
        </w:drawing>
      </w:r>
    </w:p>
    <w:p w:rsidR="00192A77" w:rsidRPr="009E0E21" w:rsidRDefault="00192A77" w:rsidP="00192A77">
      <w:pPr>
        <w:spacing w:before="100" w:beforeAutospacing="1" w:after="100" w:afterAutospacing="1" w:line="360" w:lineRule="auto"/>
        <w:jc w:val="both"/>
      </w:pPr>
      <w:r w:rsidRPr="009E0E21">
        <w:rPr>
          <w:i/>
          <w:iCs/>
        </w:rPr>
        <w:t>Figure 6. SD model event reconstruction: August 26, 2011 flood hydrograph</w:t>
      </w:r>
    </w:p>
    <w:p w:rsidR="00B8543A" w:rsidRDefault="00A25390">
      <w:pPr>
        <w:spacing w:before="280" w:after="280" w:line="360" w:lineRule="auto"/>
        <w:jc w:val="both"/>
      </w:pPr>
      <w:r>
        <w:rPr>
          <w:b/>
          <w:bCs/>
        </w:rPr>
        <w:lastRenderedPageBreak/>
        <w:t>5. Discussion and Conclusion</w:t>
      </w:r>
    </w:p>
    <w:p w:rsidR="00B8543A" w:rsidRDefault="00A25390">
      <w:pPr>
        <w:spacing w:before="280" w:after="280" w:line="360" w:lineRule="auto"/>
        <w:jc w:val="both"/>
      </w:pPr>
      <w:r>
        <w:t xml:space="preserve">The empirical </w:t>
      </w:r>
      <w:r>
        <w:t>observation that a daily-forced Attention-LSTM can track seasonal baseflow yet fails to capture sub-hourly peaks provides clarity regarding the inconsistent performance of ML-based reservoir forecasting. In contrast to García-</w:t>
      </w:r>
      <w:proofErr w:type="spellStart"/>
      <w:r>
        <w:t>Feal</w:t>
      </w:r>
      <w:proofErr w:type="spellEnd"/>
      <w:r>
        <w:t xml:space="preserve"> et al. (2022), who report</w:t>
      </w:r>
      <w:r>
        <w:t xml:space="preserve">ed strong forecasting results using sub-daily gauge records, the present study demonstrates that daily satellite proxies are structurally incapable of resolving flash-flood peaks. This distinction also sets the current framework apart from approaches such </w:t>
      </w:r>
      <w:r>
        <w:t xml:space="preserve">as </w:t>
      </w:r>
      <w:proofErr w:type="spellStart"/>
      <w:r>
        <w:t>Babolhakami</w:t>
      </w:r>
      <w:proofErr w:type="spellEnd"/>
      <w:r>
        <w:t xml:space="preserve"> et al. (2023), where ML is applied to long-horizon climate downscaling tasks that are inherently more compatible with daily data. By empirically establishing this temporal-resolution ceiling, the study reframes the ML limitation not as a met</w:t>
      </w:r>
      <w:r>
        <w:t>hodological flaw, but as a necessary justification for the deployment of the physically based System Dynamics (SD) engine in extreme-event assessment.</w:t>
      </w:r>
    </w:p>
    <w:p w:rsidR="00B8543A" w:rsidRDefault="00A25390">
      <w:pPr>
        <w:spacing w:before="280" w:after="280" w:line="360" w:lineRule="auto"/>
        <w:jc w:val="both"/>
      </w:pPr>
      <w:r>
        <w:t>The SD sensitivity analysis demonstrates that spillway overflow exhibits a pronounced non-linear response</w:t>
      </w:r>
      <w:r>
        <w:t xml:space="preserve"> to antecedent conditions. For instance, transitioning from conservative (70% storage, 0.40 runoff) to severe (90% storage, 0.60 runoff) states results in more than a five-fold increase in cumulative overflow for storms of comparable magnitude. This findin</w:t>
      </w:r>
      <w:r>
        <w:t xml:space="preserve">g underscores the critical importance of pre-storm reservoir drawdown as a primary </w:t>
      </w:r>
      <w:r w:rsidR="00A8501A">
        <w:t xml:space="preserve">flood-control measure, </w:t>
      </w:r>
      <w:r>
        <w:t xml:space="preserve">reinforcing the operational value of the SD model. Furthermore, the model was able to reproduce physically consistent extreme-event </w:t>
      </w:r>
      <w:proofErr w:type="spellStart"/>
      <w:r>
        <w:t>behaviour</w:t>
      </w:r>
      <w:proofErr w:type="spellEnd"/>
      <w:r>
        <w:t>,</w:t>
      </w:r>
      <w:r>
        <w:t xml:space="preserve"> simulating overflow volumes exceeding 8.33 million m³ under 50-year return-period conditions and aligning with the catastrophic scale observed during the August 2011 Ibadan flood.</w:t>
      </w:r>
    </w:p>
    <w:p w:rsidR="00B8543A" w:rsidRPr="00192A77" w:rsidRDefault="00A25390" w:rsidP="00192A77">
      <w:pPr>
        <w:spacing w:before="280" w:after="280" w:line="360" w:lineRule="auto"/>
        <w:jc w:val="both"/>
      </w:pPr>
      <w:r>
        <w:t>Although this approach provides a transferable blueprint for application in</w:t>
      </w:r>
      <w:r>
        <w:t xml:space="preserve"> data-scarce basins, it remains fundamentally reliant on </w:t>
      </w:r>
      <w:proofErr w:type="spellStart"/>
      <w:r>
        <w:t>GEOGloWS</w:t>
      </w:r>
      <w:proofErr w:type="spellEnd"/>
      <w:r>
        <w:t xml:space="preserve"> reanalysis, statistical return-period extrapolation, and provisional structural parameters. As a result, the reconstruction of the 2011 event should be interpreted as a plausibility check ra</w:t>
      </w:r>
      <w:r>
        <w:t xml:space="preserve">ther than a formal validation. Moving forward, it is essential to </w:t>
      </w:r>
      <w:proofErr w:type="spellStart"/>
      <w:r>
        <w:t>prioritise</w:t>
      </w:r>
      <w:proofErr w:type="spellEnd"/>
      <w:r>
        <w:t xml:space="preserve"> the acquisition of local gauge data, the integration of sub-daily rainfall products, and the coupling of cumulative spillway volumes with 2D hydrodynamic models to enable spatial </w:t>
      </w:r>
      <w:r>
        <w:t xml:space="preserve">inundation mapping. Ultimately, while global open-source datasets and deep learning cannot function as universal, continuous forecasting solutions for extreme flash floods, the sequential </w:t>
      </w:r>
      <w:r>
        <w:lastRenderedPageBreak/>
        <w:t>hybrid methodology presented here clarifies the diagnostic role of m</w:t>
      </w:r>
      <w:r>
        <w:t>achine learning in motivating and bounding physics-based vulnerability assessments.</w:t>
      </w:r>
    </w:p>
    <w:p w:rsidR="00B8543A" w:rsidRDefault="00A25390">
      <w:pPr>
        <w:spacing w:before="280" w:after="280" w:line="360" w:lineRule="auto"/>
      </w:pPr>
      <w:r>
        <w:rPr>
          <w:b/>
          <w:bCs/>
        </w:rPr>
        <w:t>References</w:t>
      </w:r>
    </w:p>
    <w:p w:rsidR="00B8543A" w:rsidRDefault="00A25390">
      <w:pPr>
        <w:spacing w:before="280" w:after="280" w:line="360" w:lineRule="auto"/>
      </w:pPr>
      <w:proofErr w:type="spellStart"/>
      <w:r>
        <w:t>Agbola</w:t>
      </w:r>
      <w:proofErr w:type="spellEnd"/>
      <w:r>
        <w:t xml:space="preserve">, B. S., Ajayi, O., Taiwo, O. J., &amp; Wahab, B. W. (2012). The August 2011 flood in Ibadan, Nigeria: Anthropogenic causes and consequences. </w:t>
      </w:r>
      <w:r>
        <w:rPr>
          <w:i/>
          <w:iCs/>
        </w:rPr>
        <w:t>International Jo</w:t>
      </w:r>
      <w:r>
        <w:rPr>
          <w:i/>
          <w:iCs/>
        </w:rPr>
        <w:t>urnal of Disaster Risk Science</w:t>
      </w:r>
      <w:r>
        <w:t>, 3(4), 207–217.</w:t>
      </w:r>
    </w:p>
    <w:p w:rsidR="00B8543A" w:rsidRDefault="00A25390">
      <w:pPr>
        <w:spacing w:before="280" w:after="280" w:line="360" w:lineRule="auto"/>
      </w:pPr>
      <w:r>
        <w:t xml:space="preserve">Ahmad, S., &amp; Simonovic, S. P. (2000). System dynamics modeling of reservoir operations for flood management. </w:t>
      </w:r>
      <w:r>
        <w:rPr>
          <w:i/>
          <w:iCs/>
        </w:rPr>
        <w:t>Journal of Computing in Civil Engineering</w:t>
      </w:r>
      <w:r>
        <w:t>, 14(3), 190–198.</w:t>
      </w:r>
    </w:p>
    <w:p w:rsidR="00B8543A" w:rsidRDefault="00A25390">
      <w:pPr>
        <w:spacing w:before="280" w:after="280" w:line="360" w:lineRule="auto"/>
      </w:pPr>
      <w:r>
        <w:t>Babatunde, A. A. (2025). Flood vulnerabil</w:t>
      </w:r>
      <w:r>
        <w:t xml:space="preserve">ity assessment of </w:t>
      </w:r>
      <w:proofErr w:type="spellStart"/>
      <w:r>
        <w:t>Eleyele</w:t>
      </w:r>
      <w:proofErr w:type="spellEnd"/>
      <w:r>
        <w:t xml:space="preserve"> Dam and its catchment area, </w:t>
      </w:r>
      <w:proofErr w:type="spellStart"/>
      <w:r>
        <w:t>Ido</w:t>
      </w:r>
      <w:proofErr w:type="spellEnd"/>
      <w:r>
        <w:t xml:space="preserve"> Local Government Area, Oyo State, Nigeria. </w:t>
      </w:r>
      <w:r>
        <w:rPr>
          <w:i/>
          <w:iCs/>
        </w:rPr>
        <w:t>Global Journal of Earth and Environmental Science</w:t>
      </w:r>
      <w:r>
        <w:t>, 10(1), 19–34.</w:t>
      </w:r>
    </w:p>
    <w:p w:rsidR="00B8543A" w:rsidRDefault="00A25390">
      <w:pPr>
        <w:spacing w:before="280" w:after="280" w:line="360" w:lineRule="auto"/>
      </w:pPr>
      <w:proofErr w:type="spellStart"/>
      <w:r>
        <w:t>Babolhakami</w:t>
      </w:r>
      <w:proofErr w:type="spellEnd"/>
      <w:r>
        <w:t xml:space="preserve">, A., </w:t>
      </w:r>
      <w:proofErr w:type="spellStart"/>
      <w:r>
        <w:t>Gholami</w:t>
      </w:r>
      <w:proofErr w:type="spellEnd"/>
      <w:r>
        <w:t xml:space="preserve"> </w:t>
      </w:r>
      <w:proofErr w:type="spellStart"/>
      <w:r>
        <w:t>Sefidkouhi</w:t>
      </w:r>
      <w:proofErr w:type="spellEnd"/>
      <w:r>
        <w:t xml:space="preserve">, M. A., &amp; </w:t>
      </w:r>
      <w:proofErr w:type="spellStart"/>
      <w:r>
        <w:t>Emadi</w:t>
      </w:r>
      <w:proofErr w:type="spellEnd"/>
      <w:r>
        <w:t>, A. (2023). Application of system dyna</w:t>
      </w:r>
      <w:r>
        <w:t xml:space="preserve">mics model for reservoir performance under future climatic scenarios in </w:t>
      </w:r>
      <w:proofErr w:type="spellStart"/>
      <w:r>
        <w:t>Gelevard</w:t>
      </w:r>
      <w:proofErr w:type="spellEnd"/>
      <w:r>
        <w:t xml:space="preserve"> Dam, Iran. </w:t>
      </w:r>
      <w:r>
        <w:rPr>
          <w:i/>
          <w:iCs/>
        </w:rPr>
        <w:t>AQUA – Water Infrastructure, Ecosystems and Society</w:t>
      </w:r>
      <w:r>
        <w:t>, 72(7), 1115–1129.</w:t>
      </w:r>
    </w:p>
    <w:p w:rsidR="00B8543A" w:rsidRDefault="00A25390">
      <w:pPr>
        <w:spacing w:before="280" w:after="280" w:line="360" w:lineRule="auto"/>
      </w:pPr>
      <w:r>
        <w:t xml:space="preserve">Chow, V. T., Maidment, D. R., &amp; Mays, L. W. (1988). </w:t>
      </w:r>
      <w:r>
        <w:rPr>
          <w:i/>
          <w:iCs/>
        </w:rPr>
        <w:t>Applied Hydrology</w:t>
      </w:r>
      <w:r>
        <w:t>. McGraw-Hill.</w:t>
      </w:r>
    </w:p>
    <w:p w:rsidR="00B8543A" w:rsidRDefault="00A25390">
      <w:pPr>
        <w:spacing w:before="280" w:after="280" w:line="360" w:lineRule="auto"/>
      </w:pPr>
      <w:r>
        <w:t xml:space="preserve">Douglas, </w:t>
      </w:r>
      <w:r>
        <w:t xml:space="preserve">I., </w:t>
      </w:r>
      <w:proofErr w:type="spellStart"/>
      <w:r>
        <w:t>Alam</w:t>
      </w:r>
      <w:proofErr w:type="spellEnd"/>
      <w:r>
        <w:t xml:space="preserve">, K., </w:t>
      </w:r>
      <w:proofErr w:type="spellStart"/>
      <w:r>
        <w:t>Maghenda</w:t>
      </w:r>
      <w:proofErr w:type="spellEnd"/>
      <w:r>
        <w:t xml:space="preserve">, M., </w:t>
      </w:r>
      <w:proofErr w:type="spellStart"/>
      <w:r>
        <w:t>Mcdonnell</w:t>
      </w:r>
      <w:proofErr w:type="spellEnd"/>
      <w:r>
        <w:t xml:space="preserve">, </w:t>
      </w:r>
      <w:bookmarkStart w:id="0" w:name="_GoBack"/>
      <w:bookmarkEnd w:id="0"/>
      <w:r>
        <w:t xml:space="preserve">Y., McLean, L., &amp; Campbell, J. (2008). Unjust waters: climate change, flooding and the urban poor in Africa. </w:t>
      </w:r>
      <w:r>
        <w:rPr>
          <w:i/>
          <w:iCs/>
        </w:rPr>
        <w:t>Environment and Urbanization</w:t>
      </w:r>
      <w:r>
        <w:t>, 20(1), 187–205.</w:t>
      </w:r>
    </w:p>
    <w:p w:rsidR="00B8543A" w:rsidRDefault="00A25390">
      <w:pPr>
        <w:spacing w:before="280" w:after="280" w:line="360" w:lineRule="auto"/>
      </w:pPr>
      <w:r>
        <w:t>García-</w:t>
      </w:r>
      <w:proofErr w:type="spellStart"/>
      <w:r>
        <w:t>Feal</w:t>
      </w:r>
      <w:proofErr w:type="spellEnd"/>
      <w:r>
        <w:t>, O., González-Cao, J., Fernández-</w:t>
      </w:r>
      <w:proofErr w:type="spellStart"/>
      <w:r>
        <w:t>Nóvoa</w:t>
      </w:r>
      <w:proofErr w:type="spellEnd"/>
      <w:r>
        <w:t>, D., Astray</w:t>
      </w:r>
      <w:r>
        <w:t xml:space="preserve"> </w:t>
      </w:r>
      <w:proofErr w:type="spellStart"/>
      <w:r>
        <w:t>Dopazo</w:t>
      </w:r>
      <w:proofErr w:type="spellEnd"/>
      <w:r>
        <w:t>, G., &amp; Gómez-</w:t>
      </w:r>
      <w:proofErr w:type="spellStart"/>
      <w:r>
        <w:t>Gesteira</w:t>
      </w:r>
      <w:proofErr w:type="spellEnd"/>
      <w:r>
        <w:t xml:space="preserve">, M. (2022). Comparison of machine learning techniques for reservoir outflow forecasting. </w:t>
      </w:r>
      <w:r>
        <w:rPr>
          <w:i/>
          <w:iCs/>
        </w:rPr>
        <w:t>Natural Hazards and Earth System Sciences</w:t>
      </w:r>
      <w:r>
        <w:t>, 22(12), 3859–3874.</w:t>
      </w:r>
    </w:p>
    <w:p w:rsidR="00B8543A" w:rsidRDefault="00A25390">
      <w:pPr>
        <w:spacing w:before="280" w:after="280" w:line="360" w:lineRule="auto"/>
      </w:pPr>
      <w:proofErr w:type="spellStart"/>
      <w:r>
        <w:t>Kirpich</w:t>
      </w:r>
      <w:proofErr w:type="spellEnd"/>
      <w:r>
        <w:t>, Z. P. (1940). Time of concentration in small agricultural watershe</w:t>
      </w:r>
      <w:r>
        <w:t xml:space="preserve">ds. </w:t>
      </w:r>
      <w:r>
        <w:rPr>
          <w:i/>
          <w:iCs/>
        </w:rPr>
        <w:t>Civil Engineering</w:t>
      </w:r>
      <w:r>
        <w:t>, 10(6), 362–364.</w:t>
      </w:r>
    </w:p>
    <w:p w:rsidR="00B8543A" w:rsidRDefault="00A25390">
      <w:pPr>
        <w:spacing w:before="280" w:after="280" w:line="360" w:lineRule="auto"/>
      </w:pPr>
      <w:proofErr w:type="spellStart"/>
      <w:r>
        <w:lastRenderedPageBreak/>
        <w:t>Kratzert</w:t>
      </w:r>
      <w:proofErr w:type="spellEnd"/>
      <w:r>
        <w:t xml:space="preserve">, F., Klotz, D., Brenner, C., Schulz, K., &amp; </w:t>
      </w:r>
      <w:proofErr w:type="spellStart"/>
      <w:r>
        <w:t>Herrnegger</w:t>
      </w:r>
      <w:proofErr w:type="spellEnd"/>
      <w:r>
        <w:t xml:space="preserve">, M. (2018). Rainfall–runoff modelling using Long Short-Term Memory (LSTM) networks. </w:t>
      </w:r>
      <w:r>
        <w:rPr>
          <w:i/>
          <w:iCs/>
        </w:rPr>
        <w:t>Hydrology and Earth System Sciences</w:t>
      </w:r>
      <w:r>
        <w:t>, 22(11), 6005–6022.</w:t>
      </w:r>
    </w:p>
    <w:p w:rsidR="00B8543A" w:rsidRDefault="00A25390">
      <w:pPr>
        <w:spacing w:before="280" w:after="280" w:line="360" w:lineRule="auto"/>
      </w:pPr>
      <w:r>
        <w:t>Ochoa-</w:t>
      </w:r>
      <w:proofErr w:type="spellStart"/>
      <w:r>
        <w:t>Tocachi</w:t>
      </w:r>
      <w:proofErr w:type="spellEnd"/>
      <w:r>
        <w:t>,</w:t>
      </w:r>
      <w:r>
        <w:t xml:space="preserve"> B. F., </w:t>
      </w:r>
      <w:proofErr w:type="spellStart"/>
      <w:r>
        <w:t>Buytaert</w:t>
      </w:r>
      <w:proofErr w:type="spellEnd"/>
      <w:r>
        <w:t xml:space="preserve">, W., &amp; De </w:t>
      </w:r>
      <w:proofErr w:type="spellStart"/>
      <w:r>
        <w:t>Bièvre</w:t>
      </w:r>
      <w:proofErr w:type="spellEnd"/>
      <w:r>
        <w:t xml:space="preserve">, B. (2016). Regionalization of land-use impacts on streamflow using a network of paired catchments. </w:t>
      </w:r>
      <w:r>
        <w:rPr>
          <w:i/>
          <w:iCs/>
        </w:rPr>
        <w:t>Water Resources Research</w:t>
      </w:r>
      <w:r>
        <w:t>, 52(9), 6710–6729.</w:t>
      </w:r>
    </w:p>
    <w:p w:rsidR="00B8543A" w:rsidRDefault="00A25390">
      <w:pPr>
        <w:spacing w:before="280" w:after="280" w:line="360" w:lineRule="auto"/>
      </w:pPr>
      <w:proofErr w:type="spellStart"/>
      <w:r>
        <w:t>Oudin</w:t>
      </w:r>
      <w:proofErr w:type="spellEnd"/>
      <w:r>
        <w:t xml:space="preserve">, L., </w:t>
      </w:r>
      <w:proofErr w:type="spellStart"/>
      <w:r>
        <w:t>Andréassian</w:t>
      </w:r>
      <w:proofErr w:type="spellEnd"/>
      <w:r>
        <w:t xml:space="preserve">, V., Perrin, C., Michel, C., &amp; Le </w:t>
      </w:r>
      <w:proofErr w:type="spellStart"/>
      <w:r>
        <w:t>Moine</w:t>
      </w:r>
      <w:proofErr w:type="spellEnd"/>
      <w:r>
        <w:t>, N. (2008). Spa</w:t>
      </w:r>
      <w:r>
        <w:t xml:space="preserve">tial proximity, physical similarity, regression and </w:t>
      </w:r>
      <w:proofErr w:type="spellStart"/>
      <w:r>
        <w:t>ungaged</w:t>
      </w:r>
      <w:proofErr w:type="spellEnd"/>
      <w:r>
        <w:t xml:space="preserve"> catchments: A comparison of regionalization approaches based on 913 French catchments. </w:t>
      </w:r>
      <w:r>
        <w:rPr>
          <w:i/>
          <w:iCs/>
        </w:rPr>
        <w:t>Water Resources Research</w:t>
      </w:r>
      <w:r>
        <w:t>, 44(3).</w:t>
      </w:r>
    </w:p>
    <w:p w:rsidR="00B8543A" w:rsidRDefault="00A25390">
      <w:pPr>
        <w:spacing w:before="280" w:after="280" w:line="360" w:lineRule="auto"/>
      </w:pPr>
      <w:r>
        <w:t xml:space="preserve">Reichstein, M., Camps-Valls, G., Stevens, B., Jung, M., </w:t>
      </w:r>
      <w:proofErr w:type="spellStart"/>
      <w:r>
        <w:t>Denzler</w:t>
      </w:r>
      <w:proofErr w:type="spellEnd"/>
      <w:r>
        <w:t xml:space="preserve">, J., </w:t>
      </w:r>
      <w:proofErr w:type="spellStart"/>
      <w:r>
        <w:t>Carvalh</w:t>
      </w:r>
      <w:r>
        <w:t>ais</w:t>
      </w:r>
      <w:proofErr w:type="spellEnd"/>
      <w:r>
        <w:t xml:space="preserve">, N., &amp; Prabhat. (2019). Deep learning and process understanding for data-driven Earth system science. </w:t>
      </w:r>
      <w:r>
        <w:rPr>
          <w:i/>
          <w:iCs/>
        </w:rPr>
        <w:t>Nature</w:t>
      </w:r>
      <w:r>
        <w:t>, 566(7743), 195–204.</w:t>
      </w:r>
    </w:p>
    <w:p w:rsidR="00B8543A" w:rsidRDefault="00A25390">
      <w:pPr>
        <w:spacing w:before="280" w:after="280" w:line="360" w:lineRule="auto"/>
      </w:pPr>
      <w:r>
        <w:t xml:space="preserve">Simonovic, S. P. (2009). </w:t>
      </w:r>
      <w:r>
        <w:rPr>
          <w:i/>
          <w:iCs/>
        </w:rPr>
        <w:t>Managing Water Resources: Methods and Tools for a Systems Approach</w:t>
      </w:r>
      <w:r>
        <w:t>. Earthscan.</w:t>
      </w:r>
    </w:p>
    <w:p w:rsidR="00B8543A" w:rsidRDefault="00A25390">
      <w:pPr>
        <w:spacing w:before="280" w:after="280" w:line="360" w:lineRule="auto"/>
      </w:pPr>
      <w:proofErr w:type="spellStart"/>
      <w:r>
        <w:t>Souffront</w:t>
      </w:r>
      <w:proofErr w:type="spellEnd"/>
      <w:r>
        <w:t xml:space="preserve"> Alcantar</w:t>
      </w:r>
      <w:r>
        <w:t xml:space="preserve">a, M. A., Nelson, E. J., Shakya, K., Edwards, C., Roberts, W., </w:t>
      </w:r>
      <w:proofErr w:type="spellStart"/>
      <w:r>
        <w:t>Krewson</w:t>
      </w:r>
      <w:proofErr w:type="spellEnd"/>
      <w:r>
        <w:t>, C., ... &amp; Williams, G. (2019). Hydrologic modeling as a service (</w:t>
      </w:r>
      <w:proofErr w:type="spellStart"/>
      <w:r>
        <w:t>HMaaS</w:t>
      </w:r>
      <w:proofErr w:type="spellEnd"/>
      <w:r>
        <w:t xml:space="preserve">): a new approach to address </w:t>
      </w:r>
      <w:proofErr w:type="spellStart"/>
      <w:r>
        <w:t>hydroinformatic</w:t>
      </w:r>
      <w:proofErr w:type="spellEnd"/>
      <w:r>
        <w:t xml:space="preserve"> challenges in developing countries. </w:t>
      </w:r>
      <w:r>
        <w:rPr>
          <w:i/>
          <w:iCs/>
        </w:rPr>
        <w:t>Frontiers in Environmental Scienc</w:t>
      </w:r>
      <w:r>
        <w:rPr>
          <w:i/>
          <w:iCs/>
        </w:rPr>
        <w:t>e</w:t>
      </w:r>
      <w:r>
        <w:t>, 7, 158.</w:t>
      </w:r>
    </w:p>
    <w:p w:rsidR="00B8543A" w:rsidRDefault="00A25390">
      <w:pPr>
        <w:spacing w:before="280" w:after="280" w:line="360" w:lineRule="auto"/>
      </w:pPr>
      <w:r>
        <w:t xml:space="preserve">Sparks, A. H. (2018). </w:t>
      </w:r>
      <w:proofErr w:type="spellStart"/>
      <w:r>
        <w:t>nasapower</w:t>
      </w:r>
      <w:proofErr w:type="spellEnd"/>
      <w:r>
        <w:t xml:space="preserve">: A NASA POWER global meteorology, surface solar energy and climatology data client for R. </w:t>
      </w:r>
      <w:r>
        <w:rPr>
          <w:i/>
          <w:iCs/>
        </w:rPr>
        <w:t>The Journal of Open Source Software</w:t>
      </w:r>
      <w:r>
        <w:t>, 3(30), 1035.</w:t>
      </w:r>
    </w:p>
    <w:p w:rsidR="00B8543A" w:rsidRDefault="00A25390">
      <w:pPr>
        <w:spacing w:before="280" w:after="280" w:line="360" w:lineRule="auto"/>
      </w:pPr>
      <w:r>
        <w:t xml:space="preserve">World Bank. (2014). </w:t>
      </w:r>
      <w:r>
        <w:rPr>
          <w:i/>
          <w:iCs/>
        </w:rPr>
        <w:t>Project Appraisal Document on a Proposed Credit to th</w:t>
      </w:r>
      <w:r>
        <w:rPr>
          <w:i/>
          <w:iCs/>
        </w:rPr>
        <w:t>e Federal Republic of Nigeria for an Ibadan Urban Flood Management Project</w:t>
      </w:r>
      <w:r>
        <w:t>. Washington, DC: World Bank.</w:t>
      </w:r>
    </w:p>
    <w:p w:rsidR="00B8543A" w:rsidRDefault="00B8543A">
      <w:pPr>
        <w:spacing w:before="110" w:after="110" w:line="259" w:lineRule="auto"/>
        <w:rPr>
          <w:sz w:val="22"/>
          <w:szCs w:val="22"/>
        </w:rPr>
      </w:pPr>
    </w:p>
    <w:sectPr w:rsidR="00B8543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43A"/>
    <w:rsid w:val="00192A77"/>
    <w:rsid w:val="002128D2"/>
    <w:rsid w:val="0021644A"/>
    <w:rsid w:val="00A25390"/>
    <w:rsid w:val="00A8501A"/>
    <w:rsid w:val="00B854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4FF0"/>
  <w15:docId w15:val="{8A0EC577-9D73-46BD-8088-8F8AC2E7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table" w:styleId="TableGridLight">
    <w:name w:val="Grid Table Light"/>
    <w:basedOn w:val="TableNormal"/>
    <w:uiPriority w:val="40"/>
    <w:rsid w:val="002164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1644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1</Pages>
  <Words>3427</Words>
  <Characters>19536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Eleyele_Manuscript_Final</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Eleyele_Manuscript_Final</dc:title>
  <cp:lastModifiedBy>USER</cp:lastModifiedBy>
  <cp:revision>7</cp:revision>
  <dcterms:created xsi:type="dcterms:W3CDTF">2026-08-28T16:59:00Z</dcterms:created>
  <dcterms:modified xsi:type="dcterms:W3CDTF">2026-08-28T22:16:00Z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51d613b9-89e4-48ea-90bb-0a9caca8f204</vt:lpwstr>
  </property>
</Properties>
</file>