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B53" w14:textId="5D335B46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3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Ciclo de</w:t>
      </w:r>
      <w:r w:rsidR="00E73C6C" w:rsidRP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 Vida del Servicio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875EED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648C0542" w:rsidR="00E73C6C" w:rsidRPr="00731384" w:rsidRDefault="00E73C6C" w:rsidP="008912F5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8912F5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519CE015" w14:textId="77777777" w:rsidR="00E73C6C" w:rsidRPr="00731384" w:rsidRDefault="00E73C6C" w:rsidP="00B76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del alumno(s)</w:t>
            </w:r>
          </w:p>
          <w:p w14:paraId="0A4D5821" w14:textId="415685EA" w:rsidR="00E73C6C" w:rsidRPr="00731384" w:rsidRDefault="001F4299" w:rsidP="00B76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Inda, Beltrán, Olivares, Fuentes</w:t>
            </w:r>
          </w:p>
        </w:tc>
      </w:tr>
      <w:tr w:rsidR="00E73C6C" w:rsidRPr="00875EED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77777777" w:rsidR="00E73C6C" w:rsidRPr="00445451" w:rsidRDefault="00E73C6C" w:rsidP="00E73C6C">
            <w:pPr>
              <w:pStyle w:val="Prrafodelista"/>
              <w:numPr>
                <w:ilvl w:val="1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44545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Integra los procesos de servicios de TI según un ciclo de vida.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898EBAE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escrita ideas y conceptos para influenciar a otros en el ámbito del aprendizaje y de su profesión</w:t>
            </w:r>
          </w:p>
          <w:p w14:paraId="7D964873" w14:textId="77777777" w:rsidR="00E73C6C" w:rsidRPr="00731384" w:rsidRDefault="00E73C6C" w:rsidP="00B76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73EE1FC6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  <w:r w:rsidR="001F4299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 xml:space="preserve"> 371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1DB6F8A2" w:rsidR="00E73C6C" w:rsidRPr="00731384" w:rsidRDefault="001F4299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13/05/2019</w:t>
            </w: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33449190" w14:textId="20642902" w:rsidR="00E73C6C" w:rsidRPr="00E73C6C" w:rsidRDefault="00E73C6C" w:rsidP="00E73C6C">
      <w:pPr>
        <w:pStyle w:val="Estilo3"/>
        <w:rPr>
          <w:rFonts w:cs="Segoe UI"/>
          <w:color w:val="404040" w:themeColor="text1" w:themeTint="BF"/>
          <w:szCs w:val="20"/>
          <w:lang w:val="es-CL" w:eastAsia="es-CL"/>
        </w:rPr>
      </w:pPr>
      <w:r w:rsidRPr="00E73C6C">
        <w:rPr>
          <w:rFonts w:cs="Segoe UI"/>
          <w:color w:val="404040" w:themeColor="text1" w:themeTint="BF"/>
          <w:szCs w:val="20"/>
          <w:lang w:val="es-CL" w:eastAsia="es-CL"/>
        </w:rPr>
        <w:t>Describir los principios y métodos universales de la Gestión de Servicios que recoge ITIL en su Ciclo de Vida del Servicio.</w:t>
      </w:r>
    </w:p>
    <w:p w14:paraId="50A7BB76" w14:textId="3D85F52A" w:rsidR="005C6E73" w:rsidRPr="00731384" w:rsidRDefault="00E73C6C" w:rsidP="00E73C6C">
      <w:pPr>
        <w:pStyle w:val="Estilo3"/>
        <w:rPr>
          <w:rFonts w:cs="Arial"/>
          <w:i/>
          <w:color w:val="262626" w:themeColor="text1" w:themeTint="D9"/>
          <w:lang w:val="es-CL"/>
        </w:rPr>
      </w:pPr>
      <w:r w:rsidRPr="00E73C6C">
        <w:rPr>
          <w:rFonts w:cs="Segoe UI"/>
          <w:color w:val="404040" w:themeColor="text1" w:themeTint="BF"/>
          <w:szCs w:val="20"/>
          <w:lang w:val="es-CL" w:eastAsia="es-CL"/>
        </w:rPr>
        <w:t>Reconocer las 5 fases del Ciclo de Vida del Servicio, sus objetivos e interconexiones</w:t>
      </w:r>
    </w:p>
    <w:p w14:paraId="50A7BBA6" w14:textId="129173F4" w:rsidR="003F1564" w:rsidRPr="008E17B3" w:rsidRDefault="003F1564" w:rsidP="008E17B3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5F1256E1" w14:textId="5E01CFD2" w:rsidR="002A3DE3" w:rsidRPr="002A3DE3" w:rsidRDefault="002A3DE3" w:rsidP="002A3DE3">
      <w:pPr>
        <w:pStyle w:val="Prrafodelista"/>
        <w:spacing w:line="288" w:lineRule="auto"/>
        <w:jc w:val="both"/>
        <w:rPr>
          <w:rFonts w:asciiTheme="minorHAnsi" w:hAnsiTheme="minorHAnsi" w:cs="Arial"/>
          <w:color w:val="262626" w:themeColor="text1" w:themeTint="D9"/>
          <w:sz w:val="22"/>
          <w:lang w:val="es-CL"/>
        </w:rPr>
      </w:pPr>
    </w:p>
    <w:p w14:paraId="603C8CCF" w14:textId="7271A306" w:rsidR="002A3DE3" w:rsidRDefault="002A3DE3" w:rsidP="002A3DE3">
      <w:pPr>
        <w:pStyle w:val="Estilo3"/>
        <w:ind w:left="720"/>
        <w:rPr>
          <w:lang w:val="es-CL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6C" w:rsidRPr="008912F5">
        <w:rPr>
          <w:lang w:val="es-ES"/>
        </w:rPr>
        <w:t xml:space="preserve"> </w:t>
      </w:r>
      <w:r w:rsidR="00E73C6C" w:rsidRPr="00E73C6C">
        <w:rPr>
          <w:noProof/>
          <w:lang w:val="es-CL" w:eastAsia="es-CL" w:bidi="ar-SA"/>
        </w:rPr>
        <w:t>La Gestión de Servicios es una práctica basada en principios y métodos universales que ITIL recoge para estructurar un Ciclo de Vida del Servicio organizado en 5 Fases. Cada Fase incluye ciertos procesos que se interconectan para lograr una provisión de servicios de valor para el negocio.</w:t>
      </w:r>
    </w:p>
    <w:p w14:paraId="48F1C2E5" w14:textId="282FCF5D" w:rsidR="002A3DE3" w:rsidRPr="00E73C6C" w:rsidRDefault="00E73C6C" w:rsidP="002A3DE3">
      <w:pPr>
        <w:jc w:val="both"/>
        <w:rPr>
          <w:rFonts w:asciiTheme="minorHAnsi" w:hAnsiTheme="minorHAnsi" w:cs="Arial"/>
          <w:color w:val="262626" w:themeColor="text1" w:themeTint="D9"/>
          <w:szCs w:val="28"/>
          <w:lang w:val="es-ES"/>
        </w:rPr>
      </w:pPr>
      <w:r w:rsidRPr="00E73C6C">
        <w:rPr>
          <w:rFonts w:asciiTheme="minorHAnsi" w:hAnsiTheme="minorHAnsi" w:cs="Arial"/>
          <w:color w:val="262626" w:themeColor="text1" w:themeTint="D9"/>
          <w:szCs w:val="28"/>
          <w:lang w:val="es-ES"/>
        </w:rPr>
        <w:t>Leer el punto “2. La Gestión de Servicios como una práctica” del Texto de Estrategia del Servicio.</w:t>
      </w:r>
    </w:p>
    <w:p w14:paraId="4FD26DC9" w14:textId="4D32F26F" w:rsidR="002A3DE3" w:rsidRDefault="002A3DE3" w:rsidP="00E73C6C">
      <w:pPr>
        <w:pStyle w:val="Estilo3"/>
        <w:rPr>
          <w:lang w:val="es-CL"/>
        </w:rPr>
      </w:pPr>
      <w:r w:rsidRPr="002A3DE3">
        <w:rPr>
          <w:b/>
          <w:lang w:val="es-CL"/>
        </w:rPr>
        <w:t>Conceptos clave:</w:t>
      </w:r>
      <w:r w:rsidRPr="002A3DE3">
        <w:rPr>
          <w:lang w:val="es-CL"/>
        </w:rPr>
        <w:t xml:space="preserve"> </w:t>
      </w:r>
    </w:p>
    <w:p w14:paraId="42B5A21D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Servicio</w:t>
      </w:r>
      <w:proofErr w:type="spellEnd"/>
    </w:p>
    <w:p w14:paraId="4D19033C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Costo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Total de </w:t>
      </w:r>
      <w:proofErr w:type="spellStart"/>
      <w:r w:rsidRPr="00CE3983">
        <w:rPr>
          <w:rFonts w:asciiTheme="minorHAnsi" w:hAnsiTheme="minorHAnsi"/>
          <w:sz w:val="22"/>
          <w:szCs w:val="22"/>
        </w:rPr>
        <w:t>Propiedad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[</w:t>
      </w:r>
      <w:r w:rsidRPr="00CE3983">
        <w:rPr>
          <w:rFonts w:asciiTheme="minorHAnsi" w:hAnsiTheme="minorHAnsi"/>
          <w:i/>
          <w:sz w:val="22"/>
          <w:szCs w:val="22"/>
        </w:rPr>
        <w:t>Total Cost of Ownership (TCO</w:t>
      </w:r>
      <w:r w:rsidRPr="00CE3983">
        <w:rPr>
          <w:rFonts w:asciiTheme="minorHAnsi" w:hAnsiTheme="minorHAnsi"/>
          <w:sz w:val="22"/>
          <w:szCs w:val="22"/>
        </w:rPr>
        <w:t>)]</w:t>
      </w:r>
    </w:p>
    <w:p w14:paraId="539DE053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Servicio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IT [</w:t>
      </w:r>
      <w:r w:rsidRPr="00CE3983">
        <w:rPr>
          <w:rFonts w:asciiTheme="minorHAnsi" w:hAnsiTheme="minorHAnsi"/>
          <w:i/>
          <w:sz w:val="22"/>
          <w:szCs w:val="22"/>
        </w:rPr>
        <w:t>IT Service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6AB3AD96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Acuerdo de Nivel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Level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Agreement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(SLA)</w:t>
      </w:r>
      <w:r w:rsidRPr="008912F5">
        <w:rPr>
          <w:rFonts w:asciiTheme="minorHAnsi" w:hAnsiTheme="minorHAnsi"/>
          <w:sz w:val="22"/>
          <w:szCs w:val="22"/>
          <w:lang w:val="es-ES"/>
        </w:rPr>
        <w:t>].</w:t>
      </w:r>
    </w:p>
    <w:p w14:paraId="0A1740BE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Servicios de Soporte v/s Servicios de cara al Cliente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supporting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services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v/s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customer-facing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services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391B660E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Gestión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management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6B27074B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Proveedor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Provider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534FAAC7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Gestión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CE3983">
        <w:rPr>
          <w:rFonts w:asciiTheme="minorHAnsi" w:hAnsiTheme="minorHAnsi"/>
          <w:sz w:val="22"/>
          <w:szCs w:val="22"/>
        </w:rPr>
        <w:t>Servicios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TI [</w:t>
      </w:r>
      <w:r w:rsidRPr="00CE3983">
        <w:rPr>
          <w:rFonts w:asciiTheme="minorHAnsi" w:hAnsiTheme="minorHAnsi"/>
          <w:i/>
          <w:sz w:val="22"/>
          <w:szCs w:val="22"/>
        </w:rPr>
        <w:t>IT service management (ITSM)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325768BD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lastRenderedPageBreak/>
        <w:t>Contrato</w:t>
      </w:r>
      <w:proofErr w:type="spellEnd"/>
    </w:p>
    <w:p w14:paraId="5E59E955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Interesados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[</w:t>
      </w:r>
      <w:r w:rsidRPr="00CE3983">
        <w:rPr>
          <w:rFonts w:asciiTheme="minorHAnsi" w:hAnsiTheme="minorHAnsi"/>
          <w:i/>
          <w:sz w:val="22"/>
          <w:szCs w:val="22"/>
        </w:rPr>
        <w:t>Stakeholders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3A595771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Utilidad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CE3983">
        <w:rPr>
          <w:rFonts w:asciiTheme="minorHAnsi" w:hAnsiTheme="minorHAnsi"/>
          <w:sz w:val="22"/>
          <w:szCs w:val="22"/>
        </w:rPr>
        <w:t>Garantía</w:t>
      </w:r>
      <w:proofErr w:type="spellEnd"/>
    </w:p>
    <w:p w14:paraId="107C63A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Activos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E3983">
        <w:rPr>
          <w:rFonts w:asciiTheme="minorHAnsi" w:hAnsiTheme="minorHAnsi"/>
          <w:sz w:val="22"/>
          <w:szCs w:val="22"/>
        </w:rPr>
        <w:t>Recursos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CE3983">
        <w:rPr>
          <w:rFonts w:asciiTheme="minorHAnsi" w:hAnsiTheme="minorHAnsi"/>
          <w:sz w:val="22"/>
          <w:szCs w:val="22"/>
        </w:rPr>
        <w:t>Capacidad</w:t>
      </w:r>
      <w:proofErr w:type="spellEnd"/>
    </w:p>
    <w:p w14:paraId="0F0853E4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Proceso</w:t>
      </w:r>
      <w:proofErr w:type="spellEnd"/>
    </w:p>
    <w:p w14:paraId="4D871138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Funciones</w:t>
      </w:r>
      <w:proofErr w:type="spellEnd"/>
    </w:p>
    <w:p w14:paraId="51AC5E72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r w:rsidRPr="00CE3983">
        <w:rPr>
          <w:rFonts w:asciiTheme="minorHAnsi" w:hAnsiTheme="minorHAnsi"/>
          <w:sz w:val="22"/>
          <w:szCs w:val="22"/>
        </w:rPr>
        <w:t>Roles</w:t>
      </w:r>
    </w:p>
    <w:p w14:paraId="5CB011B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Portafolio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CE3983">
        <w:rPr>
          <w:rFonts w:asciiTheme="minorHAnsi" w:hAnsiTheme="minorHAnsi"/>
          <w:sz w:val="22"/>
          <w:szCs w:val="22"/>
        </w:rPr>
        <w:t>Servicios</w:t>
      </w:r>
      <w:proofErr w:type="spellEnd"/>
    </w:p>
    <w:p w14:paraId="69A5165C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Sistema de Gestión del Conocimiento del Servicio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Knowledge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Management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System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(SKMS)</w:t>
      </w:r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7D57C90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Ciclo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Deming [</w:t>
      </w:r>
      <w:r w:rsidRPr="00CE3983">
        <w:rPr>
          <w:rFonts w:asciiTheme="minorHAnsi" w:hAnsiTheme="minorHAnsi"/>
          <w:i/>
          <w:sz w:val="22"/>
          <w:szCs w:val="22"/>
        </w:rPr>
        <w:t>Plan-Do-Check-Act cycle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74A6EBEC" w14:textId="77777777" w:rsidR="00E73C6C" w:rsidRPr="008912F5" w:rsidRDefault="00E73C6C" w:rsidP="00E73C6C">
      <w:pPr>
        <w:pStyle w:val="Estilo3"/>
        <w:rPr>
          <w:color w:val="404040" w:themeColor="text1" w:themeTint="BF"/>
        </w:rPr>
      </w:pPr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t>Preguntas a responder:</w:t>
      </w:r>
    </w:p>
    <w:p w14:paraId="4E4E2117" w14:textId="2F5C31F5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3 tipos de proveedor de Servicios?</w:t>
      </w:r>
    </w:p>
    <w:p w14:paraId="7EF55692" w14:textId="653B5DA3" w:rsidR="001F4299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1 – Proveedor de servicios internos: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interno que está integrado dentro de una unidad de negocio. Puede haber varios proveedores de servicios Tipo 1 dentro de una organización.</w:t>
      </w:r>
    </w:p>
    <w:p w14:paraId="6B34A7A0" w14:textId="44CBCD22" w:rsidR="001F4299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2 – Unidad de Servicios Compartidos: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interno que proporciona servicios de TI compartidos a más de una unidad de negocios</w:t>
      </w:r>
    </w:p>
    <w:p w14:paraId="76A7F153" w14:textId="123DEA7E" w:rsidR="001F4299" w:rsidRPr="008912F5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3 – Proveedor de servicios externos: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que proporciona servicios de TI a clientes externos.</w:t>
      </w:r>
    </w:p>
    <w:p w14:paraId="2658412E" w14:textId="419222CD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las 5 Fases del Ciclo de Vida del Servicio y Cuál es el propósito de cada una?</w:t>
      </w:r>
    </w:p>
    <w:p w14:paraId="410DDDE0" w14:textId="77777777" w:rsidR="00875EE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75EED">
        <w:rPr>
          <w:rFonts w:asciiTheme="minorHAnsi" w:hAnsiTheme="minorHAnsi"/>
          <w:b/>
          <w:sz w:val="22"/>
          <w:lang w:val="es-ES"/>
        </w:rPr>
        <w:t>Gestión del Servicio</w:t>
      </w:r>
      <w:r w:rsidR="00875EED" w:rsidRPr="00875EED">
        <w:rPr>
          <w:rFonts w:asciiTheme="minorHAnsi" w:hAnsiTheme="minorHAnsi"/>
          <w:b/>
          <w:sz w:val="22"/>
          <w:lang w:val="es-ES"/>
        </w:rPr>
        <w:t>:</w:t>
      </w:r>
      <w:r w:rsidR="00875EED">
        <w:rPr>
          <w:rFonts w:asciiTheme="minorHAnsi" w:hAnsiTheme="minorHAnsi"/>
          <w:sz w:val="22"/>
          <w:lang w:val="es-ES"/>
        </w:rPr>
        <w:t xml:space="preserve"> </w:t>
      </w:r>
    </w:p>
    <w:p w14:paraId="59B9577E" w14:textId="77777777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estrategias de servicios TI</w:t>
      </w:r>
    </w:p>
    <w:p w14:paraId="6BF1C73F" w14:textId="77777777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portafolio de servicios</w:t>
      </w:r>
    </w:p>
    <w:p w14:paraId="3F7AC56A" w14:textId="4F0A7D15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financiamiento de servicios TI</w:t>
      </w:r>
    </w:p>
    <w:p w14:paraId="53D83DD1" w14:textId="77777777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Gestión de demandas </w:t>
      </w:r>
    </w:p>
    <w:p w14:paraId="1E4DF767" w14:textId="06BB7FBB" w:rsidR="005479B1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relaciones de negocio</w:t>
      </w:r>
    </w:p>
    <w:p w14:paraId="79355263" w14:textId="77777777" w:rsidR="00875EED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Diseño del Servicio</w:t>
      </w:r>
      <w:r w:rsidR="00875EED" w:rsidRPr="0021628D">
        <w:rPr>
          <w:rFonts w:asciiTheme="minorHAnsi" w:hAnsiTheme="minorHAnsi"/>
          <w:b/>
          <w:sz w:val="22"/>
          <w:lang w:val="es-ES"/>
        </w:rPr>
        <w:t xml:space="preserve">: </w:t>
      </w:r>
    </w:p>
    <w:p w14:paraId="6B506DAE" w14:textId="77777777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Coordinación de diseños</w:t>
      </w:r>
    </w:p>
    <w:p w14:paraId="138D4E07" w14:textId="77777777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catálogos de servicios</w:t>
      </w:r>
    </w:p>
    <w:p w14:paraId="607D350C" w14:textId="13139149" w:rsidR="005479B1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niveles de servicios</w:t>
      </w:r>
    </w:p>
    <w:p w14:paraId="70B9569D" w14:textId="3F58BBDF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disponibilidad</w:t>
      </w:r>
    </w:p>
    <w:p w14:paraId="4A2C33ED" w14:textId="3C586B71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capacidad</w:t>
      </w:r>
    </w:p>
    <w:p w14:paraId="271EAAF7" w14:textId="207D082B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Gestión de </w:t>
      </w:r>
      <w:r w:rsidR="0021628D">
        <w:rPr>
          <w:rFonts w:asciiTheme="minorHAnsi" w:hAnsiTheme="minorHAnsi"/>
          <w:sz w:val="22"/>
          <w:lang w:val="es-ES"/>
        </w:rPr>
        <w:t>la continuidad de los servicios TI</w:t>
      </w:r>
    </w:p>
    <w:p w14:paraId="77AF1B2E" w14:textId="5C43FC27" w:rsidR="0021628D" w:rsidRDefault="0021628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la seguridad de la información</w:t>
      </w:r>
    </w:p>
    <w:p w14:paraId="372D3FCE" w14:textId="7E95202F" w:rsidR="0021628D" w:rsidRDefault="0021628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recursos</w:t>
      </w:r>
    </w:p>
    <w:p w14:paraId="20C51B25" w14:textId="3A00AC2D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Transición del Servicio</w:t>
      </w:r>
    </w:p>
    <w:p w14:paraId="46DA12FD" w14:textId="39886DE5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Planeación transitiva y soporte</w:t>
      </w:r>
    </w:p>
    <w:p w14:paraId="41ECAC47" w14:textId="70AF5257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cambios</w:t>
      </w:r>
    </w:p>
    <w:p w14:paraId="10F6C5CD" w14:textId="5DF531F9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activos y su configuración</w:t>
      </w:r>
    </w:p>
    <w:p w14:paraId="228B01CA" w14:textId="745D2360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lastRenderedPageBreak/>
        <w:t>Gestión de lanzamiento y desarrollo</w:t>
      </w:r>
    </w:p>
    <w:p w14:paraId="34230420" w14:textId="55B6BAEE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Servicio de validación y testeo</w:t>
      </w:r>
    </w:p>
    <w:p w14:paraId="5E2E2D87" w14:textId="11DB4D13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Evaluación de los cambios</w:t>
      </w:r>
    </w:p>
    <w:p w14:paraId="7C2FD936" w14:textId="60191131" w:rsidR="0021628D" w:rsidRP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del conocimiento</w:t>
      </w:r>
    </w:p>
    <w:p w14:paraId="09E6D1E4" w14:textId="3CB55BF1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Operaciones del Servicio</w:t>
      </w:r>
    </w:p>
    <w:p w14:paraId="14950FE9" w14:textId="7809CDFC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eventos</w:t>
      </w:r>
    </w:p>
    <w:p w14:paraId="2B302FA3" w14:textId="5416EBE5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incidentes</w:t>
      </w:r>
    </w:p>
    <w:p w14:paraId="0E649905" w14:textId="7374AAC7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Solicitud de cumplimiento</w:t>
      </w:r>
    </w:p>
    <w:p w14:paraId="5DC892FF" w14:textId="620CF22D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problemas</w:t>
      </w:r>
    </w:p>
    <w:p w14:paraId="25B392F9" w14:textId="35C8DAAE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acceso</w:t>
      </w:r>
    </w:p>
    <w:p w14:paraId="5D391AA2" w14:textId="757A0C2A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Mejorar Servicio Continuo</w:t>
      </w:r>
    </w:p>
    <w:p w14:paraId="6631A7FC" w14:textId="7B235920" w:rsidR="0021628D" w:rsidRPr="008912F5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Proceso de mejora en siete pasos</w:t>
      </w:r>
    </w:p>
    <w:p w14:paraId="22C942AD" w14:textId="3BEF1D96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4 procesos que a</w:t>
      </w:r>
      <w:r w:rsidR="00CE3983" w:rsidRPr="00875EED">
        <w:rPr>
          <w:rFonts w:asciiTheme="minorHAnsi" w:hAnsiTheme="minorHAnsi"/>
          <w:sz w:val="22"/>
          <w:u w:val="single"/>
          <w:lang w:val="es-ES"/>
        </w:rPr>
        <w:t xml:space="preserve">seguran Garantía del Servicio? </w:t>
      </w:r>
      <w:r w:rsidRPr="00875EED">
        <w:rPr>
          <w:rFonts w:asciiTheme="minorHAnsi" w:hAnsiTheme="minorHAnsi"/>
          <w:sz w:val="22"/>
          <w:u w:val="single"/>
          <w:lang w:val="es-ES"/>
        </w:rPr>
        <w:t>¿En qué fase del ciclo de vida se encuentran?</w:t>
      </w:r>
    </w:p>
    <w:p w14:paraId="34D745EE" w14:textId="5B63E308" w:rsidR="00BF7986" w:rsidRPr="00BF7986" w:rsidRDefault="00BF7986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BF7986">
        <w:rPr>
          <w:rFonts w:asciiTheme="minorHAnsi" w:hAnsiTheme="minorHAnsi"/>
          <w:b/>
          <w:sz w:val="22"/>
          <w:lang w:val="es-ES"/>
        </w:rPr>
        <w:t>Principales Procesos</w:t>
      </w:r>
    </w:p>
    <w:p w14:paraId="5F4EE38C" w14:textId="597D3E98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Disponibilidad</w:t>
      </w:r>
    </w:p>
    <w:p w14:paraId="7A30F85B" w14:textId="1B3FA6BD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Capacidad</w:t>
      </w:r>
    </w:p>
    <w:p w14:paraId="73EC5CF9" w14:textId="638E37A0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Continuidad</w:t>
      </w:r>
    </w:p>
    <w:p w14:paraId="61F8EA50" w14:textId="12DA6025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Seguridad</w:t>
      </w:r>
    </w:p>
    <w:p w14:paraId="5EA73552" w14:textId="43827B37" w:rsidR="00BF7986" w:rsidRPr="00BF7986" w:rsidRDefault="00BF7986" w:rsidP="00BF7986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BF7986">
        <w:rPr>
          <w:rFonts w:asciiTheme="minorHAnsi" w:hAnsiTheme="minorHAnsi"/>
          <w:b/>
          <w:sz w:val="22"/>
          <w:lang w:val="es-ES"/>
        </w:rPr>
        <w:t>Ciclo de Vida</w:t>
      </w:r>
    </w:p>
    <w:p w14:paraId="7FBDC4DE" w14:textId="5005AED3" w:rsidR="00BF7986" w:rsidRPr="008912F5" w:rsidRDefault="00BF7986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Todo esto se efectúa en la fase de gestión de servicios del ciclo de vida del servicio</w:t>
      </w:r>
      <w:bookmarkStart w:id="0" w:name="_GoBack"/>
      <w:bookmarkEnd w:id="0"/>
    </w:p>
    <w:p w14:paraId="1E0FACD5" w14:textId="10028A64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3 componentes de un Portafolio de Servicios?</w:t>
      </w:r>
    </w:p>
    <w:p w14:paraId="4C83D301" w14:textId="379F4F45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3245A">
        <w:rPr>
          <w:rFonts w:asciiTheme="minorHAnsi" w:hAnsiTheme="minorHAnsi"/>
          <w:b/>
          <w:sz w:val="22"/>
          <w:lang w:val="es-ES"/>
        </w:rPr>
        <w:t>Servicios de Fuentes de información:</w:t>
      </w:r>
      <w:r>
        <w:rPr>
          <w:rFonts w:asciiTheme="minorHAnsi" w:hAnsiTheme="minorHAnsi"/>
          <w:sz w:val="22"/>
          <w:lang w:val="es-ES"/>
        </w:rPr>
        <w:t xml:space="preserve"> Todos los servicios que están bajo consideración o desarrollo, pero que no está disponible para el consumidor.</w:t>
      </w:r>
    </w:p>
    <w:p w14:paraId="0323DD3C" w14:textId="4AF76286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4F06D9">
        <w:rPr>
          <w:rFonts w:asciiTheme="minorHAnsi" w:hAnsiTheme="minorHAnsi"/>
          <w:b/>
          <w:sz w:val="22"/>
          <w:lang w:val="es-ES"/>
        </w:rPr>
        <w:t>Catálogo de Servicios:</w:t>
      </w:r>
      <w:r>
        <w:rPr>
          <w:rFonts w:asciiTheme="minorHAnsi" w:hAnsiTheme="minorHAnsi"/>
          <w:sz w:val="22"/>
          <w:lang w:val="es-ES"/>
        </w:rPr>
        <w:t xml:space="preserve"> </w:t>
      </w:r>
      <w:r w:rsidR="004F06D9">
        <w:rPr>
          <w:rFonts w:asciiTheme="minorHAnsi" w:hAnsiTheme="minorHAnsi"/>
          <w:sz w:val="22"/>
          <w:lang w:val="es-ES"/>
        </w:rPr>
        <w:t>Todos los servicios TI disponibles incluyendo aquellos que están en desarrollo. Es el único documento que está para los consumidores usado para dar soportes a las ventas y entrega de servicios TI.</w:t>
      </w:r>
    </w:p>
    <w:p w14:paraId="644F68B1" w14:textId="33682F46" w:rsidR="00C3245A" w:rsidRPr="008912F5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4F06D9">
        <w:rPr>
          <w:rFonts w:asciiTheme="minorHAnsi" w:hAnsiTheme="minorHAnsi"/>
          <w:b/>
          <w:sz w:val="22"/>
          <w:lang w:val="es-ES"/>
        </w:rPr>
        <w:t>Servicios Retirados:</w:t>
      </w:r>
      <w:r>
        <w:rPr>
          <w:rFonts w:asciiTheme="minorHAnsi" w:hAnsiTheme="minorHAnsi"/>
          <w:sz w:val="22"/>
          <w:lang w:val="es-ES"/>
        </w:rPr>
        <w:t xml:space="preserve"> Todos los servicios que fueron eliminados o retirados. No son disponibles </w:t>
      </w:r>
      <w:r w:rsidR="004F06D9">
        <w:rPr>
          <w:rFonts w:asciiTheme="minorHAnsi" w:hAnsiTheme="minorHAnsi"/>
          <w:sz w:val="22"/>
          <w:lang w:val="es-ES"/>
        </w:rPr>
        <w:t xml:space="preserve">o contratados </w:t>
      </w:r>
      <w:r>
        <w:rPr>
          <w:rFonts w:asciiTheme="minorHAnsi" w:hAnsiTheme="minorHAnsi"/>
          <w:sz w:val="22"/>
          <w:lang w:val="es-ES"/>
        </w:rPr>
        <w:t xml:space="preserve">para los nuevos consumidores </w:t>
      </w:r>
      <w:r w:rsidR="004F06D9">
        <w:rPr>
          <w:rFonts w:asciiTheme="minorHAnsi" w:hAnsiTheme="minorHAnsi"/>
          <w:sz w:val="22"/>
          <w:lang w:val="es-ES"/>
        </w:rPr>
        <w:t>a menos que un caso especial de negocio es realizado.</w:t>
      </w:r>
    </w:p>
    <w:p w14:paraId="5A6633E1" w14:textId="77777777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 xml:space="preserve">¿Qué funciones forman parte de la Fase de Operación del Servicio? </w:t>
      </w:r>
    </w:p>
    <w:p w14:paraId="1DE12A0A" w14:textId="647F1D6C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las características de los procesos?</w:t>
      </w:r>
    </w:p>
    <w:p w14:paraId="7B98AD1F" w14:textId="56D25A62" w:rsidR="00BF32A7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Medibles:</w:t>
      </w:r>
      <w:r>
        <w:rPr>
          <w:rFonts w:asciiTheme="minorHAnsi" w:hAnsiTheme="minorHAnsi"/>
          <w:sz w:val="22"/>
          <w:lang w:val="es-ES"/>
        </w:rPr>
        <w:t xml:space="preserve"> C</w:t>
      </w:r>
      <w:proofErr w:type="spellStart"/>
      <w:r w:rsidRPr="00CD71FF">
        <w:rPr>
          <w:rFonts w:asciiTheme="minorHAnsi" w:hAnsiTheme="minorHAnsi"/>
          <w:sz w:val="22"/>
          <w:lang w:val="es-CL"/>
        </w:rPr>
        <w:t>apa</w:t>
      </w:r>
      <w:r>
        <w:rPr>
          <w:rFonts w:asciiTheme="minorHAnsi" w:hAnsiTheme="minorHAnsi"/>
          <w:sz w:val="22"/>
          <w:lang w:val="es-CL"/>
        </w:rPr>
        <w:t>cidad</w:t>
      </w:r>
      <w:proofErr w:type="spellEnd"/>
      <w:r w:rsidRPr="00CD71FF">
        <w:rPr>
          <w:rFonts w:asciiTheme="minorHAnsi" w:hAnsiTheme="minorHAnsi"/>
          <w:sz w:val="22"/>
          <w:lang w:val="es-CL"/>
        </w:rPr>
        <w:t xml:space="preserve"> de medir el proceso de una manera relevante. </w:t>
      </w:r>
      <w:r w:rsidRPr="00875EED">
        <w:rPr>
          <w:rFonts w:asciiTheme="minorHAnsi" w:hAnsiTheme="minorHAnsi"/>
          <w:sz w:val="22"/>
          <w:lang w:val="es-CL"/>
        </w:rPr>
        <w:t>Se lleva a cabo en vivo. Los gerentes desean medir el costo, la calidad y otros factores variables, mientras que los profesionales se preocupan por la duración y la productividad.</w:t>
      </w:r>
    </w:p>
    <w:p w14:paraId="2291B080" w14:textId="5C747439" w:rsidR="00CD71FF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Resultados Específicos:</w:t>
      </w:r>
      <w:r>
        <w:rPr>
          <w:rFonts w:asciiTheme="minorHAnsi" w:hAnsiTheme="minorHAnsi"/>
          <w:sz w:val="22"/>
          <w:lang w:val="es-ES"/>
        </w:rPr>
        <w:t xml:space="preserve"> La razón de un resultado exitoso es entregar resultados específicos. Debe ser identificable individualmente y contable</w:t>
      </w:r>
    </w:p>
    <w:p w14:paraId="70C05956" w14:textId="6497ACE2" w:rsidR="00CD71FF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Clientes/Consumidores:</w:t>
      </w:r>
      <w:r>
        <w:rPr>
          <w:rFonts w:asciiTheme="minorHAnsi" w:hAnsiTheme="minorHAnsi"/>
          <w:sz w:val="22"/>
          <w:lang w:val="es-ES"/>
        </w:rPr>
        <w:t xml:space="preserve"> Cada proceso entrega un resultado primario a los clientes o interesados. Los clientes deben ser internos o externos de la organización, pero el proceso debe reunir sus expectativas.</w:t>
      </w:r>
    </w:p>
    <w:p w14:paraId="1C7B1B25" w14:textId="5400804A" w:rsidR="00C51A53" w:rsidRPr="00C51A53" w:rsidRDefault="00CD71FF" w:rsidP="00C51A53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51A53">
        <w:rPr>
          <w:rFonts w:asciiTheme="minorHAnsi" w:hAnsiTheme="minorHAnsi"/>
          <w:b/>
          <w:sz w:val="22"/>
          <w:lang w:val="es-ES"/>
        </w:rPr>
        <w:t>Sensibilidad a “</w:t>
      </w:r>
      <w:proofErr w:type="spellStart"/>
      <w:r w:rsidRPr="00C51A53">
        <w:rPr>
          <w:rFonts w:asciiTheme="minorHAnsi" w:hAnsiTheme="minorHAnsi"/>
          <w:b/>
          <w:sz w:val="22"/>
          <w:lang w:val="es-ES"/>
        </w:rPr>
        <w:t>Triggers</w:t>
      </w:r>
      <w:proofErr w:type="spellEnd"/>
      <w:r w:rsidRPr="00C51A53">
        <w:rPr>
          <w:rFonts w:asciiTheme="minorHAnsi" w:hAnsiTheme="minorHAnsi"/>
          <w:b/>
          <w:sz w:val="22"/>
          <w:lang w:val="es-ES"/>
        </w:rPr>
        <w:t>” Específicos:</w:t>
      </w:r>
      <w:r w:rsidRPr="00CD71FF">
        <w:rPr>
          <w:rFonts w:asciiTheme="minorHAnsi" w:hAnsiTheme="minorHAnsi"/>
          <w:sz w:val="22"/>
          <w:lang w:val="es-ES"/>
        </w:rPr>
        <w:t xml:space="preserve"> </w:t>
      </w:r>
      <w:r w:rsidRPr="00C51A53">
        <w:rPr>
          <w:rFonts w:asciiTheme="minorHAnsi" w:hAnsiTheme="minorHAnsi"/>
          <w:sz w:val="22"/>
          <w:lang w:val="es-CL"/>
        </w:rPr>
        <w:t xml:space="preserve">Si bien un proceso puede ser continuo o iterativo, debe ser rastreable a un </w:t>
      </w:r>
      <w:r w:rsidR="00C51A53">
        <w:rPr>
          <w:rFonts w:asciiTheme="minorHAnsi" w:hAnsiTheme="minorHAnsi"/>
          <w:sz w:val="22"/>
          <w:lang w:val="es-CL"/>
        </w:rPr>
        <w:t>“</w:t>
      </w:r>
      <w:proofErr w:type="spellStart"/>
      <w:r w:rsidR="00C51A53">
        <w:rPr>
          <w:rFonts w:asciiTheme="minorHAnsi" w:hAnsiTheme="minorHAnsi"/>
          <w:sz w:val="22"/>
          <w:lang w:val="es-CL"/>
        </w:rPr>
        <w:t>trigger</w:t>
      </w:r>
      <w:proofErr w:type="spellEnd"/>
      <w:r w:rsidR="00C51A53">
        <w:rPr>
          <w:rFonts w:asciiTheme="minorHAnsi" w:hAnsiTheme="minorHAnsi"/>
          <w:sz w:val="22"/>
          <w:lang w:val="es-CL"/>
        </w:rPr>
        <w:t>”</w:t>
      </w:r>
      <w:r w:rsidRPr="00C51A53">
        <w:rPr>
          <w:rFonts w:asciiTheme="minorHAnsi" w:hAnsiTheme="minorHAnsi"/>
          <w:sz w:val="22"/>
          <w:lang w:val="es-CL"/>
        </w:rPr>
        <w:t xml:space="preserve"> específic</w:t>
      </w:r>
      <w:r w:rsidR="00C51A53">
        <w:rPr>
          <w:rFonts w:asciiTheme="minorHAnsi" w:hAnsiTheme="minorHAnsi"/>
          <w:sz w:val="22"/>
          <w:lang w:val="es-CL"/>
        </w:rPr>
        <w:t>o.</w:t>
      </w:r>
    </w:p>
    <w:p w14:paraId="6216794E" w14:textId="47D6F4D3" w:rsidR="00E73C6C" w:rsidRPr="00875EED" w:rsidRDefault="00E73C6C" w:rsidP="00AE1425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lastRenderedPageBreak/>
        <w:t>Cite 3 ejemplos de Stakeholders en Gestión de Servicios</w:t>
      </w:r>
    </w:p>
    <w:p w14:paraId="675A482A" w14:textId="77777777" w:rsidR="00E73C6C" w:rsidRDefault="00E73C6C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0A8C7EBD" w14:textId="77777777" w:rsidR="00A7784F" w:rsidRDefault="00A7784F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56F5AB1B" w14:textId="1B656ED0" w:rsidR="00A7784F" w:rsidRPr="001F4299" w:rsidRDefault="00A7784F" w:rsidP="00A7784F">
      <w:pPr>
        <w:pStyle w:val="Estilo3"/>
        <w:rPr>
          <w:b/>
        </w:rPr>
      </w:pPr>
      <w:proofErr w:type="spellStart"/>
      <w:r w:rsidRPr="001F4299">
        <w:rPr>
          <w:b/>
        </w:rPr>
        <w:t>Referencias</w:t>
      </w:r>
      <w:proofErr w:type="spellEnd"/>
      <w:r w:rsidRPr="001F4299">
        <w:rPr>
          <w:b/>
        </w:rPr>
        <w:t xml:space="preserve"> </w:t>
      </w:r>
      <w:proofErr w:type="spellStart"/>
      <w:r w:rsidRPr="001F4299">
        <w:rPr>
          <w:b/>
        </w:rPr>
        <w:t>Bibliográficas</w:t>
      </w:r>
      <w:proofErr w:type="spellEnd"/>
      <w:r w:rsidRPr="001F4299">
        <w:rPr>
          <w:b/>
        </w:rPr>
        <w:t>:</w:t>
      </w:r>
    </w:p>
    <w:p w14:paraId="086D0130" w14:textId="601D1684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p w14:paraId="5EB61690" w14:textId="77777777" w:rsidR="00A7784F" w:rsidRPr="007E5AA8" w:rsidRDefault="00A7784F" w:rsidP="00A7784F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r w:rsidRPr="00F31FFF">
        <w:rPr>
          <w:color w:val="404040" w:themeColor="text1" w:themeTint="BF"/>
          <w:sz w:val="22"/>
        </w:rPr>
        <w:t xml:space="preserve">Cannon David. </w:t>
      </w:r>
      <w:r w:rsidRPr="007E5AA8">
        <w:rPr>
          <w:i/>
          <w:color w:val="404040" w:themeColor="text1" w:themeTint="BF"/>
          <w:sz w:val="22"/>
        </w:rPr>
        <w:t>ITIL</w:t>
      </w:r>
      <w:r>
        <w:rPr>
          <w:i/>
          <w:color w:val="404040" w:themeColor="text1" w:themeTint="BF"/>
          <w:sz w:val="22"/>
        </w:rPr>
        <w:t xml:space="preserve"> v3</w:t>
      </w:r>
      <w:r w:rsidRPr="007E5AA8">
        <w:rPr>
          <w:i/>
          <w:color w:val="404040" w:themeColor="text1" w:themeTint="BF"/>
          <w:sz w:val="22"/>
        </w:rPr>
        <w:t xml:space="preserve"> Service Strategy</w:t>
      </w:r>
      <w:r w:rsidRPr="007E5AA8">
        <w:rPr>
          <w:color w:val="404040" w:themeColor="text1" w:themeTint="BF"/>
          <w:sz w:val="22"/>
        </w:rPr>
        <w:t>. London: The Stationery Office</w:t>
      </w:r>
      <w:r>
        <w:rPr>
          <w:color w:val="404040" w:themeColor="text1" w:themeTint="BF"/>
          <w:sz w:val="22"/>
        </w:rPr>
        <w:t>, 2014</w:t>
      </w:r>
      <w:r w:rsidRPr="007E5AA8">
        <w:rPr>
          <w:color w:val="404040" w:themeColor="text1" w:themeTint="BF"/>
          <w:sz w:val="22"/>
        </w:rPr>
        <w:t xml:space="preserve">. </w:t>
      </w:r>
    </w:p>
    <w:p w14:paraId="1D58EA65" w14:textId="77777777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p w14:paraId="29B20CE4" w14:textId="77777777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sectPr w:rsidR="00A7784F" w:rsidRPr="001F4299" w:rsidSect="005B1A2E">
      <w:headerReference w:type="default" r:id="rId12"/>
      <w:footerReference w:type="default" r:id="rId13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04453" w14:textId="77777777" w:rsidR="0036243F" w:rsidRDefault="0036243F" w:rsidP="00FC3616">
      <w:r>
        <w:separator/>
      </w:r>
    </w:p>
  </w:endnote>
  <w:endnote w:type="continuationSeparator" w:id="0">
    <w:p w14:paraId="21785816" w14:textId="77777777" w:rsidR="0036243F" w:rsidRDefault="0036243F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0C708890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FD3CA8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6830B39D" w14:textId="2F6774D7" w:rsidR="00533C11" w:rsidRPr="00731384" w:rsidRDefault="00533C11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0C708890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FD3CA8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6830B39D" w14:textId="2F6774D7" w:rsidR="00533C11" w:rsidRPr="00731384" w:rsidRDefault="00533C11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533C11" w:rsidRPr="00533C11">
          <w:rPr>
            <w:rFonts w:asciiTheme="minorHAnsi" w:hAnsiTheme="minorHAnsi"/>
            <w:noProof/>
            <w:lang w:val="es-ES"/>
          </w:rPr>
          <w:t>2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9CA46" w14:textId="77777777" w:rsidR="0036243F" w:rsidRDefault="0036243F" w:rsidP="00FC3616">
      <w:r>
        <w:separator/>
      </w:r>
    </w:p>
  </w:footnote>
  <w:footnote w:type="continuationSeparator" w:id="0">
    <w:p w14:paraId="2E169AD7" w14:textId="77777777" w:rsidR="0036243F" w:rsidRDefault="0036243F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04FB14F1" w:rsidR="00D760BD" w:rsidRPr="006A21F9" w:rsidRDefault="00605886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INFORMÁTICA Y TELECOMUNICACIONES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04FB14F1" w:rsidR="00D760BD" w:rsidRPr="006A21F9" w:rsidRDefault="00605886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INFORMÁTICA Y TELECOMUNICACIONES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29"/>
  </w:num>
  <w:num w:numId="4">
    <w:abstractNumId w:val="34"/>
  </w:num>
  <w:num w:numId="5">
    <w:abstractNumId w:val="34"/>
    <w:lvlOverride w:ilvl="0">
      <w:startOverride w:val="2"/>
    </w:lvlOverride>
  </w:num>
  <w:num w:numId="6">
    <w:abstractNumId w:val="27"/>
    <w:lvlOverride w:ilvl="0">
      <w:startOverride w:val="2"/>
    </w:lvlOverride>
  </w:num>
  <w:num w:numId="7">
    <w:abstractNumId w:val="32"/>
  </w:num>
  <w:num w:numId="8">
    <w:abstractNumId w:val="19"/>
  </w:num>
  <w:num w:numId="9">
    <w:abstractNumId w:val="25"/>
  </w:num>
  <w:num w:numId="10">
    <w:abstractNumId w:val="10"/>
  </w:num>
  <w:num w:numId="11">
    <w:abstractNumId w:val="30"/>
  </w:num>
  <w:num w:numId="12">
    <w:abstractNumId w:val="16"/>
  </w:num>
  <w:num w:numId="13">
    <w:abstractNumId w:val="3"/>
  </w:num>
  <w:num w:numId="14">
    <w:abstractNumId w:val="23"/>
  </w:num>
  <w:num w:numId="15">
    <w:abstractNumId w:val="14"/>
  </w:num>
  <w:num w:numId="16">
    <w:abstractNumId w:val="17"/>
  </w:num>
  <w:num w:numId="17">
    <w:abstractNumId w:val="36"/>
  </w:num>
  <w:num w:numId="18">
    <w:abstractNumId w:val="1"/>
  </w:num>
  <w:num w:numId="19">
    <w:abstractNumId w:val="26"/>
  </w:num>
  <w:num w:numId="20">
    <w:abstractNumId w:val="0"/>
  </w:num>
  <w:num w:numId="21">
    <w:abstractNumId w:val="33"/>
  </w:num>
  <w:num w:numId="22">
    <w:abstractNumId w:val="20"/>
  </w:num>
  <w:num w:numId="23">
    <w:abstractNumId w:val="28"/>
  </w:num>
  <w:num w:numId="24">
    <w:abstractNumId w:val="5"/>
  </w:num>
  <w:num w:numId="25">
    <w:abstractNumId w:val="7"/>
  </w:num>
  <w:num w:numId="26">
    <w:abstractNumId w:val="4"/>
  </w:num>
  <w:num w:numId="27">
    <w:abstractNumId w:val="21"/>
  </w:num>
  <w:num w:numId="28">
    <w:abstractNumId w:val="8"/>
  </w:num>
  <w:num w:numId="29">
    <w:abstractNumId w:val="13"/>
  </w:num>
  <w:num w:numId="30">
    <w:abstractNumId w:val="22"/>
  </w:num>
  <w:num w:numId="31">
    <w:abstractNumId w:val="35"/>
  </w:num>
  <w:num w:numId="32">
    <w:abstractNumId w:val="15"/>
  </w:num>
  <w:num w:numId="33">
    <w:abstractNumId w:val="31"/>
  </w:num>
  <w:num w:numId="34">
    <w:abstractNumId w:val="12"/>
  </w:num>
  <w:num w:numId="35">
    <w:abstractNumId w:val="11"/>
  </w:num>
  <w:num w:numId="36">
    <w:abstractNumId w:val="2"/>
  </w:num>
  <w:num w:numId="37">
    <w:abstractNumId w:val="6"/>
  </w:num>
  <w:num w:numId="38">
    <w:abstractNumId w:val="9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46EB3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299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28D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4646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78C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06D9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3C11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479B1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EED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12F5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7784F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AF7CD7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2A7"/>
    <w:rsid w:val="00BF3692"/>
    <w:rsid w:val="00BF38E9"/>
    <w:rsid w:val="00BF4649"/>
    <w:rsid w:val="00BF7946"/>
    <w:rsid w:val="00BF798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5A"/>
    <w:rsid w:val="00C324D1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1A53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71FF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CA8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lid-translation">
    <w:name w:val="tlid-translation"/>
    <w:basedOn w:val="Fuentedeprrafopredeter"/>
    <w:rsid w:val="001F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EE0F3-6311-4B52-B0D5-D072BA65ADBD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150fe00-1c53-46dc-80fb-b2dbdb01b08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F69BA7-4F82-4CDE-99A3-ABB80053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5B79FB-7080-42A2-99D4-8184578C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FELIPE IGNACIO INDA MARTINEZ</cp:lastModifiedBy>
  <cp:revision>13</cp:revision>
  <cp:lastPrinted>2015-09-08T20:09:00Z</cp:lastPrinted>
  <dcterms:created xsi:type="dcterms:W3CDTF">2018-09-15T16:52:00Z</dcterms:created>
  <dcterms:modified xsi:type="dcterms:W3CDTF">2019-05-13T23:47:00Z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