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B53" w14:textId="31C752B7" w:rsidR="005C6E73" w:rsidRPr="00731384" w:rsidRDefault="005C6E73" w:rsidP="004B0751">
      <w:pPr>
        <w:pStyle w:val="Masthead"/>
        <w:jc w:val="center"/>
        <w:rPr>
          <w:rFonts w:asciiTheme="minorHAnsi" w:hAnsiTheme="minorHAnsi" w:cs="Arial"/>
          <w:b/>
          <w:color w:val="262626" w:themeColor="text1" w:themeTint="D9"/>
          <w:sz w:val="40"/>
          <w:szCs w:val="40"/>
        </w:rPr>
      </w:pPr>
      <w:r w:rsidRPr="00731384">
        <w:rPr>
          <w:rFonts w:asciiTheme="minorHAnsi" w:hAnsiTheme="minorHAnsi" w:cs="Arial"/>
          <w:b/>
          <w:color w:val="262626" w:themeColor="text1" w:themeTint="D9"/>
          <w:sz w:val="40"/>
          <w:szCs w:val="40"/>
        </w:rPr>
        <w:t xml:space="preserve">Guía de lectura </w:t>
      </w:r>
      <w:r w:rsidR="009E6A86">
        <w:rPr>
          <w:rFonts w:asciiTheme="minorHAnsi" w:hAnsiTheme="minorHAnsi" w:cs="Arial"/>
          <w:b/>
          <w:color w:val="262626" w:themeColor="text1" w:themeTint="D9"/>
          <w:sz w:val="40"/>
          <w:szCs w:val="40"/>
        </w:rPr>
        <w:t>6</w:t>
      </w:r>
      <w:r w:rsidR="00B07977" w:rsidRPr="00731384">
        <w:rPr>
          <w:rFonts w:asciiTheme="minorHAnsi" w:hAnsiTheme="minorHAnsi" w:cs="Arial"/>
          <w:b/>
          <w:color w:val="262626" w:themeColor="text1" w:themeTint="D9"/>
          <w:sz w:val="40"/>
          <w:szCs w:val="40"/>
        </w:rPr>
        <w:t xml:space="preserve">: </w:t>
      </w:r>
      <w:r w:rsidR="009E6A86">
        <w:rPr>
          <w:rFonts w:asciiTheme="minorHAnsi" w:hAnsiTheme="minorHAnsi" w:cs="Arial"/>
          <w:b/>
          <w:color w:val="262626" w:themeColor="text1" w:themeTint="D9"/>
          <w:sz w:val="40"/>
          <w:szCs w:val="40"/>
        </w:rPr>
        <w:t>Opera</w:t>
      </w:r>
      <w:r w:rsidR="00693FFC" w:rsidRPr="00693FFC">
        <w:rPr>
          <w:rFonts w:asciiTheme="minorHAnsi" w:hAnsiTheme="minorHAnsi" w:cs="Arial"/>
          <w:b/>
          <w:color w:val="262626" w:themeColor="text1" w:themeTint="D9"/>
          <w:sz w:val="40"/>
          <w:szCs w:val="40"/>
        </w:rPr>
        <w:t>ción del Servicio</w:t>
      </w:r>
    </w:p>
    <w:p w14:paraId="50A7BB54" w14:textId="77777777" w:rsidR="00B07977" w:rsidRPr="00731384" w:rsidRDefault="00B07977" w:rsidP="005C6E73">
      <w:pPr>
        <w:spacing w:line="288" w:lineRule="auto"/>
        <w:jc w:val="both"/>
        <w:rPr>
          <w:rFonts w:asciiTheme="minorHAnsi" w:hAnsiTheme="minorHAnsi" w:cs="Arial"/>
          <w:b/>
          <w:color w:val="262626" w:themeColor="text1" w:themeTint="D9"/>
          <w:sz w:val="20"/>
          <w:lang w:val="es-C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215EE0" w14:paraId="543A9CF0" w14:textId="77777777" w:rsidTr="00B76F1E">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Nombre y código de asignatura</w:t>
            </w:r>
          </w:p>
        </w:tc>
        <w:tc>
          <w:tcPr>
            <w:tcW w:w="4130" w:type="dxa"/>
          </w:tcPr>
          <w:p w14:paraId="2684D99B" w14:textId="7EC5FBC9" w:rsidR="00E73C6C" w:rsidRPr="00731384" w:rsidRDefault="00E73C6C" w:rsidP="002D76C2">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b w:val="0"/>
                <w:color w:val="262626" w:themeColor="text1" w:themeTint="D9"/>
                <w:sz w:val="22"/>
                <w:szCs w:val="22"/>
                <w:lang w:val="es-CL"/>
              </w:rPr>
              <w:t>Gestión de Servicios y Gobernabilidad de TI – TI</w:t>
            </w:r>
            <w:r w:rsidR="002D76C2">
              <w:rPr>
                <w:rFonts w:asciiTheme="minorHAnsi" w:hAnsiTheme="minorHAnsi" w:cs="Arial"/>
                <w:b w:val="0"/>
                <w:color w:val="262626" w:themeColor="text1" w:themeTint="D9"/>
                <w:sz w:val="22"/>
                <w:szCs w:val="22"/>
                <w:lang w:val="es-CL"/>
              </w:rPr>
              <w:t>DC</w:t>
            </w:r>
            <w:r>
              <w:rPr>
                <w:rFonts w:asciiTheme="minorHAnsi" w:hAnsiTheme="minorHAnsi" w:cs="Arial"/>
                <w:b w:val="0"/>
                <w:color w:val="262626" w:themeColor="text1" w:themeTint="D9"/>
                <w:sz w:val="22"/>
                <w:szCs w:val="22"/>
                <w:lang w:val="es-CL"/>
              </w:rPr>
              <w:t>26</w:t>
            </w:r>
          </w:p>
        </w:tc>
        <w:tc>
          <w:tcPr>
            <w:tcW w:w="4001" w:type="dxa"/>
          </w:tcPr>
          <w:p w14:paraId="0A4D5821" w14:textId="2E91C504" w:rsidR="00E73C6C" w:rsidRPr="00731384" w:rsidRDefault="00E73C6C" w:rsidP="00D876BB">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 xml:space="preserve">Nombre del </w:t>
            </w:r>
            <w:r w:rsidR="002D76C2">
              <w:rPr>
                <w:rFonts w:asciiTheme="minorHAnsi" w:hAnsiTheme="minorHAnsi" w:cs="Arial"/>
                <w:color w:val="262626" w:themeColor="text1" w:themeTint="D9"/>
                <w:sz w:val="22"/>
                <w:szCs w:val="22"/>
                <w:lang w:val="es-CL"/>
              </w:rPr>
              <w:t>estudiante</w:t>
            </w:r>
            <w:r w:rsidRPr="00731384">
              <w:rPr>
                <w:rFonts w:asciiTheme="minorHAnsi" w:hAnsiTheme="minorHAnsi" w:cs="Arial"/>
                <w:color w:val="262626" w:themeColor="text1" w:themeTint="D9"/>
                <w:sz w:val="22"/>
                <w:szCs w:val="22"/>
                <w:lang w:val="es-CL"/>
              </w:rPr>
              <w:t>(s)</w:t>
            </w:r>
            <w:r w:rsidR="00D876BB">
              <w:rPr>
                <w:rFonts w:asciiTheme="minorHAnsi" w:hAnsiTheme="minorHAnsi" w:cs="Arial"/>
                <w:color w:val="262626" w:themeColor="text1" w:themeTint="D9"/>
                <w:sz w:val="22"/>
                <w:szCs w:val="22"/>
                <w:lang w:val="es-CL"/>
              </w:rPr>
              <w:t xml:space="preserve">: </w:t>
            </w:r>
            <w:r w:rsidR="00D876BB" w:rsidRPr="00D876BB">
              <w:rPr>
                <w:rFonts w:asciiTheme="minorHAnsi" w:hAnsiTheme="minorHAnsi" w:cs="Arial"/>
                <w:b w:val="0"/>
                <w:color w:val="262626" w:themeColor="text1" w:themeTint="D9"/>
                <w:sz w:val="22"/>
                <w:szCs w:val="22"/>
                <w:lang w:val="es-CL"/>
              </w:rPr>
              <w:t>Gabriel Beltrán, Felipe Inda, Ivo Olivares y Aron Fuentes.</w:t>
            </w:r>
          </w:p>
        </w:tc>
      </w:tr>
      <w:tr w:rsidR="00E73C6C" w:rsidRPr="00215EE0" w14:paraId="0966669B" w14:textId="77777777" w:rsidTr="00B76F1E">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Pr>
                <w:rFonts w:asciiTheme="minorHAnsi" w:hAnsiTheme="minorHAnsi" w:cs="Arial"/>
                <w:color w:val="262626" w:themeColor="text1" w:themeTint="D9"/>
                <w:sz w:val="22"/>
                <w:szCs w:val="22"/>
                <w:lang w:val="es-CL"/>
              </w:rPr>
              <w:t>Unidad de A</w:t>
            </w:r>
            <w:r w:rsidRPr="00731384">
              <w:rPr>
                <w:rFonts w:asciiTheme="minorHAnsi" w:hAnsiTheme="minorHAnsi" w:cs="Arial"/>
                <w:color w:val="262626" w:themeColor="text1" w:themeTint="D9"/>
                <w:sz w:val="22"/>
                <w:szCs w:val="22"/>
                <w:lang w:val="es-CL"/>
              </w:rPr>
              <w:t xml:space="preserve">prendizaje </w:t>
            </w:r>
            <w:r>
              <w:rPr>
                <w:rFonts w:asciiTheme="minorHAnsi" w:hAnsiTheme="minorHAnsi" w:cs="Arial"/>
                <w:color w:val="262626" w:themeColor="text1" w:themeTint="D9"/>
                <w:sz w:val="22"/>
                <w:szCs w:val="22"/>
                <w:lang w:val="es-CL"/>
              </w:rPr>
              <w:t>2</w:t>
            </w:r>
          </w:p>
        </w:tc>
        <w:tc>
          <w:tcPr>
            <w:tcW w:w="8131" w:type="dxa"/>
            <w:gridSpan w:val="2"/>
          </w:tcPr>
          <w:p w14:paraId="08F7251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Aprendizaje Esperado:</w:t>
            </w:r>
          </w:p>
          <w:p w14:paraId="0C561582"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D83DA44" w14:textId="77777777" w:rsidR="00E73C6C" w:rsidRPr="00445451" w:rsidRDefault="00E73C6C" w:rsidP="00E73C6C">
            <w:pPr>
              <w:pStyle w:val="Prrafodelista"/>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445451">
              <w:rPr>
                <w:rFonts w:asciiTheme="minorHAnsi" w:hAnsiTheme="minorHAnsi" w:cs="Arial"/>
                <w:color w:val="262626" w:themeColor="text1" w:themeTint="D9"/>
                <w:sz w:val="22"/>
                <w:szCs w:val="22"/>
                <w:lang w:val="es-CL"/>
              </w:rPr>
              <w:t>Integra los procesos de servicios de TI según un ciclo de vida.</w:t>
            </w:r>
          </w:p>
          <w:p w14:paraId="26594BD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p w14:paraId="4ABED7C9"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Competencia genérica integrada</w:t>
            </w:r>
            <w:r w:rsidRPr="00731384">
              <w:rPr>
                <w:rFonts w:asciiTheme="minorHAnsi" w:hAnsiTheme="minorHAnsi" w:cs="Arial"/>
                <w:color w:val="262626" w:themeColor="text1" w:themeTint="D9"/>
                <w:sz w:val="22"/>
                <w:szCs w:val="22"/>
                <w:lang w:val="es-CL"/>
              </w:rPr>
              <w:t>:</w:t>
            </w:r>
          </w:p>
          <w:p w14:paraId="166916B5"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7D964873" w14:textId="12A708AE" w:rsidR="00E73C6C" w:rsidRPr="00731384" w:rsidRDefault="00E73C6C" w:rsidP="00CB1442">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Comunicación Oral y Escrita</w:t>
            </w:r>
            <w:r w:rsidRPr="00731384">
              <w:rPr>
                <w:rFonts w:asciiTheme="minorHAnsi" w:hAnsiTheme="minorHAnsi" w:cs="Arial"/>
                <w:color w:val="262626" w:themeColor="text1" w:themeTint="D9"/>
                <w:sz w:val="22"/>
                <w:szCs w:val="22"/>
                <w:lang w:val="es-CL"/>
              </w:rPr>
              <w:t xml:space="preserve"> - Nivel 3</w:t>
            </w:r>
            <w:r>
              <w:rPr>
                <w:rFonts w:asciiTheme="minorHAnsi"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Comprende y produce (comunica) en forma oral y escrita ideas y conceptos para influenciar a otros en el ámbito del aprendizaje y de su profesión</w:t>
            </w:r>
            <w:r w:rsidR="00CB1442">
              <w:rPr>
                <w:rFonts w:asciiTheme="minorHAnsi" w:eastAsiaTheme="minorEastAsia" w:hAnsiTheme="minorHAnsi" w:cs="Arial"/>
                <w:color w:val="262626" w:themeColor="text1" w:themeTint="D9"/>
                <w:sz w:val="22"/>
                <w:szCs w:val="22"/>
                <w:lang w:val="es-CL"/>
              </w:rPr>
              <w:t>.</w:t>
            </w:r>
          </w:p>
        </w:tc>
      </w:tr>
      <w:tr w:rsidR="00E73C6C" w:rsidRPr="00731384" w14:paraId="729BFDEF" w14:textId="77777777" w:rsidTr="00B76F1E">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Evaluación</w:t>
            </w:r>
          </w:p>
        </w:tc>
        <w:tc>
          <w:tcPr>
            <w:tcW w:w="4130" w:type="dxa"/>
          </w:tcPr>
          <w:p w14:paraId="61F495DC" w14:textId="77777777" w:rsidR="00E73C6C" w:rsidRPr="0073138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Diagnóstica</w:t>
            </w:r>
          </w:p>
        </w:tc>
        <w:tc>
          <w:tcPr>
            <w:tcW w:w="4001" w:type="dxa"/>
            <w:vMerge w:val="restart"/>
          </w:tcPr>
          <w:p w14:paraId="7F261261" w14:textId="7E95993E" w:rsidR="00E73C6C" w:rsidRPr="0073138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Sección:</w:t>
            </w:r>
            <w:r w:rsidR="00D876BB">
              <w:rPr>
                <w:rFonts w:asciiTheme="minorHAnsi" w:hAnsiTheme="minorHAnsi" w:cs="Arial"/>
                <w:b/>
                <w:color w:val="262626" w:themeColor="text1" w:themeTint="D9"/>
                <w:sz w:val="22"/>
                <w:szCs w:val="22"/>
                <w:lang w:val="es-CL"/>
              </w:rPr>
              <w:t xml:space="preserve"> </w:t>
            </w:r>
            <w:r w:rsidR="00D876BB" w:rsidRPr="00D876BB">
              <w:rPr>
                <w:rFonts w:asciiTheme="minorHAnsi" w:hAnsiTheme="minorHAnsi" w:cs="Arial"/>
                <w:color w:val="262626" w:themeColor="text1" w:themeTint="D9"/>
                <w:sz w:val="22"/>
                <w:szCs w:val="22"/>
                <w:lang w:val="es-CL"/>
              </w:rPr>
              <w:t>371</w:t>
            </w:r>
          </w:p>
        </w:tc>
      </w:tr>
      <w:tr w:rsidR="00E73C6C" w:rsidRPr="00731384" w14:paraId="3C279BF1" w14:textId="77777777" w:rsidTr="00B76F1E">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Fecha de entrega</w:t>
            </w:r>
          </w:p>
        </w:tc>
        <w:tc>
          <w:tcPr>
            <w:tcW w:w="4130" w:type="dxa"/>
          </w:tcPr>
          <w:p w14:paraId="2218870E" w14:textId="5EEC709A" w:rsidR="00E73C6C" w:rsidRPr="00731384" w:rsidRDefault="00D876BB"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31 de mayo de 2019</w:t>
            </w:r>
          </w:p>
        </w:tc>
        <w:tc>
          <w:tcPr>
            <w:tcW w:w="4001" w:type="dxa"/>
            <w:vMerge/>
          </w:tcPr>
          <w:p w14:paraId="2201DA7C"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tc>
      </w:tr>
    </w:tbl>
    <w:p w14:paraId="50A7BB6D" w14:textId="77777777" w:rsidR="005C6E73" w:rsidRPr="00731384" w:rsidRDefault="005C6E73" w:rsidP="005C6E73">
      <w:pPr>
        <w:spacing w:line="288" w:lineRule="auto"/>
        <w:jc w:val="both"/>
        <w:rPr>
          <w:rFonts w:asciiTheme="minorHAnsi" w:hAnsiTheme="minorHAnsi" w:cs="Arial"/>
          <w:b/>
          <w:color w:val="262626" w:themeColor="text1" w:themeTint="D9"/>
          <w:sz w:val="20"/>
          <w:lang w:val="es-CL"/>
        </w:rPr>
      </w:pPr>
    </w:p>
    <w:p w14:paraId="50A7BB6E" w14:textId="77777777" w:rsidR="005C6E73" w:rsidRPr="002A3DE3" w:rsidRDefault="005C6E73" w:rsidP="003F1564">
      <w:pPr>
        <w:pStyle w:val="Estilo1"/>
        <w:rPr>
          <w:rFonts w:cs="Arial"/>
          <w:color w:val="404040" w:themeColor="text1" w:themeTint="BF"/>
          <w:lang w:val="es-ES"/>
        </w:rPr>
      </w:pPr>
      <w:r w:rsidRPr="002A3DE3">
        <w:rPr>
          <w:rFonts w:cs="Arial"/>
          <w:color w:val="404040" w:themeColor="text1" w:themeTint="BF"/>
          <w:lang w:val="es-ES"/>
        </w:rPr>
        <w:t>Lo que se espera aprendas</w:t>
      </w:r>
    </w:p>
    <w:p w14:paraId="50A7BB6F" w14:textId="77777777" w:rsidR="005C6E73" w:rsidRPr="002A3DE3" w:rsidRDefault="005C6E73" w:rsidP="00D760BD">
      <w:pPr>
        <w:spacing w:line="360" w:lineRule="auto"/>
        <w:jc w:val="both"/>
        <w:rPr>
          <w:rFonts w:asciiTheme="minorHAnsi" w:hAnsiTheme="minorHAnsi" w:cs="Arial"/>
          <w:color w:val="404040" w:themeColor="text1" w:themeTint="BF"/>
          <w:u w:val="single"/>
          <w:lang w:val="es-CL"/>
        </w:rPr>
      </w:pPr>
    </w:p>
    <w:p w14:paraId="4F2B69A1" w14:textId="7FFF998A" w:rsidR="00126A15" w:rsidRPr="00126A15" w:rsidRDefault="00126A15" w:rsidP="00126A15">
      <w:pPr>
        <w:pStyle w:val="Estilo1"/>
        <w:rPr>
          <w:rFonts w:cs="Segoe UI"/>
          <w:b w:val="0"/>
          <w:color w:val="404040" w:themeColor="text1" w:themeTint="BF"/>
          <w:sz w:val="24"/>
          <w:szCs w:val="20"/>
          <w:lang w:val="es-CL" w:eastAsia="es-CL"/>
        </w:rPr>
      </w:pPr>
      <w:r w:rsidRPr="00126A15">
        <w:rPr>
          <w:rFonts w:cs="Segoe UI"/>
          <w:b w:val="0"/>
          <w:color w:val="404040" w:themeColor="text1" w:themeTint="BF"/>
          <w:sz w:val="24"/>
          <w:szCs w:val="20"/>
          <w:lang w:val="es-CL" w:eastAsia="es-CL"/>
        </w:rPr>
        <w:t>Describir los objetivos y beneficios de la Fase de Operación del Ciclo de Vida del Servicio.</w:t>
      </w:r>
    </w:p>
    <w:p w14:paraId="08935F93" w14:textId="07BF583C" w:rsidR="00126A15" w:rsidRDefault="00126A15" w:rsidP="00126A15">
      <w:pPr>
        <w:pStyle w:val="Estilo1"/>
        <w:rPr>
          <w:rFonts w:cs="Segoe UI"/>
          <w:b w:val="0"/>
          <w:color w:val="404040" w:themeColor="text1" w:themeTint="BF"/>
          <w:sz w:val="24"/>
          <w:szCs w:val="20"/>
          <w:lang w:val="es-CL" w:eastAsia="es-CL"/>
        </w:rPr>
      </w:pPr>
      <w:r w:rsidRPr="00126A15">
        <w:rPr>
          <w:rFonts w:cs="Segoe UI"/>
          <w:b w:val="0"/>
          <w:color w:val="404040" w:themeColor="text1" w:themeTint="BF"/>
          <w:sz w:val="24"/>
          <w:szCs w:val="20"/>
          <w:lang w:val="es-CL" w:eastAsia="es-CL"/>
        </w:rPr>
        <w:t>Describir los  5 Procesos y las 4 Funciones de la Fase de Transición del servicio.</w:t>
      </w:r>
    </w:p>
    <w:p w14:paraId="50A7BBA6" w14:textId="18C63A82" w:rsidR="003F1564" w:rsidRPr="008E17B3" w:rsidRDefault="003F1564" w:rsidP="00126A15">
      <w:pPr>
        <w:pStyle w:val="Estilo1"/>
        <w:rPr>
          <w:rFonts w:cs="Arial"/>
          <w:color w:val="404040" w:themeColor="text1" w:themeTint="BF"/>
          <w:lang w:val="es-ES"/>
        </w:rPr>
      </w:pPr>
      <w:r w:rsidRPr="008E17B3">
        <w:rPr>
          <w:rFonts w:cs="Arial"/>
          <w:color w:val="404040" w:themeColor="text1" w:themeTint="BF"/>
          <w:lang w:val="es-ES"/>
        </w:rPr>
        <w:t>Instrucciones</w:t>
      </w:r>
    </w:p>
    <w:p w14:paraId="603C8CCF" w14:textId="09F39AB5" w:rsidR="002A3DE3" w:rsidRDefault="002A3DE3" w:rsidP="002A3DE3">
      <w:pPr>
        <w:pStyle w:val="Estilo3"/>
        <w:ind w:left="720"/>
        <w:rPr>
          <w:noProof/>
          <w:lang w:val="es-CL" w:eastAsia="es-CL" w:bidi="ar-SA"/>
        </w:rPr>
      </w:pPr>
      <w:r w:rsidRPr="000B589D">
        <w:rPr>
          <w:noProof/>
          <w:lang w:val="es-ES" w:bidi="ar-SA"/>
        </w:rPr>
        <w:drawing>
          <wp:anchor distT="0" distB="0" distL="114300" distR="114300" simplePos="0" relativeHeight="251659264" behindDoc="0" locked="0" layoutInCell="1" allowOverlap="1" wp14:anchorId="56CA97B4" wp14:editId="1F4E4D3B">
            <wp:simplePos x="0" y="0"/>
            <wp:positionH relativeFrom="column">
              <wp:posOffset>-2264</wp:posOffset>
            </wp:positionH>
            <wp:positionV relativeFrom="paragraph">
              <wp:posOffset>41303</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6A15" w:rsidRPr="00126A15">
        <w:rPr>
          <w:noProof/>
          <w:lang w:val="es-CL" w:eastAsia="es-CL" w:bidi="ar-SA"/>
        </w:rPr>
        <w:t>El propósito de la Fase de Operación del Servicio del Ciclo de Vida es coordinar y realizar las actividades y procesos requeridos para entregar y gestionar servicios en los niveles acordados con clientes y usuarios.  Operación del Servicio también es responsable por la administración diaria de la tecnología utilizada para entregar y soportar los servicios</w:t>
      </w:r>
      <w:r w:rsidR="00693FFC" w:rsidRPr="00693FFC">
        <w:rPr>
          <w:noProof/>
          <w:lang w:val="es-CL" w:eastAsia="es-CL" w:bidi="ar-SA"/>
        </w:rPr>
        <w:t>.</w:t>
      </w:r>
    </w:p>
    <w:p w14:paraId="64A77F48" w14:textId="77777777" w:rsidR="00693FFC" w:rsidRDefault="00693FFC" w:rsidP="002A3DE3">
      <w:pPr>
        <w:pStyle w:val="Estilo3"/>
        <w:ind w:left="720"/>
        <w:rPr>
          <w:lang w:val="es-CL"/>
        </w:rPr>
      </w:pPr>
    </w:p>
    <w:p w14:paraId="2D04B98E" w14:textId="77777777" w:rsidR="00CB1442" w:rsidRDefault="00CB1442" w:rsidP="00693FFC">
      <w:pPr>
        <w:pStyle w:val="Estilo3"/>
        <w:rPr>
          <w:rFonts w:cs="Arial"/>
          <w:color w:val="262626" w:themeColor="text1" w:themeTint="D9"/>
          <w:szCs w:val="28"/>
          <w:lang w:val="es-ES"/>
        </w:rPr>
      </w:pPr>
    </w:p>
    <w:p w14:paraId="294F405C" w14:textId="77777777" w:rsidR="00CB1442" w:rsidRDefault="00CB1442" w:rsidP="00693FFC">
      <w:pPr>
        <w:pStyle w:val="Estilo3"/>
        <w:rPr>
          <w:rFonts w:cs="Arial"/>
          <w:color w:val="262626" w:themeColor="text1" w:themeTint="D9"/>
          <w:szCs w:val="28"/>
          <w:lang w:val="es-ES"/>
        </w:rPr>
      </w:pPr>
    </w:p>
    <w:p w14:paraId="6CF3140A" w14:textId="28087998" w:rsidR="00126A15" w:rsidRPr="00126A15" w:rsidRDefault="00126A15" w:rsidP="00126A15">
      <w:pPr>
        <w:pStyle w:val="Estilo3"/>
        <w:rPr>
          <w:rFonts w:cs="Arial"/>
          <w:color w:val="262626" w:themeColor="text1" w:themeTint="D9"/>
          <w:szCs w:val="28"/>
          <w:lang w:val="es-ES"/>
        </w:rPr>
      </w:pPr>
      <w:r>
        <w:rPr>
          <w:rFonts w:cs="Arial"/>
          <w:color w:val="262626" w:themeColor="text1" w:themeTint="D9"/>
          <w:szCs w:val="28"/>
          <w:lang w:val="es-ES"/>
        </w:rPr>
        <w:t>•</w:t>
      </w:r>
      <w:r w:rsidRPr="00126A15">
        <w:rPr>
          <w:rFonts w:cs="Arial"/>
          <w:color w:val="262626" w:themeColor="text1" w:themeTint="D9"/>
          <w:szCs w:val="28"/>
          <w:lang w:val="es-ES"/>
        </w:rPr>
        <w:t xml:space="preserve">Leer el punto “1.1.1. Propósito y Objetivos de la Operación del Servicio” </w:t>
      </w:r>
    </w:p>
    <w:p w14:paraId="4454C004" w14:textId="682D8E30" w:rsidR="00126A15" w:rsidRPr="00126A15" w:rsidRDefault="00126A15" w:rsidP="00126A15">
      <w:pPr>
        <w:pStyle w:val="Estilo3"/>
        <w:rPr>
          <w:rFonts w:cs="Arial"/>
          <w:color w:val="262626" w:themeColor="text1" w:themeTint="D9"/>
          <w:szCs w:val="28"/>
          <w:lang w:val="es-ES"/>
        </w:rPr>
      </w:pPr>
      <w:r w:rsidRPr="00126A15">
        <w:rPr>
          <w:rFonts w:cs="Arial"/>
          <w:color w:val="262626" w:themeColor="text1" w:themeTint="D9"/>
          <w:szCs w:val="28"/>
          <w:lang w:val="es-ES"/>
        </w:rPr>
        <w:t>•Leer la introducción al punto 4 “Procesos de Transición del Servicio”</w:t>
      </w:r>
    </w:p>
    <w:p w14:paraId="02572104" w14:textId="36B4BCB3" w:rsidR="00126A15" w:rsidRPr="00126A15" w:rsidRDefault="00126A15" w:rsidP="00126A15">
      <w:pPr>
        <w:pStyle w:val="Estilo3"/>
        <w:rPr>
          <w:rFonts w:cs="Arial"/>
          <w:color w:val="262626" w:themeColor="text1" w:themeTint="D9"/>
          <w:szCs w:val="28"/>
          <w:lang w:val="es-ES"/>
        </w:rPr>
      </w:pPr>
      <w:r w:rsidRPr="00126A15">
        <w:rPr>
          <w:rFonts w:cs="Arial"/>
          <w:color w:val="262626" w:themeColor="text1" w:themeTint="D9"/>
          <w:szCs w:val="28"/>
          <w:lang w:val="es-ES"/>
        </w:rPr>
        <w:t>•Leer los puntos 4.1, 4.2, 4.3 y 4.4 que contienen propósito y objetivos de cada proceso</w:t>
      </w:r>
    </w:p>
    <w:p w14:paraId="5C8FE4B8" w14:textId="4EB80322" w:rsidR="00693FFC" w:rsidRDefault="00126A15" w:rsidP="00126A15">
      <w:pPr>
        <w:pStyle w:val="Estilo3"/>
        <w:rPr>
          <w:rFonts w:cs="Arial"/>
          <w:color w:val="262626" w:themeColor="text1" w:themeTint="D9"/>
          <w:szCs w:val="28"/>
          <w:lang w:val="es-ES"/>
        </w:rPr>
      </w:pPr>
      <w:r w:rsidRPr="00126A15">
        <w:rPr>
          <w:rFonts w:cs="Arial"/>
          <w:color w:val="262626" w:themeColor="text1" w:themeTint="D9"/>
          <w:szCs w:val="28"/>
          <w:lang w:val="es-ES"/>
        </w:rPr>
        <w:t>•Leer los puntos 6.2.1.1, 6.2.1.2, 6.2.1.3 y 6.2.1.4 que contienen propósito y objetivos de cada función.</w:t>
      </w:r>
    </w:p>
    <w:p w14:paraId="6064DB5B" w14:textId="77777777" w:rsidR="00CB1442" w:rsidRDefault="00CB1442" w:rsidP="00693FFC">
      <w:pPr>
        <w:pStyle w:val="Estilo3"/>
        <w:rPr>
          <w:rFonts w:cs="Arial"/>
          <w:color w:val="262626" w:themeColor="text1" w:themeTint="D9"/>
          <w:szCs w:val="28"/>
          <w:lang w:val="es-ES"/>
        </w:rPr>
      </w:pPr>
    </w:p>
    <w:p w14:paraId="184010A9" w14:textId="77777777" w:rsidR="00CB1442" w:rsidRDefault="00CB1442" w:rsidP="00693FFC">
      <w:pPr>
        <w:pStyle w:val="Estilo3"/>
        <w:rPr>
          <w:rFonts w:cs="Arial"/>
          <w:color w:val="262626" w:themeColor="text1" w:themeTint="D9"/>
          <w:szCs w:val="28"/>
          <w:lang w:val="es-ES"/>
        </w:rPr>
      </w:pPr>
    </w:p>
    <w:p w14:paraId="6CCBD00D" w14:textId="77777777" w:rsidR="00CB1442" w:rsidRDefault="00CB1442" w:rsidP="00693FFC">
      <w:pPr>
        <w:pStyle w:val="Estilo3"/>
        <w:rPr>
          <w:rFonts w:cs="Arial"/>
          <w:color w:val="262626" w:themeColor="text1" w:themeTint="D9"/>
          <w:szCs w:val="28"/>
          <w:lang w:val="es-ES"/>
        </w:rPr>
      </w:pPr>
    </w:p>
    <w:p w14:paraId="61F96673" w14:textId="77777777" w:rsidR="00CB1442" w:rsidRDefault="00CB1442" w:rsidP="00693FFC">
      <w:pPr>
        <w:pStyle w:val="Estilo3"/>
        <w:rPr>
          <w:rFonts w:cs="Arial"/>
          <w:color w:val="262626" w:themeColor="text1" w:themeTint="D9"/>
          <w:szCs w:val="28"/>
          <w:lang w:val="es-ES"/>
        </w:rPr>
      </w:pPr>
    </w:p>
    <w:p w14:paraId="37DC40FD" w14:textId="77777777" w:rsidR="00CB1442" w:rsidRDefault="00CB1442" w:rsidP="00693FFC">
      <w:pPr>
        <w:pStyle w:val="Estilo3"/>
        <w:rPr>
          <w:rFonts w:cs="Arial"/>
          <w:color w:val="262626" w:themeColor="text1" w:themeTint="D9"/>
          <w:szCs w:val="28"/>
          <w:lang w:val="es-ES"/>
        </w:rPr>
      </w:pPr>
    </w:p>
    <w:p w14:paraId="17B60361" w14:textId="77777777" w:rsidR="00CB1442" w:rsidRDefault="00CB1442" w:rsidP="00693FFC">
      <w:pPr>
        <w:pStyle w:val="Estilo3"/>
        <w:rPr>
          <w:rFonts w:cs="Arial"/>
          <w:color w:val="262626" w:themeColor="text1" w:themeTint="D9"/>
          <w:szCs w:val="28"/>
          <w:lang w:val="es-ES"/>
        </w:rPr>
      </w:pPr>
    </w:p>
    <w:p w14:paraId="5CEA6C3A" w14:textId="77777777" w:rsidR="00FB5140" w:rsidRDefault="00FB5140" w:rsidP="00693FFC">
      <w:pPr>
        <w:pStyle w:val="Estilo3"/>
        <w:rPr>
          <w:rFonts w:cs="Arial"/>
          <w:color w:val="262626" w:themeColor="text1" w:themeTint="D9"/>
          <w:szCs w:val="28"/>
          <w:lang w:val="es-ES"/>
        </w:rPr>
      </w:pPr>
    </w:p>
    <w:p w14:paraId="2846E256" w14:textId="77777777" w:rsidR="00FB5140" w:rsidRDefault="00FB5140" w:rsidP="00693FFC">
      <w:pPr>
        <w:pStyle w:val="Estilo3"/>
        <w:rPr>
          <w:rFonts w:cs="Arial"/>
          <w:color w:val="262626" w:themeColor="text1" w:themeTint="D9"/>
          <w:szCs w:val="28"/>
          <w:lang w:val="es-ES"/>
        </w:rPr>
      </w:pPr>
    </w:p>
    <w:p w14:paraId="4FD26DC9" w14:textId="212C507C" w:rsidR="002A3DE3" w:rsidRDefault="002A3DE3" w:rsidP="00EA7FE8">
      <w:pPr>
        <w:pStyle w:val="Estilo3"/>
        <w:rPr>
          <w:lang w:val="es-CL"/>
        </w:rPr>
      </w:pPr>
      <w:r w:rsidRPr="002A3DE3">
        <w:rPr>
          <w:b/>
          <w:lang w:val="es-CL"/>
        </w:rPr>
        <w:t>Conceptos clave:</w:t>
      </w:r>
      <w:r w:rsidRPr="002A3DE3">
        <w:rPr>
          <w:lang w:val="es-CL"/>
        </w:rPr>
        <w:t xml:space="preserve"> </w:t>
      </w:r>
    </w:p>
    <w:p w14:paraId="34F0DAA1"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Proceso</w:t>
      </w:r>
      <w:proofErr w:type="spellEnd"/>
      <w:r w:rsidRPr="00126A15">
        <w:rPr>
          <w:rFonts w:eastAsiaTheme="minorEastAsia"/>
          <w:color w:val="404040" w:themeColor="text1" w:themeTint="BF"/>
          <w:sz w:val="22"/>
          <w:szCs w:val="22"/>
        </w:rPr>
        <w:t xml:space="preserve"> v/s </w:t>
      </w:r>
      <w:proofErr w:type="spellStart"/>
      <w:r w:rsidRPr="00126A15">
        <w:rPr>
          <w:rFonts w:eastAsiaTheme="minorEastAsia"/>
          <w:color w:val="404040" w:themeColor="text1" w:themeTint="BF"/>
          <w:sz w:val="22"/>
          <w:szCs w:val="22"/>
        </w:rPr>
        <w:t>función</w:t>
      </w:r>
      <w:proofErr w:type="spellEnd"/>
    </w:p>
    <w:p w14:paraId="1700316D"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Incidente</w:t>
      </w:r>
      <w:proofErr w:type="spellEnd"/>
    </w:p>
    <w:p w14:paraId="7D74DB64"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Problema</w:t>
      </w:r>
      <w:proofErr w:type="spellEnd"/>
    </w:p>
    <w:p w14:paraId="07117F65"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Evento</w:t>
      </w:r>
      <w:proofErr w:type="spellEnd"/>
    </w:p>
    <w:p w14:paraId="4551071B" w14:textId="77777777" w:rsidR="00126A15" w:rsidRPr="00126A15" w:rsidRDefault="00126A15" w:rsidP="00126A15">
      <w:pPr>
        <w:pStyle w:val="Estilo3"/>
        <w:numPr>
          <w:ilvl w:val="0"/>
          <w:numId w:val="43"/>
        </w:numPr>
        <w:rPr>
          <w:rFonts w:eastAsiaTheme="minorEastAsia"/>
          <w:color w:val="404040" w:themeColor="text1" w:themeTint="BF"/>
          <w:sz w:val="22"/>
          <w:szCs w:val="22"/>
        </w:rPr>
      </w:pPr>
      <w:r w:rsidRPr="00126A15">
        <w:rPr>
          <w:rFonts w:eastAsiaTheme="minorEastAsia"/>
          <w:color w:val="404040" w:themeColor="text1" w:themeTint="BF"/>
          <w:sz w:val="22"/>
          <w:szCs w:val="22"/>
        </w:rPr>
        <w:t xml:space="preserve">Punto </w:t>
      </w:r>
      <w:proofErr w:type="spellStart"/>
      <w:r w:rsidRPr="00126A15">
        <w:rPr>
          <w:rFonts w:eastAsiaTheme="minorEastAsia"/>
          <w:color w:val="404040" w:themeColor="text1" w:themeTint="BF"/>
          <w:sz w:val="22"/>
          <w:szCs w:val="22"/>
        </w:rPr>
        <w:t>único</w:t>
      </w:r>
      <w:proofErr w:type="spellEnd"/>
      <w:r w:rsidRPr="00126A15">
        <w:rPr>
          <w:rFonts w:eastAsiaTheme="minorEastAsia"/>
          <w:color w:val="404040" w:themeColor="text1" w:themeTint="BF"/>
          <w:sz w:val="22"/>
          <w:szCs w:val="22"/>
        </w:rPr>
        <w:t xml:space="preserve"> de </w:t>
      </w:r>
      <w:proofErr w:type="spellStart"/>
      <w:r w:rsidRPr="00126A15">
        <w:rPr>
          <w:rFonts w:eastAsiaTheme="minorEastAsia"/>
          <w:color w:val="404040" w:themeColor="text1" w:themeTint="BF"/>
          <w:sz w:val="22"/>
          <w:szCs w:val="22"/>
        </w:rPr>
        <w:t>contacto</w:t>
      </w:r>
      <w:proofErr w:type="spellEnd"/>
    </w:p>
    <w:p w14:paraId="74A6EBEC" w14:textId="77777777" w:rsidR="00E73C6C" w:rsidRDefault="00E73C6C" w:rsidP="00E73C6C">
      <w:pPr>
        <w:pStyle w:val="Estilo3"/>
        <w:rPr>
          <w:color w:val="404040" w:themeColor="text1" w:themeTint="BF"/>
          <w:lang w:val="es-CL"/>
        </w:rPr>
      </w:pPr>
    </w:p>
    <w:p w14:paraId="3CAC4F12" w14:textId="77777777" w:rsidR="00CB1442" w:rsidRDefault="00CB1442" w:rsidP="00E73C6C">
      <w:pPr>
        <w:pStyle w:val="Estilo3"/>
        <w:rPr>
          <w:color w:val="404040" w:themeColor="text1" w:themeTint="BF"/>
          <w:lang w:val="es-CL"/>
        </w:rPr>
      </w:pPr>
    </w:p>
    <w:p w14:paraId="0D8F521F" w14:textId="77777777" w:rsidR="00E73C6C" w:rsidRPr="00E73C6C" w:rsidRDefault="00E73C6C" w:rsidP="00E73C6C">
      <w:pPr>
        <w:pStyle w:val="Estilo3"/>
        <w:rPr>
          <w:b/>
          <w:lang w:val="es-CL"/>
        </w:rPr>
      </w:pPr>
      <w:r w:rsidRPr="00E73C6C">
        <w:rPr>
          <w:b/>
          <w:lang w:val="es-CL"/>
        </w:rPr>
        <w:t>Preguntas a responder:</w:t>
      </w:r>
    </w:p>
    <w:p w14:paraId="675A482A" w14:textId="77777777" w:rsidR="00E73C6C" w:rsidRDefault="00E73C6C" w:rsidP="00E73C6C">
      <w:pPr>
        <w:pStyle w:val="Estilo3"/>
        <w:rPr>
          <w:color w:val="404040" w:themeColor="text1" w:themeTint="BF"/>
          <w:sz w:val="32"/>
          <w:lang w:val="es-CL"/>
        </w:rPr>
      </w:pPr>
    </w:p>
    <w:p w14:paraId="77A82E0B" w14:textId="5A61596B" w:rsidR="00126A15" w:rsidRPr="00D876BB" w:rsidRDefault="00126A15" w:rsidP="00126A15">
      <w:pPr>
        <w:pStyle w:val="Estilo3"/>
        <w:numPr>
          <w:ilvl w:val="0"/>
          <w:numId w:val="42"/>
        </w:numPr>
        <w:rPr>
          <w:rFonts w:eastAsiaTheme="minorEastAsia"/>
          <w:b/>
          <w:color w:val="404040" w:themeColor="text1" w:themeTint="BF"/>
          <w:sz w:val="22"/>
          <w:szCs w:val="22"/>
          <w:lang w:val="es-ES"/>
        </w:rPr>
      </w:pPr>
      <w:r w:rsidRPr="00D876BB">
        <w:rPr>
          <w:rFonts w:eastAsiaTheme="minorEastAsia"/>
          <w:b/>
          <w:color w:val="404040" w:themeColor="text1" w:themeTint="BF"/>
          <w:sz w:val="22"/>
          <w:szCs w:val="22"/>
          <w:lang w:val="es-ES"/>
        </w:rPr>
        <w:t>¿La fase de operación del servicio se relaciona más con el largo plazo o con el día a día (corto plazo)?</w:t>
      </w:r>
    </w:p>
    <w:p w14:paraId="63B031A4" w14:textId="1FA93798" w:rsidR="00D876BB" w:rsidRDefault="00D876BB" w:rsidP="00D876BB">
      <w:pPr>
        <w:pStyle w:val="Estilo3"/>
        <w:ind w:left="720"/>
        <w:rPr>
          <w:rFonts w:eastAsiaTheme="minorEastAsia"/>
          <w:color w:val="404040" w:themeColor="text1" w:themeTint="BF"/>
          <w:sz w:val="22"/>
          <w:szCs w:val="22"/>
          <w:lang w:val="es-ES"/>
        </w:rPr>
      </w:pPr>
    </w:p>
    <w:p w14:paraId="2CA81522" w14:textId="65D0AB7A"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r w:rsidRPr="00D876BB">
        <w:rPr>
          <w:rFonts w:eastAsiaTheme="minorEastAsia"/>
          <w:b/>
          <w:color w:val="404040" w:themeColor="text1" w:themeTint="BF"/>
          <w:sz w:val="22"/>
          <w:szCs w:val="22"/>
          <w:lang w:val="es-ES"/>
        </w:rPr>
        <w:t>Monitorización y control.</w:t>
      </w:r>
      <w:r>
        <w:rPr>
          <w:rFonts w:eastAsiaTheme="minorEastAsia"/>
          <w:color w:val="404040" w:themeColor="text1" w:themeTint="BF"/>
          <w:sz w:val="22"/>
          <w:szCs w:val="22"/>
          <w:lang w:val="es-ES"/>
        </w:rPr>
        <w:t xml:space="preserve"> </w:t>
      </w:r>
      <w:r w:rsidRPr="00D876BB">
        <w:rPr>
          <w:rFonts w:eastAsiaTheme="minorEastAsia"/>
          <w:color w:val="404040" w:themeColor="text1" w:themeTint="BF"/>
          <w:sz w:val="22"/>
          <w:szCs w:val="22"/>
          <w:lang w:val="es-ES"/>
        </w:rPr>
        <w:t>Se trata de la observación de una situación expresa para detectar cambios a lo largo del tiempo. En la fase de Operación del servicio, la monitorización incluye:</w:t>
      </w:r>
    </w:p>
    <w:p w14:paraId="473F91B2"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6CC52A0F" w14:textId="799CDF55"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 xml:space="preserve">Monitorizar los </w:t>
      </w:r>
      <w:proofErr w:type="spellStart"/>
      <w:r w:rsidRPr="00D876BB">
        <w:rPr>
          <w:rFonts w:eastAsiaTheme="minorEastAsia"/>
          <w:color w:val="404040" w:themeColor="text1" w:themeTint="BF"/>
          <w:sz w:val="22"/>
          <w:szCs w:val="22"/>
          <w:lang w:val="es-ES"/>
        </w:rPr>
        <w:t>CIs</w:t>
      </w:r>
      <w:proofErr w:type="spellEnd"/>
      <w:r w:rsidRPr="00D876BB">
        <w:rPr>
          <w:rFonts w:eastAsiaTheme="minorEastAsia"/>
          <w:color w:val="404040" w:themeColor="text1" w:themeTint="BF"/>
          <w:sz w:val="22"/>
          <w:szCs w:val="22"/>
          <w:lang w:val="es-ES"/>
        </w:rPr>
        <w:t xml:space="preserve"> y actividades clave.</w:t>
      </w:r>
    </w:p>
    <w:p w14:paraId="62EB7DD4" w14:textId="7BB55628"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Cumplir las condiciones establecidas y, en caso contrario, proponer al grupo adecuado.</w:t>
      </w:r>
    </w:p>
    <w:p w14:paraId="7F471BEF" w14:textId="151E5491"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He de asegurar que el rendimiento y utilización de componentes o sistemas se encuentran dentro de un rango previsto.</w:t>
      </w:r>
    </w:p>
    <w:p w14:paraId="66078B92" w14:textId="6E652E0D"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Detectar niveles de actividad incorrectos en la infraestructura.</w:t>
      </w:r>
    </w:p>
    <w:p w14:paraId="4A8241AC" w14:textId="51505EB6"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Detectar cambios no autorizados.</w:t>
      </w:r>
    </w:p>
    <w:p w14:paraId="021E30F7" w14:textId="30E1A806"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Garantizar el cumplimiento de las políticas de la empresa.</w:t>
      </w:r>
    </w:p>
    <w:p w14:paraId="5B492029" w14:textId="2415E4A6"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Observar las salidas al negocio y asegurarse de que se ajustan a los requisitos de calidad y rendimiento acordados.</w:t>
      </w:r>
    </w:p>
    <w:p w14:paraId="1F63BA16" w14:textId="626BBA50"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 xml:space="preserve">Conocer cualquier información empleada para medir los </w:t>
      </w:r>
      <w:proofErr w:type="spellStart"/>
      <w:r w:rsidRPr="00D876BB">
        <w:rPr>
          <w:rFonts w:eastAsiaTheme="minorEastAsia"/>
          <w:color w:val="404040" w:themeColor="text1" w:themeTint="BF"/>
          <w:sz w:val="22"/>
          <w:szCs w:val="22"/>
          <w:lang w:val="es-ES"/>
        </w:rPr>
        <w:t>KPIs</w:t>
      </w:r>
      <w:proofErr w:type="spellEnd"/>
      <w:r w:rsidRPr="00D876BB">
        <w:rPr>
          <w:rFonts w:eastAsiaTheme="minorEastAsia"/>
          <w:color w:val="404040" w:themeColor="text1" w:themeTint="BF"/>
          <w:sz w:val="22"/>
          <w:szCs w:val="22"/>
          <w:lang w:val="es-ES"/>
        </w:rPr>
        <w:t>.</w:t>
      </w:r>
    </w:p>
    <w:p w14:paraId="4FE6ABC4" w14:textId="6EAEE61B"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El modelo más extendido para definir el control es el Ciclo de Monitorización-Control. Este ciclo puede ser de tipo abierto o cerrado.</w:t>
      </w:r>
    </w:p>
    <w:p w14:paraId="5F586CDF"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5E558BB7" w14:textId="77777777" w:rsidR="00D876BB" w:rsidRPr="00D876BB" w:rsidRDefault="00D876BB" w:rsidP="00D876BB">
      <w:pPr>
        <w:pStyle w:val="Estilo3"/>
        <w:spacing w:line="276" w:lineRule="auto"/>
        <w:ind w:left="720"/>
        <w:rPr>
          <w:rFonts w:eastAsiaTheme="minorEastAsia"/>
          <w:b/>
          <w:color w:val="404040" w:themeColor="text1" w:themeTint="BF"/>
          <w:sz w:val="22"/>
          <w:szCs w:val="22"/>
          <w:lang w:val="es-ES"/>
        </w:rPr>
      </w:pPr>
      <w:r w:rsidRPr="00D876BB">
        <w:rPr>
          <w:rFonts w:eastAsiaTheme="minorEastAsia"/>
          <w:color w:val="404040" w:themeColor="text1" w:themeTint="BF"/>
          <w:sz w:val="22"/>
          <w:szCs w:val="22"/>
          <w:lang w:val="es-ES"/>
        </w:rPr>
        <w:t xml:space="preserve">La monitorización tiene dos niveles de actuación, </w:t>
      </w:r>
      <w:r w:rsidRPr="00D876BB">
        <w:rPr>
          <w:rFonts w:eastAsiaTheme="minorEastAsia"/>
          <w:b/>
          <w:color w:val="404040" w:themeColor="text1" w:themeTint="BF"/>
          <w:sz w:val="22"/>
          <w:szCs w:val="22"/>
          <w:lang w:val="es-ES"/>
        </w:rPr>
        <w:t>monitorización y control interno</w:t>
      </w:r>
      <w:r w:rsidRPr="00D876BB">
        <w:rPr>
          <w:rFonts w:eastAsiaTheme="minorEastAsia"/>
          <w:color w:val="404040" w:themeColor="text1" w:themeTint="BF"/>
          <w:sz w:val="22"/>
          <w:szCs w:val="22"/>
          <w:lang w:val="es-ES"/>
        </w:rPr>
        <w:t xml:space="preserve">, y </w:t>
      </w:r>
      <w:r w:rsidRPr="00D876BB">
        <w:rPr>
          <w:rFonts w:eastAsiaTheme="minorEastAsia"/>
          <w:b/>
          <w:color w:val="404040" w:themeColor="text1" w:themeTint="BF"/>
          <w:sz w:val="22"/>
          <w:szCs w:val="22"/>
          <w:lang w:val="es-ES"/>
        </w:rPr>
        <w:t>monitorización y control externos.</w:t>
      </w:r>
    </w:p>
    <w:p w14:paraId="12DDCA1E"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619FA42F"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Podemos distinguir distintos tipos de monitorización según tres factores:</w:t>
      </w:r>
    </w:p>
    <w:p w14:paraId="446A7D42"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4454332E" w14:textId="1D43A897" w:rsidR="00D876BB" w:rsidRPr="00D876BB" w:rsidRDefault="00D876BB" w:rsidP="00D876BB">
      <w:pPr>
        <w:pStyle w:val="Estilo3"/>
        <w:numPr>
          <w:ilvl w:val="0"/>
          <w:numId w:val="44"/>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Monitorización activa vs. Pasiv</w:t>
      </w:r>
      <w:r>
        <w:rPr>
          <w:rFonts w:eastAsiaTheme="minorEastAsia"/>
          <w:color w:val="404040" w:themeColor="text1" w:themeTint="BF"/>
          <w:sz w:val="22"/>
          <w:szCs w:val="22"/>
          <w:lang w:val="es-ES"/>
        </w:rPr>
        <w:t>a.</w:t>
      </w:r>
    </w:p>
    <w:p w14:paraId="6D3C3C42" w14:textId="1A902777" w:rsidR="00D876BB" w:rsidRPr="00D876BB" w:rsidRDefault="00D876BB" w:rsidP="00D876BB">
      <w:pPr>
        <w:pStyle w:val="Estilo3"/>
        <w:numPr>
          <w:ilvl w:val="0"/>
          <w:numId w:val="44"/>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 xml:space="preserve">Monitorización reactiva vs. </w:t>
      </w:r>
      <w:proofErr w:type="spellStart"/>
      <w:r w:rsidRPr="00D876BB">
        <w:rPr>
          <w:rFonts w:eastAsiaTheme="minorEastAsia"/>
          <w:color w:val="404040" w:themeColor="text1" w:themeTint="BF"/>
          <w:sz w:val="22"/>
          <w:szCs w:val="22"/>
          <w:lang w:val="es-ES"/>
        </w:rPr>
        <w:t>Pre</w:t>
      </w:r>
      <w:r>
        <w:rPr>
          <w:rFonts w:eastAsiaTheme="minorEastAsia"/>
          <w:color w:val="404040" w:themeColor="text1" w:themeTint="BF"/>
          <w:sz w:val="22"/>
          <w:szCs w:val="22"/>
          <w:lang w:val="es-ES"/>
        </w:rPr>
        <w:t>-</w:t>
      </w:r>
      <w:r w:rsidRPr="00D876BB">
        <w:rPr>
          <w:rFonts w:eastAsiaTheme="minorEastAsia"/>
          <w:color w:val="404040" w:themeColor="text1" w:themeTint="BF"/>
          <w:sz w:val="22"/>
          <w:szCs w:val="22"/>
          <w:lang w:val="es-ES"/>
        </w:rPr>
        <w:t>activa</w:t>
      </w:r>
      <w:proofErr w:type="spellEnd"/>
      <w:r>
        <w:rPr>
          <w:rFonts w:eastAsiaTheme="minorEastAsia"/>
          <w:color w:val="404040" w:themeColor="text1" w:themeTint="BF"/>
          <w:sz w:val="22"/>
          <w:szCs w:val="22"/>
          <w:lang w:val="es-ES"/>
        </w:rPr>
        <w:t>.</w:t>
      </w:r>
    </w:p>
    <w:p w14:paraId="39C68D26" w14:textId="2746BA87" w:rsidR="00D876BB" w:rsidRDefault="00D876BB" w:rsidP="00D876BB">
      <w:pPr>
        <w:pStyle w:val="Estilo3"/>
        <w:numPr>
          <w:ilvl w:val="0"/>
          <w:numId w:val="44"/>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Medición continuada vs. basada en excepciones</w:t>
      </w:r>
      <w:r>
        <w:rPr>
          <w:rFonts w:eastAsiaTheme="minorEastAsia"/>
          <w:color w:val="404040" w:themeColor="text1" w:themeTint="BF"/>
          <w:sz w:val="22"/>
          <w:szCs w:val="22"/>
          <w:lang w:val="es-ES"/>
        </w:rPr>
        <w:t>.</w:t>
      </w:r>
    </w:p>
    <w:p w14:paraId="49221C8C" w14:textId="77777777" w:rsidR="00D876BB" w:rsidRDefault="00D876BB">
      <w:pPr>
        <w:spacing w:after="200" w:line="276" w:lineRule="auto"/>
        <w:rPr>
          <w:rFonts w:asciiTheme="minorHAnsi" w:eastAsiaTheme="minorEastAsia" w:hAnsiTheme="minorHAnsi"/>
          <w:color w:val="404040" w:themeColor="text1" w:themeTint="BF"/>
          <w:sz w:val="22"/>
          <w:szCs w:val="22"/>
          <w:lang w:val="es-ES"/>
        </w:rPr>
      </w:pPr>
      <w:r>
        <w:rPr>
          <w:rFonts w:eastAsiaTheme="minorEastAsia"/>
          <w:color w:val="404040" w:themeColor="text1" w:themeTint="BF"/>
          <w:sz w:val="22"/>
          <w:szCs w:val="22"/>
          <w:lang w:val="es-ES"/>
        </w:rPr>
        <w:br w:type="page"/>
      </w:r>
    </w:p>
    <w:p w14:paraId="64F6A5F3" w14:textId="77777777" w:rsidR="00D876BB" w:rsidRPr="00483A8E" w:rsidRDefault="00D876BB" w:rsidP="00D876BB">
      <w:pPr>
        <w:pStyle w:val="Estilo3"/>
        <w:ind w:left="720"/>
        <w:rPr>
          <w:rFonts w:eastAsiaTheme="minorEastAsia"/>
          <w:color w:val="404040" w:themeColor="text1" w:themeTint="BF"/>
          <w:sz w:val="22"/>
          <w:szCs w:val="22"/>
          <w:lang w:val="es-ES"/>
        </w:rPr>
      </w:pPr>
    </w:p>
    <w:p w14:paraId="09FB4772" w14:textId="4E12A4F5" w:rsidR="00126A15" w:rsidRPr="000F0D31" w:rsidRDefault="00126A15" w:rsidP="000F0D31">
      <w:pPr>
        <w:pStyle w:val="Estilo3"/>
        <w:numPr>
          <w:ilvl w:val="0"/>
          <w:numId w:val="42"/>
        </w:numPr>
        <w:spacing w:after="240"/>
        <w:rPr>
          <w:rFonts w:eastAsiaTheme="minorEastAsia"/>
          <w:b/>
          <w:color w:val="404040" w:themeColor="text1" w:themeTint="BF"/>
          <w:sz w:val="22"/>
          <w:szCs w:val="22"/>
          <w:lang w:val="es-ES"/>
        </w:rPr>
      </w:pPr>
      <w:bookmarkStart w:id="0" w:name="_GoBack"/>
      <w:r w:rsidRPr="000F0D31">
        <w:rPr>
          <w:rFonts w:eastAsiaTheme="minorEastAsia"/>
          <w:b/>
          <w:color w:val="404040" w:themeColor="text1" w:themeTint="BF"/>
          <w:sz w:val="22"/>
          <w:szCs w:val="22"/>
          <w:lang w:val="es-ES"/>
        </w:rPr>
        <w:t>¿Los servicios deben ser provistos (en parte o total) por un solo proveedor o pueden ser provistos por varios proveedores?</w:t>
      </w:r>
    </w:p>
    <w:bookmarkEnd w:id="0"/>
    <w:p w14:paraId="7F1D0BC8" w14:textId="4B63E13D" w:rsidR="000F0D31" w:rsidRPr="000F0D31" w:rsidRDefault="000F0D31" w:rsidP="000F0D31">
      <w:pPr>
        <w:pStyle w:val="Estilo3"/>
        <w:ind w:left="360"/>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 xml:space="preserve">La estrategia de servicio es la etapa central del ciclo de vida del servicio. El propósito de esta etapa es definir un enfoque estratégico para la gestión de servicios en todo el ciclo de vida. Esto incluye la </w:t>
      </w:r>
      <w:r w:rsidRPr="000F0D31">
        <w:rPr>
          <w:rFonts w:eastAsiaTheme="minorEastAsia"/>
          <w:color w:val="404040" w:themeColor="text1" w:themeTint="BF"/>
          <w:sz w:val="22"/>
          <w:szCs w:val="22"/>
          <w:lang w:val="es-ES"/>
        </w:rPr>
        <w:t>comprensión de</w:t>
      </w:r>
      <w:r w:rsidRPr="000F0D31">
        <w:rPr>
          <w:rFonts w:eastAsiaTheme="minorEastAsia"/>
          <w:color w:val="404040" w:themeColor="text1" w:themeTint="BF"/>
          <w:sz w:val="22"/>
          <w:szCs w:val="22"/>
          <w:lang w:val="es-ES"/>
        </w:rPr>
        <w:t xml:space="preserve"> las expectativas del negocio, su posición, los planes futuros, y las actividades </w:t>
      </w:r>
      <w:r w:rsidRPr="000F0D31">
        <w:rPr>
          <w:rFonts w:eastAsiaTheme="minorEastAsia"/>
          <w:color w:val="404040" w:themeColor="text1" w:themeTint="BF"/>
          <w:sz w:val="22"/>
          <w:szCs w:val="22"/>
          <w:lang w:val="es-ES"/>
        </w:rPr>
        <w:t>necesarias que</w:t>
      </w:r>
      <w:r w:rsidRPr="000F0D31">
        <w:rPr>
          <w:rFonts w:eastAsiaTheme="minorEastAsia"/>
          <w:color w:val="404040" w:themeColor="text1" w:themeTint="BF"/>
          <w:sz w:val="22"/>
          <w:szCs w:val="22"/>
          <w:lang w:val="es-ES"/>
        </w:rPr>
        <w:t xml:space="preserve"> permitan ofrecer servicios que satisfagan las necesidades del negocio.</w:t>
      </w:r>
    </w:p>
    <w:p w14:paraId="1859E6C7" w14:textId="77777777" w:rsidR="000F0D31" w:rsidRPr="000F0D31" w:rsidRDefault="000F0D31" w:rsidP="000F0D31">
      <w:pPr>
        <w:pStyle w:val="Estilo3"/>
        <w:ind w:left="360"/>
        <w:rPr>
          <w:rFonts w:eastAsiaTheme="minorEastAsia"/>
          <w:color w:val="404040" w:themeColor="text1" w:themeTint="BF"/>
          <w:sz w:val="22"/>
          <w:szCs w:val="22"/>
          <w:lang w:val="es-ES"/>
        </w:rPr>
      </w:pPr>
    </w:p>
    <w:p w14:paraId="4BF72228" w14:textId="77777777" w:rsidR="000F0D31" w:rsidRPr="000F0D31" w:rsidRDefault="000F0D31" w:rsidP="000F0D31">
      <w:pPr>
        <w:pStyle w:val="Estilo3"/>
        <w:ind w:left="360"/>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Los objetivos que se incluyen en la estrategia son:</w:t>
      </w:r>
    </w:p>
    <w:p w14:paraId="62E62568" w14:textId="77777777" w:rsidR="000F0D31" w:rsidRPr="000F0D31" w:rsidRDefault="000F0D31" w:rsidP="000F0D31">
      <w:pPr>
        <w:pStyle w:val="Estilo3"/>
        <w:ind w:left="360"/>
        <w:rPr>
          <w:rFonts w:eastAsiaTheme="minorEastAsia"/>
          <w:color w:val="404040" w:themeColor="text1" w:themeTint="BF"/>
          <w:sz w:val="22"/>
          <w:szCs w:val="22"/>
          <w:lang w:val="es-ES"/>
        </w:rPr>
      </w:pPr>
    </w:p>
    <w:p w14:paraId="3235EE8F" w14:textId="4398BAD1" w:rsidR="000F0D31" w:rsidRPr="000F0D31" w:rsidRDefault="000F0D31" w:rsidP="000F0D31">
      <w:pPr>
        <w:pStyle w:val="Estilo3"/>
        <w:numPr>
          <w:ilvl w:val="0"/>
          <w:numId w:val="44"/>
        </w:numPr>
        <w:spacing w:line="276" w:lineRule="auto"/>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Comprender lo que es la estrategia</w:t>
      </w:r>
      <w:r>
        <w:rPr>
          <w:rFonts w:eastAsiaTheme="minorEastAsia"/>
          <w:color w:val="404040" w:themeColor="text1" w:themeTint="BF"/>
          <w:sz w:val="22"/>
          <w:szCs w:val="22"/>
          <w:lang w:val="es-ES"/>
        </w:rPr>
        <w:t>.</w:t>
      </w:r>
    </w:p>
    <w:p w14:paraId="5A0DAD61" w14:textId="599A17BD" w:rsidR="000F0D31" w:rsidRPr="000F0D31" w:rsidRDefault="000F0D31" w:rsidP="000F0D31">
      <w:pPr>
        <w:pStyle w:val="Estilo3"/>
        <w:numPr>
          <w:ilvl w:val="0"/>
          <w:numId w:val="44"/>
        </w:numPr>
        <w:spacing w:line="276" w:lineRule="auto"/>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Identificar servicios que utilizaran los clientes</w:t>
      </w:r>
      <w:r>
        <w:rPr>
          <w:rFonts w:eastAsiaTheme="minorEastAsia"/>
          <w:color w:val="404040" w:themeColor="text1" w:themeTint="BF"/>
          <w:sz w:val="22"/>
          <w:szCs w:val="22"/>
          <w:lang w:val="es-ES"/>
        </w:rPr>
        <w:t>.</w:t>
      </w:r>
    </w:p>
    <w:p w14:paraId="59C13C60" w14:textId="6ACBF53F" w:rsidR="000F0D31" w:rsidRPr="000F0D31" w:rsidRDefault="000F0D31" w:rsidP="000F0D31">
      <w:pPr>
        <w:pStyle w:val="Estilo3"/>
        <w:numPr>
          <w:ilvl w:val="0"/>
          <w:numId w:val="44"/>
        </w:numPr>
        <w:spacing w:line="276" w:lineRule="auto"/>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Comprender la creación y entrega de valor</w:t>
      </w:r>
      <w:r>
        <w:rPr>
          <w:rFonts w:eastAsiaTheme="minorEastAsia"/>
          <w:color w:val="404040" w:themeColor="text1" w:themeTint="BF"/>
          <w:sz w:val="22"/>
          <w:szCs w:val="22"/>
          <w:lang w:val="es-ES"/>
        </w:rPr>
        <w:t>.</w:t>
      </w:r>
    </w:p>
    <w:p w14:paraId="65361C6B" w14:textId="19C7485B" w:rsidR="000F0D31" w:rsidRPr="000F0D31" w:rsidRDefault="000F0D31" w:rsidP="000F0D31">
      <w:pPr>
        <w:pStyle w:val="Estilo3"/>
        <w:numPr>
          <w:ilvl w:val="0"/>
          <w:numId w:val="44"/>
        </w:numPr>
        <w:spacing w:line="276" w:lineRule="auto"/>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Proporcionar los medios para identificar oportunidades que permitan proporcionar servicios y cómo obtener lo mejor de estos</w:t>
      </w:r>
      <w:r>
        <w:rPr>
          <w:rFonts w:eastAsiaTheme="minorEastAsia"/>
          <w:color w:val="404040" w:themeColor="text1" w:themeTint="BF"/>
          <w:sz w:val="22"/>
          <w:szCs w:val="22"/>
          <w:lang w:val="es-ES"/>
        </w:rPr>
        <w:t>.</w:t>
      </w:r>
    </w:p>
    <w:p w14:paraId="67ED2423" w14:textId="1EA3E0BE" w:rsidR="000F0D31" w:rsidRPr="000F0D31" w:rsidRDefault="000F0D31" w:rsidP="000F0D31">
      <w:pPr>
        <w:pStyle w:val="Estilo3"/>
        <w:numPr>
          <w:ilvl w:val="0"/>
          <w:numId w:val="44"/>
        </w:numPr>
        <w:spacing w:line="276" w:lineRule="auto"/>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Entrega de un modelo integral, en la que se identifique como se presentara y financiara el servicio, a quienes se entregara y el propósito de la entrega</w:t>
      </w:r>
      <w:r>
        <w:rPr>
          <w:rFonts w:eastAsiaTheme="minorEastAsia"/>
          <w:color w:val="404040" w:themeColor="text1" w:themeTint="BF"/>
          <w:sz w:val="22"/>
          <w:szCs w:val="22"/>
          <w:lang w:val="es-ES"/>
        </w:rPr>
        <w:t>.</w:t>
      </w:r>
    </w:p>
    <w:p w14:paraId="0F9048CE" w14:textId="691EFA5E" w:rsidR="000F0D31" w:rsidRPr="000F0D31" w:rsidRDefault="000F0D31" w:rsidP="000F0D31">
      <w:pPr>
        <w:pStyle w:val="Estilo3"/>
        <w:numPr>
          <w:ilvl w:val="0"/>
          <w:numId w:val="44"/>
        </w:numPr>
        <w:spacing w:line="276" w:lineRule="auto"/>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Comprender la capacidad de la organización que será necesaria para prestar servicios de acuerdo con la estrategia</w:t>
      </w:r>
    </w:p>
    <w:p w14:paraId="2D45C481" w14:textId="47CE4D07" w:rsidR="000F0D31" w:rsidRPr="000F0D31" w:rsidRDefault="000F0D31" w:rsidP="000F0D31">
      <w:pPr>
        <w:pStyle w:val="Estilo3"/>
        <w:spacing w:line="276" w:lineRule="auto"/>
        <w:ind w:left="360"/>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Coordinar y documentar el uso de los activos de servicios para la prestación de servicios</w:t>
      </w:r>
      <w:r>
        <w:rPr>
          <w:rFonts w:eastAsiaTheme="minorEastAsia"/>
          <w:color w:val="404040" w:themeColor="text1" w:themeTint="BF"/>
          <w:sz w:val="22"/>
          <w:szCs w:val="22"/>
          <w:lang w:val="es-ES"/>
        </w:rPr>
        <w:t>.</w:t>
      </w:r>
    </w:p>
    <w:p w14:paraId="68904F25" w14:textId="1CB5AA7D" w:rsidR="000F0D31" w:rsidRPr="000F0D31" w:rsidRDefault="000F0D31" w:rsidP="000F0D31">
      <w:pPr>
        <w:pStyle w:val="Estilo3"/>
        <w:numPr>
          <w:ilvl w:val="0"/>
          <w:numId w:val="44"/>
        </w:numPr>
        <w:spacing w:line="276" w:lineRule="auto"/>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Definir los procesos y servicios que ofrecerán los planes estratégicos para la gestión de servicios de TI y el nivel de inversión que será necesaria</w:t>
      </w:r>
      <w:r>
        <w:rPr>
          <w:rFonts w:eastAsiaTheme="minorEastAsia"/>
          <w:color w:val="404040" w:themeColor="text1" w:themeTint="BF"/>
          <w:sz w:val="22"/>
          <w:szCs w:val="22"/>
          <w:lang w:val="es-ES"/>
        </w:rPr>
        <w:t>.</w:t>
      </w:r>
    </w:p>
    <w:p w14:paraId="033926D2" w14:textId="6B516A0E" w:rsidR="000F0D31" w:rsidRPr="000F0D31" w:rsidRDefault="000F0D31" w:rsidP="000F0D31">
      <w:pPr>
        <w:pStyle w:val="Estilo3"/>
        <w:numPr>
          <w:ilvl w:val="0"/>
          <w:numId w:val="44"/>
        </w:numPr>
        <w:spacing w:line="276" w:lineRule="auto"/>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Comprender los niveles de demanda y la forma de establecer una relación entre el proveedor de servicios y el cliente</w:t>
      </w:r>
      <w:r>
        <w:rPr>
          <w:rFonts w:eastAsiaTheme="minorEastAsia"/>
          <w:color w:val="404040" w:themeColor="text1" w:themeTint="BF"/>
          <w:sz w:val="22"/>
          <w:szCs w:val="22"/>
          <w:lang w:val="es-ES"/>
        </w:rPr>
        <w:t>.</w:t>
      </w:r>
    </w:p>
    <w:p w14:paraId="6ED427A0" w14:textId="636D0801" w:rsidR="00D876BB" w:rsidRPr="00483A8E" w:rsidRDefault="000F0D31" w:rsidP="000F0D31">
      <w:pPr>
        <w:pStyle w:val="Estilo3"/>
        <w:numPr>
          <w:ilvl w:val="0"/>
          <w:numId w:val="44"/>
        </w:numPr>
        <w:spacing w:after="240" w:line="276" w:lineRule="auto"/>
        <w:rPr>
          <w:rFonts w:eastAsiaTheme="minorEastAsia"/>
          <w:color w:val="404040" w:themeColor="text1" w:themeTint="BF"/>
          <w:sz w:val="22"/>
          <w:szCs w:val="22"/>
          <w:lang w:val="es-ES"/>
        </w:rPr>
      </w:pPr>
      <w:r w:rsidRPr="000F0D31">
        <w:rPr>
          <w:rFonts w:eastAsiaTheme="minorEastAsia"/>
          <w:color w:val="404040" w:themeColor="text1" w:themeTint="BF"/>
          <w:sz w:val="22"/>
          <w:szCs w:val="22"/>
          <w:lang w:val="es-ES"/>
        </w:rPr>
        <w:t>La etapa de la estrategia de servicio proporciona una guía en la comprensión de las prácticas más importantes que deben ser empleadas para definir y llevar a cabo una estrategia de servicio en una organización proveedora de servicios.</w:t>
      </w:r>
    </w:p>
    <w:p w14:paraId="07F0A62D" w14:textId="0FE76DB2" w:rsidR="00126A15" w:rsidRPr="00837B9B" w:rsidRDefault="00D876BB" w:rsidP="00D213FB">
      <w:pPr>
        <w:pStyle w:val="Estilo3"/>
        <w:numPr>
          <w:ilvl w:val="0"/>
          <w:numId w:val="42"/>
        </w:numPr>
        <w:spacing w:after="240"/>
        <w:rPr>
          <w:rFonts w:eastAsiaTheme="minorEastAsia"/>
          <w:b/>
          <w:color w:val="404040" w:themeColor="text1" w:themeTint="BF"/>
          <w:sz w:val="22"/>
          <w:szCs w:val="22"/>
          <w:lang w:val="es-ES"/>
        </w:rPr>
      </w:pPr>
      <w:r w:rsidRPr="00837B9B">
        <w:rPr>
          <w:rFonts w:eastAsiaTheme="minorEastAsia"/>
          <w:b/>
          <w:color w:val="404040" w:themeColor="text1" w:themeTint="BF"/>
          <w:sz w:val="22"/>
          <w:szCs w:val="22"/>
          <w:lang w:val="es-ES"/>
        </w:rPr>
        <w:t>¿Qué proceso es el encargado de asegurar que el acceso a los servicios se provea sólo a quienes están autorizados a recibirlos?</w:t>
      </w:r>
      <w:r w:rsidR="007A478A" w:rsidRPr="00837B9B">
        <w:rPr>
          <w:rFonts w:eastAsiaTheme="minorEastAsia"/>
          <w:b/>
          <w:color w:val="404040" w:themeColor="text1" w:themeTint="BF"/>
          <w:sz w:val="22"/>
          <w:szCs w:val="22"/>
          <w:lang w:val="es-ES"/>
        </w:rPr>
        <w:t xml:space="preserve"> </w:t>
      </w:r>
    </w:p>
    <w:p w14:paraId="50A3D781" w14:textId="388F41D6"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color w:val="404040" w:themeColor="text1" w:themeTint="BF"/>
          <w:sz w:val="22"/>
          <w:szCs w:val="22"/>
          <w:lang w:val="es-ES"/>
        </w:rPr>
        <w:t>La gestión de acceso tiene como objetivo el permitir solo a usuarios autorizados el ingresar a sistemas informáticos, a su vez, prevenir que usuarios sin autorización puedan ingresar, esto mediante gestión de derecho o gestión de identidad, forma parte de la operación de servicios.</w:t>
      </w:r>
    </w:p>
    <w:p w14:paraId="21494F40" w14:textId="77777777"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color w:val="404040" w:themeColor="text1" w:themeTint="BF"/>
          <w:sz w:val="22"/>
          <w:szCs w:val="22"/>
          <w:lang w:val="es-ES"/>
        </w:rPr>
        <w:t>La operación de servicios tiene como función asegurar que los servicios TI se mantengan activos y eficientes, para lograr este objetivo se contempla la realización de mantenimiento, tanto preventivo como correctivo, atender las incidencias de los usuarios y cumplir con los requerimientos de estos, que fueron previamente pactados.</w:t>
      </w:r>
    </w:p>
    <w:p w14:paraId="14721ACD" w14:textId="6F7F8694" w:rsidR="000F0D31"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color w:val="404040" w:themeColor="text1" w:themeTint="BF"/>
          <w:sz w:val="22"/>
          <w:szCs w:val="22"/>
          <w:lang w:val="es-ES"/>
        </w:rPr>
        <w:t xml:space="preserve">Uno de los factores determinantes a la hora de introducir la gestión de acceso es la seguridad de TI, ya que un mal manejo en este sentido puede comprometer la continuidad del negocio, por otro lado, se debe dar acceso </w:t>
      </w:r>
      <w:r w:rsidRPr="00D213FB">
        <w:rPr>
          <w:rFonts w:eastAsiaTheme="minorEastAsia"/>
          <w:color w:val="404040" w:themeColor="text1" w:themeTint="BF"/>
          <w:sz w:val="22"/>
          <w:szCs w:val="22"/>
          <w:lang w:val="es-ES"/>
        </w:rPr>
        <w:lastRenderedPageBreak/>
        <w:t>solo a clientes que mantengan su situación de pago al día, por lo que el control de acceso también puede contemplar el corte de servicios a usuarios morosos.</w:t>
      </w:r>
    </w:p>
    <w:p w14:paraId="0A5ABD7A" w14:textId="77777777" w:rsidR="000F0D31" w:rsidRDefault="000F0D31">
      <w:pPr>
        <w:spacing w:after="200" w:line="276" w:lineRule="auto"/>
        <w:rPr>
          <w:rFonts w:asciiTheme="minorHAnsi" w:eastAsiaTheme="minorEastAsia" w:hAnsiTheme="minorHAnsi"/>
          <w:color w:val="404040" w:themeColor="text1" w:themeTint="BF"/>
          <w:sz w:val="22"/>
          <w:szCs w:val="22"/>
          <w:lang w:val="es-ES"/>
        </w:rPr>
      </w:pPr>
      <w:r>
        <w:rPr>
          <w:rFonts w:eastAsiaTheme="minorEastAsia"/>
          <w:color w:val="404040" w:themeColor="text1" w:themeTint="BF"/>
          <w:sz w:val="22"/>
          <w:szCs w:val="22"/>
          <w:lang w:val="es-ES"/>
        </w:rPr>
        <w:br w:type="page"/>
      </w:r>
    </w:p>
    <w:p w14:paraId="787AE810" w14:textId="11E670B9" w:rsidR="00D213FB" w:rsidRPr="00D213FB" w:rsidRDefault="00D213FB" w:rsidP="00D213FB">
      <w:pPr>
        <w:pStyle w:val="Estilo3"/>
        <w:ind w:left="720"/>
        <w:rPr>
          <w:rFonts w:eastAsiaTheme="minorEastAsia"/>
          <w:b/>
          <w:color w:val="404040" w:themeColor="text1" w:themeTint="BF"/>
          <w:sz w:val="22"/>
          <w:szCs w:val="22"/>
          <w:lang w:val="es-ES"/>
        </w:rPr>
      </w:pPr>
      <w:r w:rsidRPr="00D213FB">
        <w:rPr>
          <w:rFonts w:eastAsiaTheme="minorEastAsia"/>
          <w:b/>
          <w:color w:val="404040" w:themeColor="text1" w:themeTint="BF"/>
          <w:sz w:val="22"/>
          <w:szCs w:val="22"/>
          <w:lang w:val="es-ES"/>
        </w:rPr>
        <w:lastRenderedPageBreak/>
        <w:t>Denominación del proceso</w:t>
      </w:r>
      <w:r>
        <w:rPr>
          <w:rFonts w:eastAsiaTheme="minorEastAsia"/>
          <w:b/>
          <w:color w:val="404040" w:themeColor="text1" w:themeTint="BF"/>
          <w:sz w:val="22"/>
          <w:szCs w:val="22"/>
          <w:lang w:val="es-ES"/>
        </w:rPr>
        <w:t>.</w:t>
      </w:r>
      <w:r w:rsidRPr="00D213FB">
        <w:rPr>
          <w:rFonts w:eastAsiaTheme="minorEastAsia"/>
          <w:b/>
          <w:color w:val="404040" w:themeColor="text1" w:themeTint="BF"/>
          <w:sz w:val="22"/>
          <w:szCs w:val="22"/>
          <w:lang w:val="es-ES"/>
        </w:rPr>
        <w:t xml:space="preserve"> </w:t>
      </w:r>
      <w:r w:rsidRPr="00D213FB">
        <w:rPr>
          <w:rFonts w:eastAsiaTheme="minorEastAsia"/>
          <w:color w:val="404040" w:themeColor="text1" w:themeTint="BF"/>
          <w:sz w:val="22"/>
          <w:szCs w:val="22"/>
          <w:lang w:val="es-ES"/>
        </w:rPr>
        <w:t>Access Management</w:t>
      </w:r>
    </w:p>
    <w:p w14:paraId="1E25937E" w14:textId="74FDDDE1" w:rsidR="00D213FB" w:rsidRPr="00D213FB" w:rsidRDefault="00D213FB" w:rsidP="00D213FB">
      <w:pPr>
        <w:pStyle w:val="Estilo3"/>
        <w:ind w:left="720"/>
        <w:rPr>
          <w:rFonts w:eastAsiaTheme="minorEastAsia"/>
          <w:b/>
          <w:color w:val="404040" w:themeColor="text1" w:themeTint="BF"/>
          <w:sz w:val="22"/>
          <w:szCs w:val="22"/>
          <w:lang w:val="es-ES"/>
        </w:rPr>
      </w:pPr>
      <w:r w:rsidRPr="00D213FB">
        <w:rPr>
          <w:rFonts w:eastAsiaTheme="minorEastAsia"/>
          <w:b/>
          <w:color w:val="404040" w:themeColor="text1" w:themeTint="BF"/>
          <w:sz w:val="22"/>
          <w:szCs w:val="22"/>
          <w:lang w:val="es-ES"/>
        </w:rPr>
        <w:t>Forma parte de</w:t>
      </w:r>
      <w:r>
        <w:rPr>
          <w:rFonts w:eastAsiaTheme="minorEastAsia"/>
          <w:b/>
          <w:color w:val="404040" w:themeColor="text1" w:themeTint="BF"/>
          <w:sz w:val="22"/>
          <w:szCs w:val="22"/>
          <w:lang w:val="es-ES"/>
        </w:rPr>
        <w:t>.</w:t>
      </w:r>
      <w:r w:rsidRPr="00D213FB">
        <w:rPr>
          <w:rFonts w:eastAsiaTheme="minorEastAsia"/>
          <w:b/>
          <w:color w:val="404040" w:themeColor="text1" w:themeTint="BF"/>
          <w:sz w:val="22"/>
          <w:szCs w:val="22"/>
          <w:lang w:val="es-ES"/>
        </w:rPr>
        <w:t xml:space="preserve"> </w:t>
      </w:r>
      <w:proofErr w:type="spellStart"/>
      <w:r w:rsidRPr="00D213FB">
        <w:rPr>
          <w:rFonts w:eastAsiaTheme="minorEastAsia"/>
          <w:color w:val="404040" w:themeColor="text1" w:themeTint="BF"/>
          <w:sz w:val="22"/>
          <w:szCs w:val="22"/>
          <w:lang w:val="es-ES"/>
        </w:rPr>
        <w:t>Service</w:t>
      </w:r>
      <w:proofErr w:type="spellEnd"/>
      <w:r w:rsidRPr="00D213FB">
        <w:rPr>
          <w:rFonts w:eastAsiaTheme="minorEastAsia"/>
          <w:color w:val="404040" w:themeColor="text1" w:themeTint="BF"/>
          <w:sz w:val="22"/>
          <w:szCs w:val="22"/>
          <w:lang w:val="es-ES"/>
        </w:rPr>
        <w:t xml:space="preserve"> </w:t>
      </w:r>
      <w:proofErr w:type="spellStart"/>
      <w:r w:rsidRPr="00D213FB">
        <w:rPr>
          <w:rFonts w:eastAsiaTheme="minorEastAsia"/>
          <w:color w:val="404040" w:themeColor="text1" w:themeTint="BF"/>
          <w:sz w:val="22"/>
          <w:szCs w:val="22"/>
          <w:lang w:val="es-ES"/>
        </w:rPr>
        <w:t>Operation</w:t>
      </w:r>
      <w:proofErr w:type="spellEnd"/>
      <w:r w:rsidRPr="00D213FB">
        <w:rPr>
          <w:rFonts w:eastAsiaTheme="minorEastAsia"/>
          <w:b/>
          <w:color w:val="404040" w:themeColor="text1" w:themeTint="BF"/>
          <w:sz w:val="22"/>
          <w:szCs w:val="22"/>
          <w:lang w:val="es-ES"/>
        </w:rPr>
        <w:t xml:space="preserve"> </w:t>
      </w:r>
    </w:p>
    <w:p w14:paraId="22980EFC" w14:textId="366563CB"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Propietario de proceso</w:t>
      </w:r>
      <w:r>
        <w:rPr>
          <w:rFonts w:eastAsiaTheme="minorEastAsia"/>
          <w:b/>
          <w:color w:val="404040" w:themeColor="text1" w:themeTint="BF"/>
          <w:sz w:val="22"/>
          <w:szCs w:val="22"/>
          <w:lang w:val="es-ES"/>
        </w:rPr>
        <w:t>.</w:t>
      </w:r>
      <w:r w:rsidRPr="00D213FB">
        <w:rPr>
          <w:rFonts w:eastAsiaTheme="minorEastAsia"/>
          <w:color w:val="404040" w:themeColor="text1" w:themeTint="BF"/>
          <w:sz w:val="22"/>
          <w:szCs w:val="22"/>
          <w:lang w:val="es-ES"/>
        </w:rPr>
        <w:t xml:space="preserve"> Gestor de acceso</w:t>
      </w:r>
    </w:p>
    <w:p w14:paraId="3E839497" w14:textId="77777777" w:rsidR="00D213FB" w:rsidRPr="00D213FB" w:rsidRDefault="00D213FB" w:rsidP="00D213FB">
      <w:pPr>
        <w:pStyle w:val="Estilo3"/>
        <w:spacing w:after="240"/>
        <w:ind w:left="720"/>
        <w:rPr>
          <w:rFonts w:eastAsiaTheme="minorEastAsia"/>
          <w:b/>
          <w:color w:val="404040" w:themeColor="text1" w:themeTint="BF"/>
          <w:sz w:val="22"/>
          <w:szCs w:val="22"/>
          <w:u w:val="single"/>
          <w:lang w:val="es-ES"/>
        </w:rPr>
      </w:pPr>
      <w:r w:rsidRPr="00D213FB">
        <w:rPr>
          <w:rFonts w:eastAsiaTheme="minorEastAsia"/>
          <w:b/>
          <w:color w:val="404040" w:themeColor="text1" w:themeTint="BF"/>
          <w:sz w:val="22"/>
          <w:szCs w:val="22"/>
          <w:u w:val="single"/>
          <w:lang w:val="es-ES"/>
        </w:rPr>
        <w:t>Dentro de este proceso podemos identificar algunos subprocesos.</w:t>
      </w:r>
    </w:p>
    <w:p w14:paraId="58E843CA" w14:textId="3B4CAD18"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Mantenimiento al catálogo de roles de usuario y perfiles de acceso.</w:t>
      </w:r>
      <w:r w:rsidRPr="00D213FB">
        <w:rPr>
          <w:rFonts w:eastAsiaTheme="minorEastAsia"/>
          <w:color w:val="404040" w:themeColor="text1" w:themeTint="BF"/>
          <w:sz w:val="22"/>
          <w:szCs w:val="22"/>
          <w:lang w:val="es-ES"/>
        </w:rPr>
        <w:t xml:space="preserve"> Asegurar que los privilegios otorgados a usuarios están acorde a sus funciones, prestaciones de servicio y otorgamiento de servicio.</w:t>
      </w:r>
    </w:p>
    <w:p w14:paraId="617D7B8A" w14:textId="1BC70339"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Procesamiento de solicitudes de acceso al usuario</w:t>
      </w:r>
      <w:r>
        <w:rPr>
          <w:rFonts w:eastAsiaTheme="minorEastAsia"/>
          <w:b/>
          <w:color w:val="404040" w:themeColor="text1" w:themeTint="BF"/>
          <w:sz w:val="22"/>
          <w:szCs w:val="22"/>
          <w:lang w:val="es-ES"/>
        </w:rPr>
        <w:t>.</w:t>
      </w:r>
      <w:r w:rsidRPr="00D213FB">
        <w:rPr>
          <w:rFonts w:eastAsiaTheme="minorEastAsia"/>
          <w:color w:val="404040" w:themeColor="text1" w:themeTint="BF"/>
          <w:sz w:val="22"/>
          <w:szCs w:val="22"/>
          <w:lang w:val="es-ES"/>
        </w:rPr>
        <w:t xml:space="preserve"> incluye las solicitudes de tipo CRUD, para mantener actualizados los privilegios de usuario.</w:t>
      </w:r>
    </w:p>
    <w:p w14:paraId="25F95133" w14:textId="77777777" w:rsidR="00D213FB" w:rsidRPr="00D213FB" w:rsidRDefault="00D213FB" w:rsidP="00D213FB">
      <w:pPr>
        <w:pStyle w:val="Estilo3"/>
        <w:spacing w:after="240"/>
        <w:ind w:left="720"/>
        <w:rPr>
          <w:rFonts w:eastAsiaTheme="minorEastAsia"/>
          <w:b/>
          <w:i/>
          <w:color w:val="404040" w:themeColor="text1" w:themeTint="BF"/>
          <w:sz w:val="22"/>
          <w:szCs w:val="22"/>
          <w:lang w:val="es-ES"/>
        </w:rPr>
      </w:pPr>
      <w:r w:rsidRPr="00D213FB">
        <w:rPr>
          <w:rFonts w:eastAsiaTheme="minorEastAsia"/>
          <w:b/>
          <w:i/>
          <w:color w:val="404040" w:themeColor="text1" w:themeTint="BF"/>
          <w:sz w:val="22"/>
          <w:szCs w:val="22"/>
          <w:lang w:val="es-ES"/>
        </w:rPr>
        <w:t>Para el correcto entendimiento de lo anterior añadiremos un pequeño glosario.</w:t>
      </w:r>
    </w:p>
    <w:p w14:paraId="68ACD2DD" w14:textId="4D1EA0BD"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Derechos de acceso.</w:t>
      </w:r>
      <w:r w:rsidRPr="00D213FB">
        <w:rPr>
          <w:rFonts w:eastAsiaTheme="minorEastAsia"/>
          <w:color w:val="404040" w:themeColor="text1" w:themeTint="BF"/>
          <w:sz w:val="22"/>
          <w:szCs w:val="22"/>
          <w:lang w:val="es-ES"/>
        </w:rPr>
        <w:t xml:space="preserve"> Corresponde a un conjunto de privilegios que otorga acceso a un usuario, esto se logra asignando a un usuario un identificador único y roles que contienen los privilegios de acceso.</w:t>
      </w:r>
    </w:p>
    <w:p w14:paraId="4922511C" w14:textId="1E5E40F6"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Solicitud de derechos de acceso.</w:t>
      </w:r>
      <w:r w:rsidRPr="00D213FB">
        <w:rPr>
          <w:rFonts w:eastAsiaTheme="minorEastAsia"/>
          <w:color w:val="404040" w:themeColor="text1" w:themeTint="BF"/>
          <w:sz w:val="22"/>
          <w:szCs w:val="22"/>
          <w:lang w:val="es-ES"/>
        </w:rPr>
        <w:t xml:space="preserve"> Es un pedido de tipo CRUD para modificar los privilegios de un usuario.</w:t>
      </w:r>
    </w:p>
    <w:p w14:paraId="448E7D6F" w14:textId="0498229A"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Registro de identidad de usuario.</w:t>
      </w:r>
      <w:r w:rsidRPr="00D213FB">
        <w:rPr>
          <w:rFonts w:eastAsiaTheme="minorEastAsia"/>
          <w:color w:val="404040" w:themeColor="text1" w:themeTint="BF"/>
          <w:sz w:val="22"/>
          <w:szCs w:val="22"/>
          <w:lang w:val="es-ES"/>
        </w:rPr>
        <w:t xml:space="preserve"> es un conjunto de datos que sirve para identificar a un usuario, al que a posteriori se les concederá acceso a los servicios establecidos.</w:t>
      </w:r>
    </w:p>
    <w:p w14:paraId="296ED222" w14:textId="115E1BF8"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Solicitud de identidad de usuario.</w:t>
      </w:r>
      <w:r w:rsidRPr="00D213FB">
        <w:rPr>
          <w:rFonts w:eastAsiaTheme="minorEastAsia"/>
          <w:color w:val="404040" w:themeColor="text1" w:themeTint="BF"/>
          <w:sz w:val="22"/>
          <w:szCs w:val="22"/>
          <w:lang w:val="es-ES"/>
        </w:rPr>
        <w:t xml:space="preserve"> Es un pedido de creación modificación o eliminación de la identidad de un usuario.</w:t>
      </w:r>
    </w:p>
    <w:p w14:paraId="1B802EC8" w14:textId="270AF5C1"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Rol de usuario.</w:t>
      </w:r>
      <w:r w:rsidRPr="00D213FB">
        <w:rPr>
          <w:rFonts w:eastAsiaTheme="minorEastAsia"/>
          <w:color w:val="404040" w:themeColor="text1" w:themeTint="BF"/>
          <w:sz w:val="22"/>
          <w:szCs w:val="22"/>
          <w:lang w:val="es-ES"/>
        </w:rPr>
        <w:t xml:space="preserve"> Forma parte del catálogo de roles, los derechos de acceso están basados en estos roles.</w:t>
      </w:r>
    </w:p>
    <w:p w14:paraId="3C67F3D2" w14:textId="18B2611D" w:rsidR="00D213FB" w:rsidRDefault="00D213FB" w:rsidP="00D213FB">
      <w:pPr>
        <w:pStyle w:val="Estilo3"/>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Perfil de acceso de roles de usuario.</w:t>
      </w:r>
      <w:r w:rsidRPr="00D213FB">
        <w:rPr>
          <w:rFonts w:eastAsiaTheme="minorEastAsia"/>
          <w:color w:val="404040" w:themeColor="text1" w:themeTint="BF"/>
          <w:sz w:val="22"/>
          <w:szCs w:val="22"/>
          <w:lang w:val="es-ES"/>
        </w:rPr>
        <w:t xml:space="preserve"> Es un conjunto de datos que definen el nivel de acceso del usuario.</w:t>
      </w:r>
    </w:p>
    <w:p w14:paraId="2FA57279" w14:textId="77777777" w:rsidR="00D876BB" w:rsidRPr="00483A8E" w:rsidRDefault="00D876BB" w:rsidP="00D876BB">
      <w:pPr>
        <w:pStyle w:val="Estilo3"/>
        <w:ind w:left="720"/>
        <w:rPr>
          <w:rFonts w:eastAsiaTheme="minorEastAsia"/>
          <w:color w:val="404040" w:themeColor="text1" w:themeTint="BF"/>
          <w:sz w:val="22"/>
          <w:szCs w:val="22"/>
          <w:lang w:val="es-ES"/>
        </w:rPr>
      </w:pPr>
    </w:p>
    <w:p w14:paraId="0951591C" w14:textId="715E1072" w:rsidR="00D876BB" w:rsidRPr="00FD45E7" w:rsidRDefault="00126A15" w:rsidP="00FD45E7">
      <w:pPr>
        <w:pStyle w:val="Estilo3"/>
        <w:numPr>
          <w:ilvl w:val="0"/>
          <w:numId w:val="42"/>
        </w:numPr>
        <w:spacing w:after="240"/>
        <w:rPr>
          <w:rFonts w:eastAsiaTheme="minorEastAsia"/>
          <w:b/>
          <w:color w:val="404040" w:themeColor="text1" w:themeTint="BF"/>
          <w:sz w:val="22"/>
          <w:szCs w:val="22"/>
          <w:lang w:val="es-ES"/>
        </w:rPr>
      </w:pPr>
      <w:r w:rsidRPr="00FD45E7">
        <w:rPr>
          <w:rFonts w:eastAsiaTheme="minorEastAsia"/>
          <w:b/>
          <w:color w:val="404040" w:themeColor="text1" w:themeTint="BF"/>
          <w:sz w:val="22"/>
          <w:szCs w:val="22"/>
          <w:lang w:val="es-ES"/>
        </w:rPr>
        <w:t>¿Cuál proceso minimiza el impacto de las disrupciones (caídas) de los servicios?</w:t>
      </w:r>
    </w:p>
    <w:p w14:paraId="5EE5243D"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 xml:space="preserve">El proceso encargado es el llamado </w:t>
      </w:r>
      <w:proofErr w:type="spellStart"/>
      <w:r w:rsidRPr="00FD45E7">
        <w:rPr>
          <w:rFonts w:eastAsiaTheme="minorEastAsia"/>
          <w:color w:val="404040" w:themeColor="text1" w:themeTint="BF"/>
          <w:sz w:val="22"/>
          <w:szCs w:val="22"/>
          <w:lang w:val="es-ES"/>
        </w:rPr>
        <w:t>Incident</w:t>
      </w:r>
      <w:proofErr w:type="spellEnd"/>
      <w:r w:rsidRPr="00FD45E7">
        <w:rPr>
          <w:rFonts w:eastAsiaTheme="minorEastAsia"/>
          <w:color w:val="404040" w:themeColor="text1" w:themeTint="BF"/>
          <w:sz w:val="22"/>
          <w:szCs w:val="22"/>
          <w:lang w:val="es-ES"/>
        </w:rPr>
        <w:t xml:space="preserve"> Management y su objetivo es procesar y reestablecer la operación normal del servicio en el menor tiempo posible y minimizando el impacto sobre el negocio.</w:t>
      </w:r>
    </w:p>
    <w:p w14:paraId="17AC21F6"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 xml:space="preserve">Lo anterior tiene cierto margen de acción previamente declarado en los SLA </w:t>
      </w:r>
      <w:r w:rsidRPr="00FD45E7">
        <w:rPr>
          <w:rFonts w:eastAsiaTheme="minorEastAsia"/>
          <w:b/>
          <w:color w:val="404040" w:themeColor="text1" w:themeTint="BF"/>
          <w:sz w:val="22"/>
          <w:szCs w:val="22"/>
          <w:lang w:val="es-ES"/>
        </w:rPr>
        <w:t>(Acuerdos de niveles de servicio)</w:t>
      </w:r>
      <w:r w:rsidRPr="00FD45E7">
        <w:rPr>
          <w:rFonts w:eastAsiaTheme="minorEastAsia"/>
          <w:color w:val="404040" w:themeColor="text1" w:themeTint="BF"/>
          <w:sz w:val="22"/>
          <w:szCs w:val="22"/>
          <w:lang w:val="es-ES"/>
        </w:rPr>
        <w:t>, en el que se acuerda el tiempo efectivo que tiene que estar operativo el servicio.</w:t>
      </w:r>
    </w:p>
    <w:p w14:paraId="419FA020"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En ITIL un incidente es la interrupción no planificada de un servicio TI, o la reducción de su calidad.</w:t>
      </w:r>
    </w:p>
    <w:p w14:paraId="23CEC996"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Los tiempos de escalamiento los define la organización, con el fin de manejar los incidentes de acuerdo con su nivel de dificultad o prioridad en la reposición.</w:t>
      </w:r>
    </w:p>
    <w:p w14:paraId="4F1850CA"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 xml:space="preserve">Los escalamientos por lo general están documentados en los OLA </w:t>
      </w:r>
      <w:r w:rsidRPr="00FD45E7">
        <w:rPr>
          <w:rFonts w:eastAsiaTheme="minorEastAsia"/>
          <w:b/>
          <w:color w:val="404040" w:themeColor="text1" w:themeTint="BF"/>
          <w:sz w:val="22"/>
          <w:szCs w:val="22"/>
          <w:lang w:val="es-ES"/>
        </w:rPr>
        <w:t>(</w:t>
      </w:r>
      <w:proofErr w:type="spellStart"/>
      <w:r w:rsidRPr="00FD45E7">
        <w:rPr>
          <w:rFonts w:eastAsiaTheme="minorEastAsia"/>
          <w:b/>
          <w:color w:val="404040" w:themeColor="text1" w:themeTint="BF"/>
          <w:sz w:val="22"/>
          <w:szCs w:val="22"/>
          <w:lang w:val="es-ES"/>
        </w:rPr>
        <w:t>Operational</w:t>
      </w:r>
      <w:proofErr w:type="spellEnd"/>
      <w:r w:rsidRPr="00FD45E7">
        <w:rPr>
          <w:rFonts w:eastAsiaTheme="minorEastAsia"/>
          <w:b/>
          <w:color w:val="404040" w:themeColor="text1" w:themeTint="BF"/>
          <w:sz w:val="22"/>
          <w:szCs w:val="22"/>
          <w:lang w:val="es-ES"/>
        </w:rPr>
        <w:t xml:space="preserve"> </w:t>
      </w:r>
      <w:proofErr w:type="spellStart"/>
      <w:r w:rsidRPr="00FD45E7">
        <w:rPr>
          <w:rFonts w:eastAsiaTheme="minorEastAsia"/>
          <w:b/>
          <w:color w:val="404040" w:themeColor="text1" w:themeTint="BF"/>
          <w:sz w:val="22"/>
          <w:szCs w:val="22"/>
          <w:lang w:val="es-ES"/>
        </w:rPr>
        <w:t>Level</w:t>
      </w:r>
      <w:proofErr w:type="spellEnd"/>
      <w:r w:rsidRPr="00FD45E7">
        <w:rPr>
          <w:rFonts w:eastAsiaTheme="minorEastAsia"/>
          <w:b/>
          <w:color w:val="404040" w:themeColor="text1" w:themeTint="BF"/>
          <w:sz w:val="22"/>
          <w:szCs w:val="22"/>
          <w:lang w:val="es-ES"/>
        </w:rPr>
        <w:t xml:space="preserve"> </w:t>
      </w:r>
      <w:proofErr w:type="spellStart"/>
      <w:r w:rsidRPr="00FD45E7">
        <w:rPr>
          <w:rFonts w:eastAsiaTheme="minorEastAsia"/>
          <w:b/>
          <w:color w:val="404040" w:themeColor="text1" w:themeTint="BF"/>
          <w:sz w:val="22"/>
          <w:szCs w:val="22"/>
          <w:lang w:val="es-ES"/>
        </w:rPr>
        <w:t>Agreements</w:t>
      </w:r>
      <w:proofErr w:type="spellEnd"/>
      <w:r w:rsidRPr="00FD45E7">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los cuales pueden ser delegados de forma interna o externa.</w:t>
      </w:r>
    </w:p>
    <w:p w14:paraId="2FA70118" w14:textId="77777777" w:rsidR="000F0D31" w:rsidRDefault="000F0D31">
      <w:pPr>
        <w:spacing w:after="200" w:line="276" w:lineRule="auto"/>
        <w:rPr>
          <w:rFonts w:asciiTheme="minorHAnsi" w:eastAsiaTheme="minorEastAsia" w:hAnsiTheme="minorHAnsi"/>
          <w:color w:val="404040" w:themeColor="text1" w:themeTint="BF"/>
          <w:sz w:val="22"/>
          <w:szCs w:val="22"/>
          <w:lang w:val="es-ES"/>
        </w:rPr>
      </w:pPr>
      <w:r>
        <w:rPr>
          <w:rFonts w:eastAsiaTheme="minorEastAsia"/>
          <w:color w:val="404040" w:themeColor="text1" w:themeTint="BF"/>
          <w:sz w:val="22"/>
          <w:szCs w:val="22"/>
          <w:lang w:val="es-ES"/>
        </w:rPr>
        <w:br w:type="page"/>
      </w:r>
    </w:p>
    <w:p w14:paraId="72E0324B" w14:textId="56239F66"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lastRenderedPageBreak/>
        <w:t>Los modelos de incidentes tienen una cronología definida y unas responsabilidades definidas para ser manejados.</w:t>
      </w:r>
    </w:p>
    <w:p w14:paraId="1DF64A14"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La prioridad es una combinación del impacto con la urgencia.</w:t>
      </w:r>
    </w:p>
    <w:p w14:paraId="0C84AB39" w14:textId="642094FD" w:rsidR="00FD45E7" w:rsidRPr="00FD45E7" w:rsidRDefault="00FD45E7" w:rsidP="00FD45E7">
      <w:pPr>
        <w:pStyle w:val="Estilo3"/>
        <w:numPr>
          <w:ilvl w:val="0"/>
          <w:numId w:val="44"/>
        </w:numPr>
        <w:spacing w:after="24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Gestión del cambio.</w:t>
      </w:r>
      <w:r w:rsidRPr="00FD45E7">
        <w:rPr>
          <w:rFonts w:eastAsiaTheme="minorEastAsia"/>
          <w:color w:val="404040" w:themeColor="text1" w:themeTint="BF"/>
          <w:sz w:val="22"/>
          <w:szCs w:val="22"/>
          <w:lang w:val="es-ES"/>
        </w:rPr>
        <w:t xml:space="preserve"> Es cuando un incidente requiere una solución o amerita RFC </w:t>
      </w:r>
      <w:r w:rsidRPr="00FD45E7">
        <w:rPr>
          <w:rFonts w:eastAsiaTheme="minorEastAsia"/>
          <w:b/>
          <w:color w:val="404040" w:themeColor="text1" w:themeTint="BF"/>
          <w:sz w:val="22"/>
          <w:szCs w:val="22"/>
          <w:lang w:val="es-ES"/>
        </w:rPr>
        <w:t>(</w:t>
      </w:r>
      <w:proofErr w:type="spellStart"/>
      <w:r w:rsidRPr="00FD45E7">
        <w:rPr>
          <w:rFonts w:eastAsiaTheme="minorEastAsia"/>
          <w:b/>
          <w:color w:val="404040" w:themeColor="text1" w:themeTint="BF"/>
          <w:sz w:val="22"/>
          <w:szCs w:val="22"/>
          <w:lang w:val="es-ES"/>
        </w:rPr>
        <w:t>Request</w:t>
      </w:r>
      <w:proofErr w:type="spellEnd"/>
      <w:r w:rsidRPr="00FD45E7">
        <w:rPr>
          <w:rFonts w:eastAsiaTheme="minorEastAsia"/>
          <w:b/>
          <w:color w:val="404040" w:themeColor="text1" w:themeTint="BF"/>
          <w:sz w:val="22"/>
          <w:szCs w:val="22"/>
          <w:lang w:val="es-ES"/>
        </w:rPr>
        <w:t xml:space="preserve"> </w:t>
      </w:r>
      <w:proofErr w:type="spellStart"/>
      <w:r w:rsidRPr="00FD45E7">
        <w:rPr>
          <w:rFonts w:eastAsiaTheme="minorEastAsia"/>
          <w:b/>
          <w:color w:val="404040" w:themeColor="text1" w:themeTint="BF"/>
          <w:sz w:val="22"/>
          <w:szCs w:val="22"/>
          <w:lang w:val="es-ES"/>
        </w:rPr>
        <w:t>for</w:t>
      </w:r>
      <w:proofErr w:type="spellEnd"/>
      <w:r w:rsidRPr="00FD45E7">
        <w:rPr>
          <w:rFonts w:eastAsiaTheme="minorEastAsia"/>
          <w:b/>
          <w:color w:val="404040" w:themeColor="text1" w:themeTint="BF"/>
          <w:sz w:val="22"/>
          <w:szCs w:val="22"/>
          <w:lang w:val="es-ES"/>
        </w:rPr>
        <w:t xml:space="preserve"> Change).</w:t>
      </w:r>
    </w:p>
    <w:p w14:paraId="58A967E5" w14:textId="4A9016E1" w:rsidR="00FD45E7" w:rsidRPr="00FD45E7" w:rsidRDefault="00FD45E7" w:rsidP="00FD45E7">
      <w:pPr>
        <w:pStyle w:val="Estilo3"/>
        <w:numPr>
          <w:ilvl w:val="0"/>
          <w:numId w:val="44"/>
        </w:numPr>
        <w:spacing w:after="24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Gestión de la capacidad.</w:t>
      </w:r>
      <w:r w:rsidRPr="00FD45E7">
        <w:rPr>
          <w:rFonts w:eastAsiaTheme="minorEastAsia"/>
          <w:color w:val="404040" w:themeColor="text1" w:themeTint="BF"/>
          <w:sz w:val="22"/>
          <w:szCs w:val="22"/>
          <w:lang w:val="es-ES"/>
        </w:rPr>
        <w:t xml:space="preserve"> Cuando se disparan actividades de monitoreo por problemas de rendimiento.</w:t>
      </w:r>
    </w:p>
    <w:p w14:paraId="7603B340" w14:textId="54E8E9C8" w:rsidR="00FD45E7" w:rsidRPr="00FD45E7" w:rsidRDefault="00FD45E7" w:rsidP="00FD45E7">
      <w:pPr>
        <w:pStyle w:val="Estilo3"/>
        <w:numPr>
          <w:ilvl w:val="0"/>
          <w:numId w:val="44"/>
        </w:numPr>
        <w:spacing w:after="24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Gestión de la disponibilidad.</w:t>
      </w:r>
      <w:r w:rsidRPr="00FD45E7">
        <w:rPr>
          <w:rFonts w:eastAsiaTheme="minorEastAsia"/>
          <w:color w:val="404040" w:themeColor="text1" w:themeTint="BF"/>
          <w:sz w:val="22"/>
          <w:szCs w:val="22"/>
          <w:lang w:val="es-ES"/>
        </w:rPr>
        <w:t xml:space="preserve"> Incidencia puede utilizar datos de disponibilidad para determinar en donde se puede mejorar el servicio.</w:t>
      </w:r>
    </w:p>
    <w:p w14:paraId="07009025" w14:textId="77777777" w:rsidR="00FD45E7" w:rsidRPr="00FD45E7" w:rsidRDefault="00FD45E7" w:rsidP="00FD45E7">
      <w:pPr>
        <w:pStyle w:val="Estilo3"/>
        <w:spacing w:after="240"/>
        <w:ind w:left="720"/>
        <w:rPr>
          <w:rFonts w:eastAsiaTheme="minorEastAsia"/>
          <w:b/>
          <w:color w:val="404040" w:themeColor="text1" w:themeTint="BF"/>
          <w:sz w:val="22"/>
          <w:szCs w:val="22"/>
          <w:u w:val="single"/>
          <w:lang w:val="es-ES"/>
        </w:rPr>
      </w:pPr>
      <w:r w:rsidRPr="00FD45E7">
        <w:rPr>
          <w:rFonts w:eastAsiaTheme="minorEastAsia"/>
          <w:b/>
          <w:color w:val="404040" w:themeColor="text1" w:themeTint="BF"/>
          <w:sz w:val="22"/>
          <w:szCs w:val="22"/>
          <w:u w:val="single"/>
          <w:lang w:val="es-ES"/>
        </w:rPr>
        <w:t>Dentro del proceso de gestión de incidentes</w:t>
      </w:r>
    </w:p>
    <w:p w14:paraId="3BA69284" w14:textId="13AD4E16"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 xml:space="preserve">Detección y registro de incidente. </w:t>
      </w:r>
      <w:r w:rsidRPr="00FD45E7">
        <w:rPr>
          <w:rFonts w:eastAsiaTheme="minorEastAsia"/>
          <w:color w:val="404040" w:themeColor="text1" w:themeTint="BF"/>
          <w:sz w:val="22"/>
          <w:szCs w:val="22"/>
          <w:lang w:val="es-ES"/>
        </w:rPr>
        <w:t>Con la afectación de uno o múltiples usuarios, o la detección por parte del sistema de monitoreo, se levanta una incidencia, a la cual se le da seguimiento generalmente con un sistema de tickets.</w:t>
      </w:r>
    </w:p>
    <w:p w14:paraId="004F98D7" w14:textId="0B324D2C"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Clasificación y soporte inicial.</w:t>
      </w:r>
      <w:r w:rsidRPr="00FD45E7">
        <w:rPr>
          <w:rFonts w:eastAsiaTheme="minorEastAsia"/>
          <w:color w:val="404040" w:themeColor="text1" w:themeTint="BF"/>
          <w:sz w:val="22"/>
          <w:szCs w:val="22"/>
          <w:lang w:val="es-ES"/>
        </w:rPr>
        <w:t xml:space="preserve"> Como se pueden recibir múltiples incidencias, se debe determinar el nivel de prioridad, esto según las reglas de negocio, generalmente se cuenta con sistemas que realizan esto automáticamente, la prioridad se asigna según impacto y urgencia.</w:t>
      </w:r>
    </w:p>
    <w:p w14:paraId="08A71D24" w14:textId="45791660"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Escalamiento</w:t>
      </w:r>
      <w:r>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xml:space="preserve"> Sirve para agilizar la respuesta correctiva, puede darse por:</w:t>
      </w:r>
    </w:p>
    <w:p w14:paraId="0E15A7ED" w14:textId="1236FECB" w:rsidR="00FD45E7" w:rsidRPr="00FD45E7" w:rsidRDefault="00FD45E7" w:rsidP="00FD45E7">
      <w:pPr>
        <w:pStyle w:val="Estilo3"/>
        <w:numPr>
          <w:ilvl w:val="0"/>
          <w:numId w:val="49"/>
        </w:numPr>
        <w:ind w:left="1418" w:hanging="142"/>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Falta de conocimiento.</w:t>
      </w:r>
    </w:p>
    <w:p w14:paraId="6FD7F9A4" w14:textId="737A33D5" w:rsidR="00FD45E7" w:rsidRPr="00FD45E7" w:rsidRDefault="00FD45E7" w:rsidP="00FD45E7">
      <w:pPr>
        <w:pStyle w:val="Estilo3"/>
        <w:numPr>
          <w:ilvl w:val="0"/>
          <w:numId w:val="49"/>
        </w:numPr>
        <w:ind w:left="1418" w:hanging="142"/>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Poca experiencia.</w:t>
      </w:r>
    </w:p>
    <w:p w14:paraId="4B90EF44" w14:textId="48B6E280" w:rsidR="00FD45E7" w:rsidRDefault="00FD45E7" w:rsidP="00FD45E7">
      <w:pPr>
        <w:pStyle w:val="Estilo3"/>
        <w:numPr>
          <w:ilvl w:val="0"/>
          <w:numId w:val="49"/>
        </w:numPr>
        <w:spacing w:after="240"/>
        <w:ind w:left="1418" w:hanging="142"/>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Falta de recursos requeridos.</w:t>
      </w:r>
    </w:p>
    <w:p w14:paraId="1237EE7B" w14:textId="6E06EE7F"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Solución y restablecimiento del servicio.</w:t>
      </w:r>
      <w:r w:rsidRPr="00FD45E7">
        <w:rPr>
          <w:rFonts w:eastAsiaTheme="minorEastAsia"/>
          <w:color w:val="404040" w:themeColor="text1" w:themeTint="BF"/>
          <w:sz w:val="22"/>
          <w:szCs w:val="22"/>
          <w:lang w:val="es-ES"/>
        </w:rPr>
        <w:t xml:space="preserve"> Rápido restablecimiento del servicio y satisfacción del usuario, si no se tiene registro del incidente es importante añadirlo a la base de conocimientos.</w:t>
      </w:r>
    </w:p>
    <w:p w14:paraId="06C491F2" w14:textId="60E5BBD9"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Cierre del incidente</w:t>
      </w:r>
      <w:r>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xml:space="preserve"> Después de reestablecido el servicio, el cliente confirma la solución y se cierra la incidencia documentando debidamente.</w:t>
      </w:r>
    </w:p>
    <w:p w14:paraId="40A9DFD9" w14:textId="3B46849A" w:rsidR="000F0D31"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Monitorización, seguimiento y comunicación del incidente.</w:t>
      </w:r>
      <w:r w:rsidRPr="00FD45E7">
        <w:rPr>
          <w:rFonts w:eastAsiaTheme="minorEastAsia"/>
          <w:color w:val="404040" w:themeColor="text1" w:themeTint="BF"/>
          <w:sz w:val="22"/>
          <w:szCs w:val="22"/>
          <w:lang w:val="es-ES"/>
        </w:rPr>
        <w:t xml:space="preserve"> Se analiza la repetición de incidencias, tiempos de respuesta y solución, mediante estos indicadores se medirá la calidad del área de soporte para la satisfacción del usuario.</w:t>
      </w:r>
    </w:p>
    <w:p w14:paraId="1B59D50D" w14:textId="77777777" w:rsidR="000F0D31" w:rsidRDefault="000F0D31">
      <w:pPr>
        <w:spacing w:after="200" w:line="276" w:lineRule="auto"/>
        <w:rPr>
          <w:rFonts w:asciiTheme="minorHAnsi" w:eastAsiaTheme="minorEastAsia" w:hAnsiTheme="minorHAnsi"/>
          <w:color w:val="404040" w:themeColor="text1" w:themeTint="BF"/>
          <w:sz w:val="22"/>
          <w:szCs w:val="22"/>
          <w:lang w:val="es-ES"/>
        </w:rPr>
      </w:pPr>
      <w:r>
        <w:rPr>
          <w:rFonts w:eastAsiaTheme="minorEastAsia"/>
          <w:color w:val="404040" w:themeColor="text1" w:themeTint="BF"/>
          <w:sz w:val="22"/>
          <w:szCs w:val="22"/>
          <w:lang w:val="es-ES"/>
        </w:rPr>
        <w:br w:type="page"/>
      </w:r>
    </w:p>
    <w:p w14:paraId="0CFF5AAE"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p>
    <w:p w14:paraId="1520EC37" w14:textId="1218E1E0" w:rsidR="00126A15" w:rsidRPr="00215EE0" w:rsidRDefault="00126A15" w:rsidP="00126A15">
      <w:pPr>
        <w:pStyle w:val="Estilo3"/>
        <w:numPr>
          <w:ilvl w:val="0"/>
          <w:numId w:val="42"/>
        </w:numPr>
        <w:rPr>
          <w:rFonts w:eastAsiaTheme="minorEastAsia"/>
          <w:b/>
          <w:color w:val="404040" w:themeColor="text1" w:themeTint="BF"/>
          <w:sz w:val="22"/>
          <w:szCs w:val="22"/>
          <w:lang w:val="es-ES"/>
        </w:rPr>
      </w:pPr>
      <w:r w:rsidRPr="00215EE0">
        <w:rPr>
          <w:rFonts w:eastAsiaTheme="minorEastAsia"/>
          <w:b/>
          <w:color w:val="404040" w:themeColor="text1" w:themeTint="BF"/>
          <w:sz w:val="22"/>
          <w:szCs w:val="22"/>
          <w:lang w:val="es-ES"/>
        </w:rPr>
        <w:t>¿Cuál proceso analiza los incidentes para encontrar causas comunes?</w:t>
      </w:r>
    </w:p>
    <w:p w14:paraId="50544C29" w14:textId="5AA414D4" w:rsidR="00D876BB" w:rsidRDefault="00D876BB" w:rsidP="00D876BB">
      <w:pPr>
        <w:pStyle w:val="Estilo3"/>
        <w:ind w:left="720"/>
        <w:rPr>
          <w:rFonts w:eastAsiaTheme="minorEastAsia"/>
          <w:color w:val="404040" w:themeColor="text1" w:themeTint="BF"/>
          <w:sz w:val="22"/>
          <w:szCs w:val="22"/>
          <w:lang w:val="es-ES"/>
        </w:rPr>
      </w:pPr>
    </w:p>
    <w:p w14:paraId="02DA2E3A" w14:textId="77777777" w:rsidR="00CC29E2" w:rsidRPr="00BA6202" w:rsidRDefault="00215EE0" w:rsidP="00D876BB">
      <w:pPr>
        <w:pStyle w:val="Estilo3"/>
        <w:ind w:left="720"/>
        <w:rPr>
          <w:rStyle w:val="3oh-"/>
          <w:sz w:val="22"/>
          <w:szCs w:val="22"/>
          <w:lang w:val="es-CL"/>
        </w:rPr>
      </w:pPr>
      <w:r w:rsidRPr="00BA6202">
        <w:rPr>
          <w:rStyle w:val="3oh-"/>
          <w:sz w:val="22"/>
          <w:szCs w:val="22"/>
          <w:lang w:val="es-CL"/>
        </w:rPr>
        <w:t xml:space="preserve">Las actividades de resolución de incidentes pueden extender la duración de las interrupciones del servicio </w:t>
      </w:r>
      <w:r w:rsidRPr="00FD45E7">
        <w:rPr>
          <w:rStyle w:val="3oh-"/>
          <w:b/>
          <w:i/>
          <w:sz w:val="22"/>
          <w:szCs w:val="22"/>
          <w:lang w:val="es-CL"/>
        </w:rPr>
        <w:t>"buscando una causa raíz"</w:t>
      </w:r>
      <w:r w:rsidRPr="00BA6202">
        <w:rPr>
          <w:rStyle w:val="3oh-"/>
          <w:sz w:val="22"/>
          <w:szCs w:val="22"/>
          <w:lang w:val="es-CL"/>
        </w:rPr>
        <w:t xml:space="preserve"> en lugar de tomar acciones directas para restaurar la operación normal del servicio de estado. </w:t>
      </w:r>
    </w:p>
    <w:p w14:paraId="41A742AC" w14:textId="77777777" w:rsidR="00CC29E2" w:rsidRPr="00BA6202" w:rsidRDefault="00CC29E2" w:rsidP="00D876BB">
      <w:pPr>
        <w:pStyle w:val="Estilo3"/>
        <w:ind w:left="720"/>
        <w:rPr>
          <w:rStyle w:val="3oh-"/>
          <w:sz w:val="22"/>
          <w:szCs w:val="22"/>
          <w:lang w:val="es-CL"/>
        </w:rPr>
      </w:pPr>
    </w:p>
    <w:p w14:paraId="61526588" w14:textId="072C1827" w:rsidR="00215EE0" w:rsidRPr="00BA6202" w:rsidRDefault="00215EE0" w:rsidP="00D876BB">
      <w:pPr>
        <w:pStyle w:val="Estilo3"/>
        <w:ind w:left="720"/>
        <w:rPr>
          <w:rStyle w:val="3oh-"/>
          <w:sz w:val="22"/>
          <w:szCs w:val="22"/>
          <w:lang w:val="es-CL"/>
        </w:rPr>
      </w:pPr>
      <w:r w:rsidRPr="00BA6202">
        <w:rPr>
          <w:rStyle w:val="3oh-"/>
          <w:sz w:val="22"/>
          <w:szCs w:val="22"/>
          <w:lang w:val="es-CL"/>
        </w:rPr>
        <w:t xml:space="preserve">Los registros de incidentes se cerrarán demasiado pronto en el ciclo de soporte general y no se tomarán medidas para evitar que se repitan, por lo que los mismos incidentes continuarán interrumpiendo el negocio y tendrán que repararse una y otra vez. </w:t>
      </w:r>
    </w:p>
    <w:p w14:paraId="02A50B17" w14:textId="77777777" w:rsidR="00215EE0" w:rsidRPr="00BA6202" w:rsidRDefault="00215EE0" w:rsidP="00D876BB">
      <w:pPr>
        <w:pStyle w:val="Estilo3"/>
        <w:ind w:left="720"/>
        <w:rPr>
          <w:rStyle w:val="3oh-"/>
          <w:sz w:val="22"/>
          <w:szCs w:val="22"/>
          <w:lang w:val="es-CL"/>
        </w:rPr>
      </w:pPr>
    </w:p>
    <w:p w14:paraId="23B997A6" w14:textId="310E0A11" w:rsidR="00215EE0" w:rsidRPr="00BA6202" w:rsidRDefault="00215EE0" w:rsidP="00D876BB">
      <w:pPr>
        <w:pStyle w:val="Estilo3"/>
        <w:ind w:left="720"/>
        <w:rPr>
          <w:rStyle w:val="3oh-"/>
          <w:sz w:val="22"/>
          <w:szCs w:val="22"/>
          <w:lang w:val="es-CL"/>
        </w:rPr>
      </w:pPr>
      <w:r w:rsidRPr="00BA6202">
        <w:rPr>
          <w:rStyle w:val="3oh-"/>
          <w:sz w:val="22"/>
          <w:szCs w:val="22"/>
          <w:lang w:val="es-CL"/>
        </w:rPr>
        <w:t xml:space="preserve">Los registros de incidentes se mantendrán abiertos para que se pueda realizar el análisis de la causa raíz y se pierda la visibilidad cuando el servicio del usuario se haya restaurado realmente, por lo que es posible que no se cumplan los objetivos de los SLA, aunque el servicio se haya restaurado dentro de las expectativas de los usuarios. </w:t>
      </w:r>
    </w:p>
    <w:p w14:paraId="4784ECEE" w14:textId="77777777" w:rsidR="00215EE0" w:rsidRPr="00BA6202" w:rsidRDefault="00215EE0" w:rsidP="00D876BB">
      <w:pPr>
        <w:pStyle w:val="Estilo3"/>
        <w:ind w:left="720"/>
        <w:rPr>
          <w:rStyle w:val="3oh-"/>
          <w:sz w:val="22"/>
          <w:szCs w:val="22"/>
          <w:lang w:val="es-CL"/>
        </w:rPr>
      </w:pPr>
    </w:p>
    <w:p w14:paraId="78579820" w14:textId="77777777" w:rsidR="00215EE0" w:rsidRPr="00BA6202" w:rsidRDefault="00215EE0" w:rsidP="00D876BB">
      <w:pPr>
        <w:pStyle w:val="Estilo3"/>
        <w:ind w:left="720"/>
        <w:rPr>
          <w:rStyle w:val="3oh-"/>
          <w:sz w:val="22"/>
          <w:szCs w:val="22"/>
          <w:lang w:val="es-CL"/>
        </w:rPr>
      </w:pPr>
      <w:r w:rsidRPr="00BA6202">
        <w:rPr>
          <w:rStyle w:val="3oh-"/>
          <w:sz w:val="22"/>
          <w:szCs w:val="22"/>
          <w:lang w:val="es-CL"/>
        </w:rPr>
        <w:t xml:space="preserve">Esto a menudo resulta en un gran número de incidentes abiertos, muchos de los cuales nunca se cerrarán a menos que se realice una 'purga' periódica. Esto puede ser muy desmotivador y puede prevenir la visibilidad efectiva de los problemas actuales. </w:t>
      </w:r>
    </w:p>
    <w:p w14:paraId="405EDC15" w14:textId="77777777" w:rsidR="00215EE0" w:rsidRPr="00215EE0" w:rsidRDefault="00215EE0" w:rsidP="00CC29E2">
      <w:pPr>
        <w:pStyle w:val="Estilo3"/>
        <w:rPr>
          <w:rFonts w:eastAsiaTheme="minorEastAsia"/>
          <w:color w:val="404040" w:themeColor="text1" w:themeTint="BF"/>
          <w:sz w:val="22"/>
          <w:szCs w:val="22"/>
          <w:lang w:val="es-CL"/>
        </w:rPr>
      </w:pPr>
    </w:p>
    <w:p w14:paraId="2B12B088" w14:textId="2077E347" w:rsidR="00126A15" w:rsidRPr="002A71CD" w:rsidRDefault="00126A15" w:rsidP="00126A15">
      <w:pPr>
        <w:pStyle w:val="Estilo3"/>
        <w:numPr>
          <w:ilvl w:val="0"/>
          <w:numId w:val="42"/>
        </w:numPr>
        <w:rPr>
          <w:rFonts w:eastAsiaTheme="minorEastAsia"/>
          <w:b/>
          <w:color w:val="404040" w:themeColor="text1" w:themeTint="BF"/>
          <w:sz w:val="22"/>
          <w:szCs w:val="22"/>
          <w:lang w:val="es-ES"/>
        </w:rPr>
      </w:pPr>
      <w:r w:rsidRPr="002A71CD">
        <w:rPr>
          <w:rFonts w:eastAsiaTheme="minorEastAsia"/>
          <w:b/>
          <w:color w:val="404040" w:themeColor="text1" w:themeTint="BF"/>
          <w:sz w:val="22"/>
          <w:szCs w:val="22"/>
          <w:lang w:val="es-ES"/>
        </w:rPr>
        <w:t>¿Una solicitud de traslado de un equipo debiera ser atendida por cuál de los procesos de operación del servicio?</w:t>
      </w:r>
    </w:p>
    <w:p w14:paraId="450F8E41" w14:textId="5F9DF929" w:rsidR="00B3208D" w:rsidRDefault="00B3208D" w:rsidP="00126A15">
      <w:pPr>
        <w:pStyle w:val="Estilo3"/>
        <w:ind w:left="720"/>
        <w:rPr>
          <w:rFonts w:eastAsiaTheme="minorEastAsia"/>
          <w:color w:val="404040" w:themeColor="text1" w:themeTint="BF"/>
          <w:sz w:val="22"/>
          <w:szCs w:val="22"/>
          <w:lang w:val="es-ES"/>
        </w:rPr>
      </w:pPr>
    </w:p>
    <w:p w14:paraId="4A6C7FDF" w14:textId="797EDA8B" w:rsidR="00215EE0" w:rsidRDefault="002A71CD" w:rsidP="00126A15">
      <w:pPr>
        <w:pStyle w:val="Estilo3"/>
        <w:ind w:left="720"/>
        <w:rPr>
          <w:rFonts w:eastAsiaTheme="minorEastAsia"/>
          <w:color w:val="404040" w:themeColor="text1" w:themeTint="BF"/>
          <w:sz w:val="22"/>
          <w:szCs w:val="22"/>
          <w:lang w:val="es-ES"/>
        </w:rPr>
      </w:pPr>
      <w:r w:rsidRPr="002A71CD">
        <w:rPr>
          <w:rFonts w:eastAsiaTheme="minorEastAsia"/>
          <w:color w:val="404040" w:themeColor="text1" w:themeTint="BF"/>
          <w:sz w:val="22"/>
          <w:szCs w:val="22"/>
          <w:lang w:val="es-ES"/>
        </w:rPr>
        <w:t>La mesa de servicio es el único punto de contacto para los usuarios cuando hay una interrupción del servicio, para la solicitud de servicio o incluso para algunas categorías de solicitud de cambio (</w:t>
      </w:r>
      <w:r>
        <w:rPr>
          <w:rFonts w:eastAsiaTheme="minorEastAsia"/>
          <w:color w:val="404040" w:themeColor="text1" w:themeTint="BF"/>
          <w:sz w:val="22"/>
          <w:szCs w:val="22"/>
          <w:lang w:val="es-ES"/>
        </w:rPr>
        <w:t>RFC</w:t>
      </w:r>
      <w:r w:rsidRPr="002A71CD">
        <w:rPr>
          <w:rFonts w:eastAsiaTheme="minorEastAsia"/>
          <w:color w:val="404040" w:themeColor="text1" w:themeTint="BF"/>
          <w:sz w:val="22"/>
          <w:szCs w:val="22"/>
          <w:lang w:val="es-ES"/>
        </w:rPr>
        <w:t>). La mesa de servicio proporciona un punto de comunicación a los usuarios y un punto de coordinación para varios grupos y procesos de TI.</w:t>
      </w:r>
    </w:p>
    <w:p w14:paraId="00D13373" w14:textId="77777777" w:rsidR="00B3208D" w:rsidRDefault="00B3208D" w:rsidP="00126A15">
      <w:pPr>
        <w:pStyle w:val="Estilo3"/>
        <w:ind w:left="720"/>
        <w:rPr>
          <w:rFonts w:eastAsiaTheme="minorEastAsia"/>
          <w:color w:val="404040" w:themeColor="text1" w:themeTint="BF"/>
          <w:sz w:val="22"/>
          <w:szCs w:val="22"/>
          <w:lang w:val="es-ES"/>
        </w:rPr>
      </w:pPr>
    </w:p>
    <w:p w14:paraId="12675A4A" w14:textId="4A94B20C" w:rsidR="00B3208D" w:rsidRPr="00E73C6C" w:rsidRDefault="00B3208D" w:rsidP="00B3208D">
      <w:pPr>
        <w:pStyle w:val="Estilo3"/>
        <w:rPr>
          <w:b/>
          <w:lang w:val="es-CL"/>
        </w:rPr>
      </w:pPr>
      <w:r>
        <w:rPr>
          <w:b/>
          <w:lang w:val="es-CL"/>
        </w:rPr>
        <w:t>Referencias Bibliográficas</w:t>
      </w:r>
      <w:r w:rsidRPr="00E73C6C">
        <w:rPr>
          <w:b/>
          <w:lang w:val="es-CL"/>
        </w:rPr>
        <w:t>:</w:t>
      </w:r>
    </w:p>
    <w:p w14:paraId="74AF8277" w14:textId="77777777" w:rsidR="00B3208D" w:rsidRDefault="00B3208D" w:rsidP="00B3208D">
      <w:pPr>
        <w:pStyle w:val="Estilo3"/>
        <w:rPr>
          <w:rFonts w:eastAsiaTheme="minorEastAsia"/>
          <w:color w:val="404040" w:themeColor="text1" w:themeTint="BF"/>
          <w:sz w:val="22"/>
          <w:szCs w:val="22"/>
          <w:lang w:val="es-ES"/>
        </w:rPr>
      </w:pPr>
    </w:p>
    <w:p w14:paraId="43ECF78F" w14:textId="35971555" w:rsidR="00B3208D" w:rsidRPr="007E5AA8" w:rsidRDefault="00B3208D" w:rsidP="00B3208D">
      <w:pPr>
        <w:pStyle w:val="Estilo3"/>
        <w:tabs>
          <w:tab w:val="clear" w:pos="4242"/>
        </w:tabs>
        <w:spacing w:line="480" w:lineRule="auto"/>
        <w:ind w:left="709" w:hanging="709"/>
        <w:rPr>
          <w:color w:val="404040" w:themeColor="text1" w:themeTint="BF"/>
          <w:sz w:val="22"/>
        </w:rPr>
      </w:pPr>
      <w:r w:rsidRPr="008B4DCD">
        <w:rPr>
          <w:color w:val="404040" w:themeColor="text1" w:themeTint="BF"/>
          <w:sz w:val="22"/>
        </w:rPr>
        <w:t>AXELOS Global Best Practice</w:t>
      </w:r>
      <w:r w:rsidRPr="009A41A3">
        <w:rPr>
          <w:color w:val="404040" w:themeColor="text1" w:themeTint="BF"/>
          <w:sz w:val="22"/>
        </w:rPr>
        <w:t xml:space="preserve">. </w:t>
      </w:r>
      <w:r w:rsidRPr="007E5AA8">
        <w:rPr>
          <w:i/>
          <w:color w:val="404040" w:themeColor="text1" w:themeTint="BF"/>
          <w:sz w:val="22"/>
        </w:rPr>
        <w:t>ITIL</w:t>
      </w:r>
      <w:r>
        <w:rPr>
          <w:i/>
          <w:color w:val="404040" w:themeColor="text1" w:themeTint="BF"/>
          <w:sz w:val="22"/>
        </w:rPr>
        <w:t xml:space="preserve"> v3</w:t>
      </w:r>
      <w:r w:rsidRPr="007E5AA8">
        <w:rPr>
          <w:i/>
          <w:color w:val="404040" w:themeColor="text1" w:themeTint="BF"/>
          <w:sz w:val="22"/>
        </w:rPr>
        <w:t xml:space="preserve"> Service </w:t>
      </w:r>
      <w:r>
        <w:rPr>
          <w:i/>
          <w:color w:val="404040" w:themeColor="text1" w:themeTint="BF"/>
          <w:sz w:val="22"/>
        </w:rPr>
        <w:t>Operation</w:t>
      </w:r>
      <w:r w:rsidRPr="007E5AA8">
        <w:rPr>
          <w:color w:val="404040" w:themeColor="text1" w:themeTint="BF"/>
          <w:sz w:val="22"/>
        </w:rPr>
        <w:t>. London: The Stationery Office</w:t>
      </w:r>
      <w:r>
        <w:rPr>
          <w:color w:val="404040" w:themeColor="text1" w:themeTint="BF"/>
          <w:sz w:val="22"/>
        </w:rPr>
        <w:t>, 201</w:t>
      </w:r>
      <w:r w:rsidR="00D876BB">
        <w:rPr>
          <w:color w:val="404040" w:themeColor="text1" w:themeTint="BF"/>
          <w:sz w:val="22"/>
        </w:rPr>
        <w:t>1</w:t>
      </w:r>
      <w:r w:rsidRPr="007E5AA8">
        <w:rPr>
          <w:color w:val="404040" w:themeColor="text1" w:themeTint="BF"/>
          <w:sz w:val="22"/>
        </w:rPr>
        <w:t xml:space="preserve">. </w:t>
      </w:r>
    </w:p>
    <w:p w14:paraId="457F4F13" w14:textId="77777777" w:rsidR="00B3208D" w:rsidRPr="00483A8E" w:rsidRDefault="00B3208D" w:rsidP="00B3208D">
      <w:pPr>
        <w:pStyle w:val="Estilo3"/>
        <w:rPr>
          <w:rFonts w:eastAsiaTheme="minorEastAsia"/>
          <w:color w:val="404040" w:themeColor="text1" w:themeTint="BF"/>
          <w:sz w:val="22"/>
          <w:szCs w:val="22"/>
          <w:lang w:val="es-ES"/>
        </w:rPr>
      </w:pPr>
    </w:p>
    <w:sectPr w:rsidR="00B3208D" w:rsidRPr="00483A8E" w:rsidSect="005B1A2E">
      <w:headerReference w:type="default" r:id="rId12"/>
      <w:footerReference w:type="default" r:id="rId13"/>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B1F70" w14:textId="77777777" w:rsidR="00EA4179" w:rsidRDefault="00EA4179" w:rsidP="00FC3616">
      <w:r>
        <w:separator/>
      </w:r>
    </w:p>
  </w:endnote>
  <w:endnote w:type="continuationSeparator" w:id="0">
    <w:p w14:paraId="71F44943" w14:textId="77777777" w:rsidR="00EA4179" w:rsidRDefault="00EA4179"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Piedepgina"/>
          <w:tabs>
            <w:tab w:val="right" w:pos="10489"/>
          </w:tabs>
          <w:rPr>
            <w:rFonts w:ascii="Myriad Pro" w:hAnsi="Myriad Pro"/>
          </w:rPr>
        </w:pPr>
        <w:r>
          <w:rPr>
            <w:noProof/>
            <w:lang w:val="es-ES"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109DBA13"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2D76C2">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57E1B9A7" w14:textId="099C1A28" w:rsidR="002876A3" w:rsidRPr="00731384" w:rsidRDefault="002876A3"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" filled="f" stroked="f">
                  <v:textbox style="mso-fit-shape-to-text:t">
                    <w:txbxContent>
                      <w:p w14:paraId="50A7BC31" w14:textId="109DBA13"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2D76C2">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57E1B9A7" w14:textId="099C1A28" w:rsidR="002876A3" w:rsidRPr="00731384" w:rsidRDefault="002876A3"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2876A3" w:rsidRPr="002876A3">
          <w:rPr>
            <w:rFonts w:asciiTheme="minorHAnsi" w:hAnsiTheme="minorHAnsi"/>
            <w:noProof/>
            <w:lang w:val="es-ES"/>
          </w:rPr>
          <w:t>2</w:t>
        </w:r>
        <w:r w:rsidR="00C539A7" w:rsidRPr="00C773D6">
          <w:rPr>
            <w:rFonts w:asciiTheme="minorHAnsi" w:hAnsiTheme="minorHAnsi"/>
          </w:rPr>
          <w:fldChar w:fldCharType="end"/>
        </w:r>
      </w:p>
    </w:sdtContent>
  </w:sdt>
  <w:p w14:paraId="50A7BC26" w14:textId="77777777" w:rsidR="00FA70DE" w:rsidRPr="00C539A7" w:rsidRDefault="00C0376F" w:rsidP="009A1D34">
    <w:pPr>
      <w:pStyle w:val="Piedepgina"/>
      <w:tabs>
        <w:tab w:val="clear" w:pos="4419"/>
        <w:tab w:val="clear" w:pos="8838"/>
        <w:tab w:val="left" w:pos="3735"/>
      </w:tabs>
    </w:pPr>
    <w:r>
      <w:rPr>
        <w:noProof/>
        <w:lang w:val="es-ES"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97A2" id="18 Rectángulo" o:spid="_x0000_s1026"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fillcolor="#e30513" stroked="f" strokeweight="2pt"/>
          </w:pict>
        </mc:Fallback>
      </mc:AlternateContent>
    </w:r>
    <w:r w:rsidR="009A1D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92F0F" w14:textId="77777777" w:rsidR="00EA4179" w:rsidRDefault="00EA4179" w:rsidP="00FC3616">
      <w:r>
        <w:separator/>
      </w:r>
    </w:p>
  </w:footnote>
  <w:footnote w:type="continuationSeparator" w:id="0">
    <w:p w14:paraId="52CE833F" w14:textId="77777777" w:rsidR="00EA4179" w:rsidRDefault="00EA4179"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Encabezado"/>
      <w:tabs>
        <w:tab w:val="clear" w:pos="4419"/>
        <w:tab w:val="clear" w:pos="8838"/>
        <w:tab w:val="left" w:pos="2925"/>
      </w:tabs>
      <w:ind w:right="-1"/>
    </w:pPr>
    <w:r>
      <w:rPr>
        <w:noProof/>
        <w:lang w:val="es-ES"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ES"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&#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200"/>
    <w:multiLevelType w:val="hybridMultilevel"/>
    <w:tmpl w:val="6C7EB1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5564755"/>
    <w:multiLevelType w:val="hybridMultilevel"/>
    <w:tmpl w:val="A864B2D0"/>
    <w:lvl w:ilvl="0" w:tplc="CA325892">
      <w:numFmt w:val="bullet"/>
      <w:lvlText w:val="•"/>
      <w:lvlJc w:val="left"/>
      <w:pPr>
        <w:ind w:left="4965" w:hanging="3525"/>
      </w:pPr>
      <w:rPr>
        <w:rFonts w:ascii="Calibri" w:eastAsiaTheme="minorEastAsia" w:hAnsi="Calibri" w:cs="Century Gothic"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3C72FFE"/>
    <w:multiLevelType w:val="hybridMultilevel"/>
    <w:tmpl w:val="ADF2898C"/>
    <w:lvl w:ilvl="0" w:tplc="AE28C5FE">
      <w:start w:val="31"/>
      <w:numFmt w:val="bullet"/>
      <w:lvlText w:val="-"/>
      <w:lvlJc w:val="left"/>
      <w:pPr>
        <w:ind w:left="1800" w:hanging="360"/>
      </w:pPr>
      <w:rPr>
        <w:rFonts w:ascii="Calibri" w:eastAsiaTheme="minorEastAsia"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B9A391C"/>
    <w:multiLevelType w:val="hybridMultilevel"/>
    <w:tmpl w:val="2FFAEFDE"/>
    <w:lvl w:ilvl="0" w:tplc="CA325892">
      <w:numFmt w:val="bullet"/>
      <w:lvlText w:val="•"/>
      <w:lvlJc w:val="left"/>
      <w:pPr>
        <w:ind w:left="4965" w:hanging="3525"/>
      </w:pPr>
      <w:rPr>
        <w:rFonts w:ascii="Calibri" w:eastAsiaTheme="minorEastAsia" w:hAnsi="Calibri" w:cs="Century Gothic"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E6A17C5"/>
    <w:multiLevelType w:val="hybridMultilevel"/>
    <w:tmpl w:val="4262FC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7A67C28"/>
    <w:multiLevelType w:val="hybridMultilevel"/>
    <w:tmpl w:val="35E02AD4"/>
    <w:lvl w:ilvl="0" w:tplc="AE28C5FE">
      <w:start w:val="3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089679A"/>
    <w:multiLevelType w:val="hybridMultilevel"/>
    <w:tmpl w:val="769CBE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6"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15:restartNumberingAfterBreak="0">
    <w:nsid w:val="62D84943"/>
    <w:multiLevelType w:val="hybridMultilevel"/>
    <w:tmpl w:val="34F27070"/>
    <w:lvl w:ilvl="0" w:tplc="CA325892">
      <w:numFmt w:val="bullet"/>
      <w:lvlText w:val="•"/>
      <w:lvlJc w:val="left"/>
      <w:pPr>
        <w:ind w:left="4245" w:hanging="3525"/>
      </w:pPr>
      <w:rPr>
        <w:rFonts w:ascii="Calibri" w:eastAsiaTheme="minorEastAsia" w:hAnsi="Calibri" w:cs="Century Gothic"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76B66DA3"/>
    <w:multiLevelType w:val="hybridMultilevel"/>
    <w:tmpl w:val="0BE6EBF4"/>
    <w:lvl w:ilvl="0" w:tplc="0A50DCD8">
      <w:start w:val="3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6"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0"/>
  </w:num>
  <w:num w:numId="2">
    <w:abstractNumId w:val="35"/>
  </w:num>
  <w:num w:numId="3">
    <w:abstractNumId w:val="37"/>
  </w:num>
  <w:num w:numId="4">
    <w:abstractNumId w:val="44"/>
  </w:num>
  <w:num w:numId="5">
    <w:abstractNumId w:val="44"/>
    <w:lvlOverride w:ilvl="0">
      <w:startOverride w:val="2"/>
    </w:lvlOverride>
  </w:num>
  <w:num w:numId="6">
    <w:abstractNumId w:val="35"/>
    <w:lvlOverride w:ilvl="0">
      <w:startOverride w:val="2"/>
    </w:lvlOverride>
  </w:num>
  <w:num w:numId="7">
    <w:abstractNumId w:val="41"/>
  </w:num>
  <w:num w:numId="8">
    <w:abstractNumId w:val="24"/>
  </w:num>
  <w:num w:numId="9">
    <w:abstractNumId w:val="33"/>
  </w:num>
  <w:num w:numId="10">
    <w:abstractNumId w:val="12"/>
  </w:num>
  <w:num w:numId="11">
    <w:abstractNumId w:val="38"/>
  </w:num>
  <w:num w:numId="12">
    <w:abstractNumId w:val="19"/>
  </w:num>
  <w:num w:numId="13">
    <w:abstractNumId w:val="4"/>
  </w:num>
  <w:num w:numId="14">
    <w:abstractNumId w:val="29"/>
  </w:num>
  <w:num w:numId="15">
    <w:abstractNumId w:val="16"/>
  </w:num>
  <w:num w:numId="16">
    <w:abstractNumId w:val="20"/>
  </w:num>
  <w:num w:numId="17">
    <w:abstractNumId w:val="46"/>
  </w:num>
  <w:num w:numId="18">
    <w:abstractNumId w:val="2"/>
  </w:num>
  <w:num w:numId="19">
    <w:abstractNumId w:val="34"/>
  </w:num>
  <w:num w:numId="20">
    <w:abstractNumId w:val="1"/>
  </w:num>
  <w:num w:numId="21">
    <w:abstractNumId w:val="42"/>
  </w:num>
  <w:num w:numId="22">
    <w:abstractNumId w:val="25"/>
  </w:num>
  <w:num w:numId="23">
    <w:abstractNumId w:val="36"/>
  </w:num>
  <w:num w:numId="24">
    <w:abstractNumId w:val="6"/>
  </w:num>
  <w:num w:numId="25">
    <w:abstractNumId w:val="9"/>
  </w:num>
  <w:num w:numId="26">
    <w:abstractNumId w:val="5"/>
  </w:num>
  <w:num w:numId="27">
    <w:abstractNumId w:val="26"/>
  </w:num>
  <w:num w:numId="28">
    <w:abstractNumId w:val="10"/>
  </w:num>
  <w:num w:numId="29">
    <w:abstractNumId w:val="15"/>
  </w:num>
  <w:num w:numId="30">
    <w:abstractNumId w:val="27"/>
  </w:num>
  <w:num w:numId="31">
    <w:abstractNumId w:val="45"/>
  </w:num>
  <w:num w:numId="32">
    <w:abstractNumId w:val="17"/>
  </w:num>
  <w:num w:numId="33">
    <w:abstractNumId w:val="40"/>
  </w:num>
  <w:num w:numId="34">
    <w:abstractNumId w:val="14"/>
  </w:num>
  <w:num w:numId="35">
    <w:abstractNumId w:val="13"/>
  </w:num>
  <w:num w:numId="36">
    <w:abstractNumId w:val="3"/>
  </w:num>
  <w:num w:numId="37">
    <w:abstractNumId w:val="8"/>
  </w:num>
  <w:num w:numId="38">
    <w:abstractNumId w:val="11"/>
  </w:num>
  <w:num w:numId="39">
    <w:abstractNumId w:val="21"/>
  </w:num>
  <w:num w:numId="40">
    <w:abstractNumId w:val="31"/>
  </w:num>
  <w:num w:numId="41">
    <w:abstractNumId w:val="23"/>
  </w:num>
  <w:num w:numId="42">
    <w:abstractNumId w:val="0"/>
  </w:num>
  <w:num w:numId="43">
    <w:abstractNumId w:val="32"/>
  </w:num>
  <w:num w:numId="44">
    <w:abstractNumId w:val="28"/>
  </w:num>
  <w:num w:numId="45">
    <w:abstractNumId w:val="43"/>
  </w:num>
  <w:num w:numId="46">
    <w:abstractNumId w:val="18"/>
  </w:num>
  <w:num w:numId="47">
    <w:abstractNumId w:val="39"/>
  </w:num>
  <w:num w:numId="48">
    <w:abstractNumId w:val="7"/>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11565"/>
    <w:rsid w:val="000115D7"/>
    <w:rsid w:val="0001360A"/>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E3"/>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F0D31"/>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A15"/>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5A8"/>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EE0"/>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876A3"/>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345A"/>
    <w:rsid w:val="002A3DE3"/>
    <w:rsid w:val="002A40D6"/>
    <w:rsid w:val="002A497C"/>
    <w:rsid w:val="002A6132"/>
    <w:rsid w:val="002A6C93"/>
    <w:rsid w:val="002A71CD"/>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6C2"/>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1F6"/>
    <w:rsid w:val="00421201"/>
    <w:rsid w:val="00422B8D"/>
    <w:rsid w:val="00424602"/>
    <w:rsid w:val="004247B2"/>
    <w:rsid w:val="00424D2C"/>
    <w:rsid w:val="00424E76"/>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FAA"/>
    <w:rsid w:val="00483A8E"/>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72D"/>
    <w:rsid w:val="00506A54"/>
    <w:rsid w:val="0050704C"/>
    <w:rsid w:val="005110E1"/>
    <w:rsid w:val="005112AF"/>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57D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36F1"/>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3FFC"/>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384"/>
    <w:rsid w:val="007318B5"/>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492"/>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78A"/>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B9B"/>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92056"/>
    <w:rsid w:val="00892587"/>
    <w:rsid w:val="00892724"/>
    <w:rsid w:val="008931D5"/>
    <w:rsid w:val="00893765"/>
    <w:rsid w:val="008956C8"/>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6A86"/>
    <w:rsid w:val="009E763B"/>
    <w:rsid w:val="009F083B"/>
    <w:rsid w:val="009F1F2B"/>
    <w:rsid w:val="009F385C"/>
    <w:rsid w:val="00A00448"/>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37B65"/>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5827"/>
    <w:rsid w:val="00AE5FD7"/>
    <w:rsid w:val="00AE7EC8"/>
    <w:rsid w:val="00AF2759"/>
    <w:rsid w:val="00AF31FA"/>
    <w:rsid w:val="00AF42DD"/>
    <w:rsid w:val="00AF55A7"/>
    <w:rsid w:val="00AF57BC"/>
    <w:rsid w:val="00AF592E"/>
    <w:rsid w:val="00AF6C27"/>
    <w:rsid w:val="00AF7411"/>
    <w:rsid w:val="00AF7CD7"/>
    <w:rsid w:val="00B00854"/>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8D"/>
    <w:rsid w:val="00B320A9"/>
    <w:rsid w:val="00B322BD"/>
    <w:rsid w:val="00B327C0"/>
    <w:rsid w:val="00B33731"/>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202"/>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766"/>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1E94"/>
    <w:rsid w:val="00CA2353"/>
    <w:rsid w:val="00CA298B"/>
    <w:rsid w:val="00CA2B69"/>
    <w:rsid w:val="00CA35E2"/>
    <w:rsid w:val="00CA4A52"/>
    <w:rsid w:val="00CA5314"/>
    <w:rsid w:val="00CA5E49"/>
    <w:rsid w:val="00CA6231"/>
    <w:rsid w:val="00CA6C5A"/>
    <w:rsid w:val="00CA750F"/>
    <w:rsid w:val="00CA7AC1"/>
    <w:rsid w:val="00CA7B8A"/>
    <w:rsid w:val="00CB1442"/>
    <w:rsid w:val="00CB280C"/>
    <w:rsid w:val="00CB2BD4"/>
    <w:rsid w:val="00CB6EEE"/>
    <w:rsid w:val="00CB7495"/>
    <w:rsid w:val="00CB7F4E"/>
    <w:rsid w:val="00CC078B"/>
    <w:rsid w:val="00CC0889"/>
    <w:rsid w:val="00CC1CA1"/>
    <w:rsid w:val="00CC260E"/>
    <w:rsid w:val="00CC296D"/>
    <w:rsid w:val="00CC29E2"/>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F7C"/>
    <w:rsid w:val="00D077D0"/>
    <w:rsid w:val="00D077F0"/>
    <w:rsid w:val="00D109FF"/>
    <w:rsid w:val="00D11BC9"/>
    <w:rsid w:val="00D11E24"/>
    <w:rsid w:val="00D1325B"/>
    <w:rsid w:val="00D1340E"/>
    <w:rsid w:val="00D13448"/>
    <w:rsid w:val="00D14DD2"/>
    <w:rsid w:val="00D16D14"/>
    <w:rsid w:val="00D213AC"/>
    <w:rsid w:val="00D213FB"/>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876BB"/>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1194"/>
    <w:rsid w:val="00DD1C9F"/>
    <w:rsid w:val="00DD297B"/>
    <w:rsid w:val="00DD2DB5"/>
    <w:rsid w:val="00DD427D"/>
    <w:rsid w:val="00DD4656"/>
    <w:rsid w:val="00DD46CA"/>
    <w:rsid w:val="00DD4DFF"/>
    <w:rsid w:val="00DE211C"/>
    <w:rsid w:val="00DE236B"/>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6E1E"/>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294B"/>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4179"/>
    <w:rsid w:val="00EA563A"/>
    <w:rsid w:val="00EA56C7"/>
    <w:rsid w:val="00EA66B0"/>
    <w:rsid w:val="00EA6EEF"/>
    <w:rsid w:val="00EA786F"/>
    <w:rsid w:val="00EA7FE8"/>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34"/>
    <w:rsid w:val="00FB26F0"/>
    <w:rsid w:val="00FB34EF"/>
    <w:rsid w:val="00FB4AF6"/>
    <w:rsid w:val="00FB4CEF"/>
    <w:rsid w:val="00FB5140"/>
    <w:rsid w:val="00FB6DBA"/>
    <w:rsid w:val="00FB76C8"/>
    <w:rsid w:val="00FB7E59"/>
    <w:rsid w:val="00FC1FBA"/>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5E7"/>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Ttulo1">
    <w:name w:val="heading 1"/>
    <w:basedOn w:val="Normal"/>
    <w:next w:val="Normal"/>
    <w:link w:val="Ttulo1C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oh-">
    <w:name w:val="_3oh-"/>
    <w:basedOn w:val="Fuentedeprrafopredeter"/>
    <w:rsid w:val="00215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68145-BEFD-42DD-BC62-C6E138BC0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3.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4.xml><?xml version="1.0" encoding="utf-8"?>
<ds:datastoreItem xmlns:ds="http://schemas.openxmlformats.org/officeDocument/2006/customXml" ds:itemID="{549E9666-532A-4EF9-9302-70182798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1788</Words>
  <Characters>9834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Felipe Escobar Concha</dc:creator>
  <cp:lastModifiedBy>YERKO ARON FUENTES JAIME</cp:lastModifiedBy>
  <cp:revision>13</cp:revision>
  <cp:lastPrinted>2015-09-08T20:09:00Z</cp:lastPrinted>
  <dcterms:created xsi:type="dcterms:W3CDTF">2018-09-15T20:54:00Z</dcterms:created>
  <dcterms:modified xsi:type="dcterms:W3CDTF">2019-05-31T19:33:00Z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