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B53" w14:textId="31C752B7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9E6A86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6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9E6A86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Opera</w:t>
      </w:r>
      <w:r w:rsidR="00693FFC" w:rsidRPr="00693FF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ción del Servicio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731384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7EC5FBC9" w:rsidR="00E73C6C" w:rsidRPr="00731384" w:rsidRDefault="00E73C6C" w:rsidP="002D76C2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2D76C2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0A4D5821" w14:textId="2E91C504" w:rsidR="00E73C6C" w:rsidRPr="00731384" w:rsidRDefault="00E73C6C" w:rsidP="00D87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Nombre del </w:t>
            </w:r>
            <w:r w:rsidR="002D76C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estudiante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(s)</w:t>
            </w:r>
            <w:r w:rsidR="00D876BB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: </w:t>
            </w:r>
            <w:r w:rsidR="00D876BB" w:rsidRPr="00D876BB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Gabriel Beltrán, Felipe Inda, Ivo Olivares y Aron Fuentes.</w:t>
            </w:r>
          </w:p>
        </w:tc>
      </w:tr>
      <w:tr w:rsidR="00E73C6C" w:rsidRPr="002876A3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7D964873" w14:textId="12A708AE" w:rsidR="00E73C6C" w:rsidRPr="00731384" w:rsidRDefault="00E73C6C" w:rsidP="00CB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 ideas y conceptos para influenciar a otros en el ámbito del aprendizaje y de su profesión</w:t>
            </w:r>
            <w:r w:rsidR="00CB1442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E95993E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  <w:r w:rsidR="00D876BB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 xml:space="preserve"> </w:t>
            </w:r>
            <w:r w:rsidR="00D876BB" w:rsidRPr="00D876BB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371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5EEC709A" w:rsidR="00E73C6C" w:rsidRPr="00731384" w:rsidRDefault="00D876BB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31 de mayo de 2019</w:t>
            </w: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4F2B69A1" w14:textId="7FFF998A" w:rsidR="00126A15" w:rsidRPr="00126A15" w:rsidRDefault="00126A15" w:rsidP="00126A15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126A15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objetivos y beneficios de la Fase de Operación del Ciclo de Vida del Servicio.</w:t>
      </w:r>
    </w:p>
    <w:p w14:paraId="08935F93" w14:textId="07BF583C" w:rsidR="00126A15" w:rsidRDefault="00126A15" w:rsidP="00126A15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126A15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 5 Procesos y las 4 Funciones de la Fase de Transición del servicio.</w:t>
      </w:r>
    </w:p>
    <w:p w14:paraId="50A7BBA6" w14:textId="18C63A82" w:rsidR="003F1564" w:rsidRPr="008E17B3" w:rsidRDefault="003F1564" w:rsidP="00126A15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603C8CCF" w14:textId="09F39AB5" w:rsidR="002A3DE3" w:rsidRDefault="002A3DE3" w:rsidP="002A3DE3">
      <w:pPr>
        <w:pStyle w:val="Estilo3"/>
        <w:ind w:left="720"/>
        <w:rPr>
          <w:noProof/>
          <w:lang w:val="es-CL" w:eastAsia="es-CL" w:bidi="ar-SA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A15" w:rsidRPr="00126A15">
        <w:rPr>
          <w:noProof/>
          <w:lang w:val="es-CL" w:eastAsia="es-CL" w:bidi="ar-SA"/>
        </w:rPr>
        <w:t>El propósito de la Fase de Operación del Servicio del Ciclo de Vida es coordinar y realizar las actividades y procesos requeridos para entregar y gestionar servicios en los niveles acordados con clientes y usuarios.  Operación del Servicio también es responsable por la administración diaria de la tecnología utilizada para entregar y soportar los servicios</w:t>
      </w:r>
      <w:r w:rsidR="00693FFC" w:rsidRPr="00693FFC">
        <w:rPr>
          <w:noProof/>
          <w:lang w:val="es-CL" w:eastAsia="es-CL" w:bidi="ar-SA"/>
        </w:rPr>
        <w:t>.</w:t>
      </w:r>
    </w:p>
    <w:p w14:paraId="64A77F48" w14:textId="77777777" w:rsidR="00693FFC" w:rsidRDefault="00693FFC" w:rsidP="002A3DE3">
      <w:pPr>
        <w:pStyle w:val="Estilo3"/>
        <w:ind w:left="720"/>
        <w:rPr>
          <w:lang w:val="es-CL"/>
        </w:rPr>
      </w:pPr>
    </w:p>
    <w:p w14:paraId="2D04B98E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294F405C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CF3140A" w14:textId="28087998" w:rsidR="00126A15" w:rsidRPr="00126A15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>
        <w:rPr>
          <w:rFonts w:cs="Arial"/>
          <w:color w:val="262626" w:themeColor="text1" w:themeTint="D9"/>
          <w:szCs w:val="28"/>
          <w:lang w:val="es-ES"/>
        </w:rPr>
        <w:t>•</w:t>
      </w:r>
      <w:r w:rsidRPr="00126A15">
        <w:rPr>
          <w:rFonts w:cs="Arial"/>
          <w:color w:val="262626" w:themeColor="text1" w:themeTint="D9"/>
          <w:szCs w:val="28"/>
          <w:lang w:val="es-ES"/>
        </w:rPr>
        <w:t xml:space="preserve">Leer el punto “1.1.1. Propósito y Objetivos de la Operación del Servicio” </w:t>
      </w:r>
    </w:p>
    <w:p w14:paraId="4454C004" w14:textId="682D8E30" w:rsidR="00126A15" w:rsidRPr="00126A15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126A15">
        <w:rPr>
          <w:rFonts w:cs="Arial"/>
          <w:color w:val="262626" w:themeColor="text1" w:themeTint="D9"/>
          <w:szCs w:val="28"/>
          <w:lang w:val="es-ES"/>
        </w:rPr>
        <w:t>•Leer la introducción al punto 4 “Procesos de Transición del Servicio”</w:t>
      </w:r>
    </w:p>
    <w:p w14:paraId="02572104" w14:textId="36B4BCB3" w:rsidR="00126A15" w:rsidRPr="00126A15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126A15">
        <w:rPr>
          <w:rFonts w:cs="Arial"/>
          <w:color w:val="262626" w:themeColor="text1" w:themeTint="D9"/>
          <w:szCs w:val="28"/>
          <w:lang w:val="es-ES"/>
        </w:rPr>
        <w:t>•Leer los puntos 4.1, 4.2, 4.3 y 4.4 que contienen propósito y objetivos de cada proceso</w:t>
      </w:r>
    </w:p>
    <w:p w14:paraId="5C8FE4B8" w14:textId="4EB80322" w:rsidR="00693FFC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126A15">
        <w:rPr>
          <w:rFonts w:cs="Arial"/>
          <w:color w:val="262626" w:themeColor="text1" w:themeTint="D9"/>
          <w:szCs w:val="28"/>
          <w:lang w:val="es-ES"/>
        </w:rPr>
        <w:t>•Leer los puntos 6.2.1.1, 6.2.1.2, 6.2.1.3 y 6.2.1.4 que contienen propósito y objetivos de cada función.</w:t>
      </w:r>
    </w:p>
    <w:p w14:paraId="6064DB5B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184010A9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CCBD00D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1F96673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37DC40FD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17B60361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5CEA6C3A" w14:textId="77777777" w:rsidR="00FB5140" w:rsidRDefault="00FB5140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2846E256" w14:textId="77777777" w:rsidR="00FB5140" w:rsidRDefault="00FB5140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4FD26DC9" w14:textId="212C507C" w:rsidR="002A3DE3" w:rsidRDefault="002A3DE3" w:rsidP="00EA7FE8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34F0DAA1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Proceso</w:t>
      </w:r>
      <w:proofErr w:type="spellEnd"/>
      <w:r w:rsidRPr="00126A15">
        <w:rPr>
          <w:rFonts w:eastAsiaTheme="minorEastAsia"/>
          <w:color w:val="404040" w:themeColor="text1" w:themeTint="BF"/>
          <w:sz w:val="22"/>
          <w:szCs w:val="22"/>
        </w:rPr>
        <w:t xml:space="preserve"> v/s </w:t>
      </w: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función</w:t>
      </w:r>
      <w:proofErr w:type="spellEnd"/>
    </w:p>
    <w:p w14:paraId="1700316D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Incidente</w:t>
      </w:r>
      <w:proofErr w:type="spellEnd"/>
    </w:p>
    <w:p w14:paraId="7D74DB64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Problema</w:t>
      </w:r>
      <w:proofErr w:type="spellEnd"/>
    </w:p>
    <w:p w14:paraId="07117F65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Evento</w:t>
      </w:r>
      <w:proofErr w:type="spellEnd"/>
    </w:p>
    <w:p w14:paraId="4551071B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r w:rsidRPr="00126A15">
        <w:rPr>
          <w:rFonts w:eastAsiaTheme="minorEastAsia"/>
          <w:color w:val="404040" w:themeColor="text1" w:themeTint="BF"/>
          <w:sz w:val="22"/>
          <w:szCs w:val="22"/>
        </w:rPr>
        <w:t xml:space="preserve">Punto </w:t>
      </w: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único</w:t>
      </w:r>
      <w:proofErr w:type="spellEnd"/>
      <w:r w:rsidRPr="00126A15">
        <w:rPr>
          <w:rFonts w:eastAsiaTheme="minorEastAsia"/>
          <w:color w:val="404040" w:themeColor="text1" w:themeTint="BF"/>
          <w:sz w:val="22"/>
          <w:szCs w:val="22"/>
        </w:rPr>
        <w:t xml:space="preserve"> de </w:t>
      </w: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contacto</w:t>
      </w:r>
      <w:proofErr w:type="spellEnd"/>
    </w:p>
    <w:p w14:paraId="74A6EBEC" w14:textId="77777777" w:rsidR="00E73C6C" w:rsidRDefault="00E73C6C" w:rsidP="00E73C6C">
      <w:pPr>
        <w:pStyle w:val="Estilo3"/>
        <w:rPr>
          <w:color w:val="404040" w:themeColor="text1" w:themeTint="BF"/>
          <w:lang w:val="es-CL"/>
        </w:rPr>
      </w:pPr>
    </w:p>
    <w:p w14:paraId="3CAC4F12" w14:textId="77777777" w:rsidR="00CB1442" w:rsidRDefault="00CB1442" w:rsidP="00E73C6C">
      <w:pPr>
        <w:pStyle w:val="Estilo3"/>
        <w:rPr>
          <w:color w:val="404040" w:themeColor="text1" w:themeTint="BF"/>
          <w:lang w:val="es-CL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77A82E0B" w14:textId="5A61596B" w:rsidR="00126A15" w:rsidRPr="00D876BB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¿La fase de operación del servicio se relaciona más con el largo plazo o con el día a día (corto plazo)?</w:t>
      </w:r>
    </w:p>
    <w:p w14:paraId="63B031A4" w14:textId="1FA93798" w:rsidR="00D876BB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2CA81522" w14:textId="65D0AB7A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Monitorización y control.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Se trata de la observación de una situación expresa para detectar cambios a lo largo del tiempo. En la fase de Operación del servicio, la monitorización incluye:</w:t>
      </w:r>
    </w:p>
    <w:p w14:paraId="473F91B2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6CC52A0F" w14:textId="799CDF55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Monitorizar los </w:t>
      </w:r>
      <w:proofErr w:type="spellStart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CIs</w:t>
      </w:r>
      <w:proofErr w:type="spellEnd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y actividades clave.</w:t>
      </w:r>
    </w:p>
    <w:p w14:paraId="62EB7DD4" w14:textId="7BB55628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Cumplir las condiciones establecidas y, en caso contrario, proponer al grupo adecuado.</w:t>
      </w:r>
    </w:p>
    <w:p w14:paraId="7F471BEF" w14:textId="151E5491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He de asegurar que el rendimiento y utilización de componentes o sistemas se encuentran dentro de un rango previsto.</w:t>
      </w:r>
    </w:p>
    <w:p w14:paraId="66078B92" w14:textId="6E652E0D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Detectar niveles de actividad incorrectos en la infraestructura.</w:t>
      </w:r>
    </w:p>
    <w:p w14:paraId="4A8241AC" w14:textId="51505EB6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Detectar cambios no autorizados.</w:t>
      </w:r>
    </w:p>
    <w:p w14:paraId="021E30F7" w14:textId="30E1A806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Garantizar el cumplimiento de las políticas de la empresa.</w:t>
      </w:r>
    </w:p>
    <w:p w14:paraId="5B492029" w14:textId="2415E4A6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Observar las salidas al negocio y asegurarse de que se ajustan a los requisitos de calidad y rendimiento acordados.</w:t>
      </w:r>
    </w:p>
    <w:p w14:paraId="1F63BA16" w14:textId="626BBA50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Conocer cualquier información empleada para medir los </w:t>
      </w:r>
      <w:proofErr w:type="spellStart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KPIs</w:t>
      </w:r>
      <w:proofErr w:type="spellEnd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.</w:t>
      </w:r>
    </w:p>
    <w:p w14:paraId="4FE6ABC4" w14:textId="6EAEE61B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El modelo más extendido para definir el control es el Ciclo de Monitorización-Control. Este ciclo puede ser de tipo abierto o cerrado.</w:t>
      </w:r>
    </w:p>
    <w:p w14:paraId="5F586CDF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5E558BB7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La monitorización tiene dos niveles de actuación, </w:t>
      </w: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monitorización y control interno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, y </w:t>
      </w: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monitorización y control externos.</w:t>
      </w:r>
    </w:p>
    <w:p w14:paraId="12DDCA1E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619FA42F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Podemos distinguir distintos tipos de monitorización según tres factores:</w:t>
      </w:r>
    </w:p>
    <w:p w14:paraId="446A7D42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4454332E" w14:textId="1D43A897" w:rsidR="00D876BB" w:rsidRPr="00D876BB" w:rsidRDefault="00D876BB" w:rsidP="00D876BB">
      <w:pPr>
        <w:pStyle w:val="Estilo3"/>
        <w:numPr>
          <w:ilvl w:val="0"/>
          <w:numId w:val="44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Monitorización activa vs. Pasiv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a.</w:t>
      </w:r>
    </w:p>
    <w:p w14:paraId="6D3C3C42" w14:textId="1A902777" w:rsidR="00D876BB" w:rsidRPr="00D876BB" w:rsidRDefault="00D876BB" w:rsidP="00D876BB">
      <w:pPr>
        <w:pStyle w:val="Estilo3"/>
        <w:numPr>
          <w:ilvl w:val="0"/>
          <w:numId w:val="44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Monitorización reactiva vs. </w:t>
      </w:r>
      <w:proofErr w:type="spellStart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Pre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-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activa</w:t>
      </w:r>
      <w:proofErr w:type="spellEnd"/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.</w:t>
      </w:r>
    </w:p>
    <w:p w14:paraId="39C68D26" w14:textId="2746BA87" w:rsidR="00D876BB" w:rsidRDefault="00D876BB" w:rsidP="00D876BB">
      <w:pPr>
        <w:pStyle w:val="Estilo3"/>
        <w:numPr>
          <w:ilvl w:val="0"/>
          <w:numId w:val="44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Medición continuada vs. basada en excepciones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.</w:t>
      </w:r>
    </w:p>
    <w:p w14:paraId="49221C8C" w14:textId="77777777" w:rsidR="00D876BB" w:rsidRDefault="00D876BB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2"/>
          <w:lang w:val="es-ES"/>
        </w:rPr>
      </w:pP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br w:type="page"/>
      </w:r>
    </w:p>
    <w:p w14:paraId="64F6A5F3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9FB4772" w14:textId="0E921110" w:rsidR="00126A15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¿Los servicios deben ser provistos (en parte o total) por un solo proveedor o pueden ser provistos por varios proveedores?</w:t>
      </w:r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(</w:t>
      </w:r>
      <w:proofErr w:type="spellStart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yerko</w:t>
      </w:r>
      <w:proofErr w:type="spellEnd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)</w:t>
      </w:r>
    </w:p>
    <w:p w14:paraId="6ED427A0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7F0A62D" w14:textId="278A6886" w:rsidR="00126A15" w:rsidRDefault="00D876BB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¿Qué proceso es el encargado de asegurar que el acceso a los servicios se provea sólo a quienes están autorizados a recibirlos?</w:t>
      </w:r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(</w:t>
      </w:r>
      <w:proofErr w:type="spellStart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ivo</w:t>
      </w:r>
      <w:proofErr w:type="spellEnd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)</w:t>
      </w:r>
    </w:p>
    <w:p w14:paraId="2FA57279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3623C3F2" w14:textId="7ACAED9C" w:rsidR="00126A15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¿Cuál proceso minimiza el impacto de las disrupciones (caídas) de los servicios?</w:t>
      </w:r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(</w:t>
      </w:r>
      <w:proofErr w:type="spellStart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ivo</w:t>
      </w:r>
      <w:proofErr w:type="spellEnd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)</w:t>
      </w:r>
    </w:p>
    <w:p w14:paraId="0951591C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1520EC37" w14:textId="4A4AF98D" w:rsidR="00126A15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¿Cuál proceso analiza los incidentes para encontrar causas comunes?</w:t>
      </w:r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(</w:t>
      </w:r>
      <w:proofErr w:type="spellStart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gabriel</w:t>
      </w:r>
      <w:proofErr w:type="spellEnd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)</w:t>
      </w:r>
    </w:p>
    <w:p w14:paraId="50544C29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bookmarkStart w:id="0" w:name="_GoBack"/>
      <w:bookmarkEnd w:id="0"/>
    </w:p>
    <w:p w14:paraId="2B12B088" w14:textId="61975631" w:rsidR="00126A15" w:rsidRPr="00483A8E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¿Una solicitud de traslado de un equipo debiera ser atendida por cuál de los procesos de operación del servicio?</w:t>
      </w:r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(</w:t>
      </w:r>
      <w:proofErr w:type="spellStart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felipe</w:t>
      </w:r>
      <w:proofErr w:type="spellEnd"/>
      <w:r w:rsidR="007A478A">
        <w:rPr>
          <w:rFonts w:eastAsiaTheme="minorEastAsia"/>
          <w:color w:val="404040" w:themeColor="text1" w:themeTint="BF"/>
          <w:sz w:val="22"/>
          <w:szCs w:val="22"/>
          <w:lang w:val="es-ES"/>
        </w:rPr>
        <w:t>)</w:t>
      </w:r>
    </w:p>
    <w:p w14:paraId="450F8E41" w14:textId="77777777" w:rsidR="00B3208D" w:rsidRDefault="00B3208D" w:rsidP="00126A15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0D13373" w14:textId="77777777" w:rsidR="00B3208D" w:rsidRDefault="00B3208D" w:rsidP="00126A15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12675A4A" w14:textId="4A94B20C" w:rsidR="00B3208D" w:rsidRPr="00E73C6C" w:rsidRDefault="00B3208D" w:rsidP="00B3208D">
      <w:pPr>
        <w:pStyle w:val="Estilo3"/>
        <w:rPr>
          <w:b/>
          <w:lang w:val="es-CL"/>
        </w:rPr>
      </w:pPr>
      <w:r>
        <w:rPr>
          <w:b/>
          <w:lang w:val="es-CL"/>
        </w:rPr>
        <w:t>Referencias Bibliográficas</w:t>
      </w:r>
      <w:r w:rsidRPr="00E73C6C">
        <w:rPr>
          <w:b/>
          <w:lang w:val="es-CL"/>
        </w:rPr>
        <w:t>:</w:t>
      </w:r>
    </w:p>
    <w:p w14:paraId="74AF8277" w14:textId="77777777" w:rsidR="00B3208D" w:rsidRDefault="00B3208D" w:rsidP="00B3208D">
      <w:pPr>
        <w:pStyle w:val="Estilo3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43ECF78F" w14:textId="35971555" w:rsidR="00B3208D" w:rsidRPr="007E5AA8" w:rsidRDefault="00B3208D" w:rsidP="00B3208D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r w:rsidRPr="008B4DCD">
        <w:rPr>
          <w:color w:val="404040" w:themeColor="text1" w:themeTint="BF"/>
          <w:sz w:val="22"/>
        </w:rPr>
        <w:t>AXELOS Global Best Practice</w:t>
      </w:r>
      <w:r w:rsidRPr="009A41A3">
        <w:rPr>
          <w:color w:val="404040" w:themeColor="text1" w:themeTint="BF"/>
          <w:sz w:val="22"/>
        </w:rPr>
        <w:t xml:space="preserve">. </w:t>
      </w:r>
      <w:r w:rsidRPr="007E5AA8">
        <w:rPr>
          <w:i/>
          <w:color w:val="404040" w:themeColor="text1" w:themeTint="BF"/>
          <w:sz w:val="22"/>
        </w:rPr>
        <w:t>ITIL</w:t>
      </w:r>
      <w:r>
        <w:rPr>
          <w:i/>
          <w:color w:val="404040" w:themeColor="text1" w:themeTint="BF"/>
          <w:sz w:val="22"/>
        </w:rPr>
        <w:t xml:space="preserve"> v3</w:t>
      </w:r>
      <w:r w:rsidRPr="007E5AA8">
        <w:rPr>
          <w:i/>
          <w:color w:val="404040" w:themeColor="text1" w:themeTint="BF"/>
          <w:sz w:val="22"/>
        </w:rPr>
        <w:t xml:space="preserve"> Service </w:t>
      </w:r>
      <w:r>
        <w:rPr>
          <w:i/>
          <w:color w:val="404040" w:themeColor="text1" w:themeTint="BF"/>
          <w:sz w:val="22"/>
        </w:rPr>
        <w:t>Operation</w:t>
      </w:r>
      <w:r w:rsidRPr="007E5AA8">
        <w:rPr>
          <w:color w:val="404040" w:themeColor="text1" w:themeTint="BF"/>
          <w:sz w:val="22"/>
        </w:rPr>
        <w:t>. London: The Stationery Office</w:t>
      </w:r>
      <w:r>
        <w:rPr>
          <w:color w:val="404040" w:themeColor="text1" w:themeTint="BF"/>
          <w:sz w:val="22"/>
        </w:rPr>
        <w:t>, 201</w:t>
      </w:r>
      <w:r w:rsidR="00D876BB">
        <w:rPr>
          <w:color w:val="404040" w:themeColor="text1" w:themeTint="BF"/>
          <w:sz w:val="22"/>
        </w:rPr>
        <w:t>1</w:t>
      </w:r>
      <w:r w:rsidRPr="007E5AA8">
        <w:rPr>
          <w:color w:val="404040" w:themeColor="text1" w:themeTint="BF"/>
          <w:sz w:val="22"/>
        </w:rPr>
        <w:t xml:space="preserve">. </w:t>
      </w:r>
    </w:p>
    <w:p w14:paraId="457F4F13" w14:textId="77777777" w:rsidR="00B3208D" w:rsidRPr="00483A8E" w:rsidRDefault="00B3208D" w:rsidP="00B3208D">
      <w:pPr>
        <w:pStyle w:val="Estilo3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sectPr w:rsidR="00B3208D" w:rsidRPr="00483A8E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60B33" w14:textId="77777777" w:rsidR="00B00854" w:rsidRDefault="00B00854" w:rsidP="00FC3616">
      <w:r>
        <w:separator/>
      </w:r>
    </w:p>
  </w:endnote>
  <w:endnote w:type="continuationSeparator" w:id="0">
    <w:p w14:paraId="1EEFD683" w14:textId="77777777" w:rsidR="00B00854" w:rsidRDefault="00B00854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109DBA13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2D76C2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57E1B9A7" w14:textId="099C1A28" w:rsidR="002876A3" w:rsidRPr="00731384" w:rsidRDefault="002876A3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109DBA13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2D76C2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57E1B9A7" w14:textId="099C1A28" w:rsidR="002876A3" w:rsidRPr="00731384" w:rsidRDefault="002876A3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2876A3" w:rsidRPr="002876A3">
          <w:rPr>
            <w:rFonts w:asciiTheme="minorHAnsi" w:hAnsiTheme="minorHAnsi"/>
            <w:noProof/>
            <w:lang w:val="es-ES"/>
          </w:rPr>
          <w:t>2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0FE5C" w14:textId="77777777" w:rsidR="00B00854" w:rsidRDefault="00B00854" w:rsidP="00FC3616">
      <w:r>
        <w:separator/>
      </w:r>
    </w:p>
  </w:footnote>
  <w:footnote w:type="continuationSeparator" w:id="0">
    <w:p w14:paraId="60C18F7F" w14:textId="77777777" w:rsidR="00B00854" w:rsidRDefault="00B00854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200"/>
    <w:multiLevelType w:val="hybridMultilevel"/>
    <w:tmpl w:val="6C7EB1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A17C5"/>
    <w:multiLevelType w:val="hybridMultilevel"/>
    <w:tmpl w:val="4262FC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67C28"/>
    <w:multiLevelType w:val="hybridMultilevel"/>
    <w:tmpl w:val="35E02AD4"/>
    <w:lvl w:ilvl="0" w:tplc="AE28C5FE">
      <w:start w:val="3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23907"/>
    <w:multiLevelType w:val="hybridMultilevel"/>
    <w:tmpl w:val="0CC65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9679A"/>
    <w:multiLevelType w:val="hybridMultilevel"/>
    <w:tmpl w:val="769CBE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6DA3"/>
    <w:multiLevelType w:val="hybridMultilevel"/>
    <w:tmpl w:val="0BE6EBF4"/>
    <w:lvl w:ilvl="0" w:tplc="0A50DCD8">
      <w:start w:val="3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34"/>
  </w:num>
  <w:num w:numId="4">
    <w:abstractNumId w:val="40"/>
  </w:num>
  <w:num w:numId="5">
    <w:abstractNumId w:val="40"/>
    <w:lvlOverride w:ilvl="0">
      <w:startOverride w:val="2"/>
    </w:lvlOverride>
  </w:num>
  <w:num w:numId="6">
    <w:abstractNumId w:val="32"/>
    <w:lvlOverride w:ilvl="0">
      <w:startOverride w:val="2"/>
    </w:lvlOverride>
  </w:num>
  <w:num w:numId="7">
    <w:abstractNumId w:val="37"/>
  </w:num>
  <w:num w:numId="8">
    <w:abstractNumId w:val="21"/>
  </w:num>
  <w:num w:numId="9">
    <w:abstractNumId w:val="30"/>
  </w:num>
  <w:num w:numId="10">
    <w:abstractNumId w:val="11"/>
  </w:num>
  <w:num w:numId="11">
    <w:abstractNumId w:val="35"/>
  </w:num>
  <w:num w:numId="12">
    <w:abstractNumId w:val="17"/>
  </w:num>
  <w:num w:numId="13">
    <w:abstractNumId w:val="4"/>
  </w:num>
  <w:num w:numId="14">
    <w:abstractNumId w:val="26"/>
  </w:num>
  <w:num w:numId="15">
    <w:abstractNumId w:val="15"/>
  </w:num>
  <w:num w:numId="16">
    <w:abstractNumId w:val="18"/>
  </w:num>
  <w:num w:numId="17">
    <w:abstractNumId w:val="42"/>
  </w:num>
  <w:num w:numId="18">
    <w:abstractNumId w:val="2"/>
  </w:num>
  <w:num w:numId="19">
    <w:abstractNumId w:val="31"/>
  </w:num>
  <w:num w:numId="20">
    <w:abstractNumId w:val="1"/>
  </w:num>
  <w:num w:numId="21">
    <w:abstractNumId w:val="38"/>
  </w:num>
  <w:num w:numId="22">
    <w:abstractNumId w:val="22"/>
  </w:num>
  <w:num w:numId="23">
    <w:abstractNumId w:val="33"/>
  </w:num>
  <w:num w:numId="24">
    <w:abstractNumId w:val="6"/>
  </w:num>
  <w:num w:numId="25">
    <w:abstractNumId w:val="8"/>
  </w:num>
  <w:num w:numId="26">
    <w:abstractNumId w:val="5"/>
  </w:num>
  <w:num w:numId="27">
    <w:abstractNumId w:val="23"/>
  </w:num>
  <w:num w:numId="28">
    <w:abstractNumId w:val="9"/>
  </w:num>
  <w:num w:numId="29">
    <w:abstractNumId w:val="14"/>
  </w:num>
  <w:num w:numId="30">
    <w:abstractNumId w:val="24"/>
  </w:num>
  <w:num w:numId="31">
    <w:abstractNumId w:val="41"/>
  </w:num>
  <w:num w:numId="32">
    <w:abstractNumId w:val="16"/>
  </w:num>
  <w:num w:numId="33">
    <w:abstractNumId w:val="36"/>
  </w:num>
  <w:num w:numId="34">
    <w:abstractNumId w:val="13"/>
  </w:num>
  <w:num w:numId="35">
    <w:abstractNumId w:val="12"/>
  </w:num>
  <w:num w:numId="36">
    <w:abstractNumId w:val="3"/>
  </w:num>
  <w:num w:numId="37">
    <w:abstractNumId w:val="7"/>
  </w:num>
  <w:num w:numId="38">
    <w:abstractNumId w:val="10"/>
  </w:num>
  <w:num w:numId="39">
    <w:abstractNumId w:val="19"/>
  </w:num>
  <w:num w:numId="40">
    <w:abstractNumId w:val="28"/>
  </w:num>
  <w:num w:numId="41">
    <w:abstractNumId w:val="20"/>
  </w:num>
  <w:num w:numId="42">
    <w:abstractNumId w:val="0"/>
  </w:num>
  <w:num w:numId="43">
    <w:abstractNumId w:val="29"/>
  </w:num>
  <w:num w:numId="44">
    <w:abstractNumId w:val="25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A15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876A3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76C2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3A8E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36F1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A1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3FFC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78A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3BB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6C8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03E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6A86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7BC"/>
    <w:rsid w:val="00AF592E"/>
    <w:rsid w:val="00AF6C27"/>
    <w:rsid w:val="00AF7411"/>
    <w:rsid w:val="00AF7CD7"/>
    <w:rsid w:val="00B00854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8D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48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766"/>
    <w:rsid w:val="00C15988"/>
    <w:rsid w:val="00C15DDA"/>
    <w:rsid w:val="00C2377A"/>
    <w:rsid w:val="00C24865"/>
    <w:rsid w:val="00C278B9"/>
    <w:rsid w:val="00C30881"/>
    <w:rsid w:val="00C31281"/>
    <w:rsid w:val="00C324D1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1E94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1442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4DF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876BB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236B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294B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FE8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5140"/>
    <w:rsid w:val="00FB6DBA"/>
    <w:rsid w:val="00FB76C8"/>
    <w:rsid w:val="00FB7E59"/>
    <w:rsid w:val="00FC1FBA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68145-BEFD-42DD-BC62-C6E138BC0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8EE0F3-6311-4B52-B0D5-D072BA65ADBD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F4DFB2AA-3123-428D-BED6-D17EB4C0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y520</cp:lastModifiedBy>
  <cp:revision>8</cp:revision>
  <cp:lastPrinted>2015-09-08T20:09:00Z</cp:lastPrinted>
  <dcterms:created xsi:type="dcterms:W3CDTF">2018-09-15T20:54:00Z</dcterms:created>
  <dcterms:modified xsi:type="dcterms:W3CDTF">2019-05-27T19:40:00Z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