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769753F9"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4F46AF">
        <w:rPr>
          <w:rFonts w:asciiTheme="minorHAnsi" w:hAnsiTheme="minorHAnsi" w:cs="Arial"/>
          <w:b/>
          <w:color w:val="262626" w:themeColor="text1" w:themeTint="D9"/>
          <w:sz w:val="40"/>
          <w:szCs w:val="40"/>
        </w:rPr>
        <w:t>7</w:t>
      </w:r>
      <w:r w:rsidR="00B07977" w:rsidRPr="00731384">
        <w:rPr>
          <w:rFonts w:asciiTheme="minorHAnsi" w:hAnsiTheme="minorHAnsi" w:cs="Arial"/>
          <w:b/>
          <w:color w:val="262626" w:themeColor="text1" w:themeTint="D9"/>
          <w:sz w:val="40"/>
          <w:szCs w:val="40"/>
        </w:rPr>
        <w:t xml:space="preserve">: </w:t>
      </w:r>
      <w:r w:rsidR="003837AA">
        <w:rPr>
          <w:rFonts w:asciiTheme="minorHAnsi" w:hAnsiTheme="minorHAnsi" w:cs="Arial"/>
          <w:b/>
          <w:color w:val="262626" w:themeColor="text1" w:themeTint="D9"/>
          <w:sz w:val="40"/>
          <w:szCs w:val="40"/>
        </w:rPr>
        <w:t>Mejora Continua de</w:t>
      </w:r>
      <w:r w:rsidR="004F46AF" w:rsidRPr="004F46AF">
        <w:rPr>
          <w:rFonts w:asciiTheme="minorHAnsi" w:hAnsiTheme="minorHAnsi" w:cs="Arial"/>
          <w:b/>
          <w:color w:val="262626" w:themeColor="text1" w:themeTint="D9"/>
          <w:sz w:val="40"/>
          <w:szCs w:val="40"/>
        </w:rPr>
        <w:t xml:space="preserve"> Servicio</w:t>
      </w:r>
      <w:r w:rsidR="003837AA">
        <w:rPr>
          <w:rFonts w:asciiTheme="minorHAnsi" w:hAnsiTheme="minorHAnsi" w:cs="Arial"/>
          <w:b/>
          <w:color w:val="262626" w:themeColor="text1" w:themeTint="D9"/>
          <w:sz w:val="40"/>
          <w:szCs w:val="40"/>
        </w:rPr>
        <w:t>s</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9F0ECF"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49F1F543" w:rsidR="00E73C6C" w:rsidRPr="00731384" w:rsidRDefault="00E73C6C" w:rsidP="00D62CF5">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D62CF5">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519CE015" w14:textId="1427E9DF" w:rsidR="00E73C6C" w:rsidRPr="009F0ECF" w:rsidRDefault="00E73C6C" w:rsidP="00B76F1E">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D62CF5">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9F0ECF">
              <w:rPr>
                <w:rFonts w:asciiTheme="minorHAnsi" w:hAnsiTheme="minorHAnsi" w:cs="Arial"/>
                <w:color w:val="262626" w:themeColor="text1" w:themeTint="D9"/>
                <w:sz w:val="22"/>
                <w:szCs w:val="22"/>
                <w:lang w:val="es-CL"/>
              </w:rPr>
              <w:t xml:space="preserve">: </w:t>
            </w:r>
            <w:r w:rsidR="009F0ECF" w:rsidRPr="009F0ECF">
              <w:rPr>
                <w:rFonts w:asciiTheme="minorHAnsi" w:hAnsiTheme="minorHAnsi" w:cs="Arial"/>
                <w:b w:val="0"/>
                <w:bCs w:val="0"/>
                <w:color w:val="262626" w:themeColor="text1" w:themeTint="D9"/>
                <w:sz w:val="22"/>
                <w:szCs w:val="22"/>
                <w:lang w:val="es-CL"/>
              </w:rPr>
              <w:t>Felipe Inda – Yerko Fuentes – Ivo Olivares – Gabriel Beltrán.</w:t>
            </w:r>
          </w:p>
          <w:p w14:paraId="0A4D5821" w14:textId="77777777" w:rsidR="00E73C6C" w:rsidRPr="0073138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p>
        </w:tc>
      </w:tr>
      <w:tr w:rsidR="00E73C6C" w:rsidRPr="009F0ECF"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1DFB093F" w:rsidR="00E73C6C" w:rsidRPr="00731384" w:rsidRDefault="00E73C6C" w:rsidP="00106677">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sidR="00106677">
              <w:rPr>
                <w:rFonts w:asciiTheme="minorHAnsi" w:hAnsiTheme="minorHAnsi" w:cs="Arial"/>
                <w:color w:val="262626" w:themeColor="text1" w:themeTint="D9"/>
                <w:sz w:val="22"/>
                <w:szCs w:val="22"/>
                <w:lang w:val="es-CL"/>
              </w:rPr>
              <w:t>3</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60962EBE" w:rsidR="00E73C6C" w:rsidRPr="00E76BB3" w:rsidRDefault="00E76BB3" w:rsidP="00E76BB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E76BB3">
              <w:rPr>
                <w:rFonts w:ascii="Verdana" w:hAnsi="Verdana" w:cs="Times New Roman"/>
                <w:sz w:val="17"/>
                <w:szCs w:val="17"/>
                <w:lang w:val="es-ES" w:eastAsia="es-CL"/>
              </w:rPr>
              <w:t>3.1.- Evalúa procesos de servicio según mejores prácticas de gestión de servicios</w:t>
            </w:r>
            <w:r w:rsidR="00E73C6C" w:rsidRPr="00E76BB3">
              <w:rPr>
                <w:rFonts w:asciiTheme="minorHAnsi" w:hAnsiTheme="minorHAnsi" w:cs="Arial"/>
                <w:color w:val="262626" w:themeColor="text1" w:themeTint="D9"/>
                <w:sz w:val="22"/>
                <w:szCs w:val="22"/>
                <w:lang w:val="es-CL"/>
              </w:rPr>
              <w:t>.</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6B12E878"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w:t>
            </w:r>
            <w:r w:rsidR="00550B59">
              <w:rPr>
                <w:rFonts w:asciiTheme="minorHAnsi" w:eastAsiaTheme="minorEastAsia"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4BE92E26"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9F0ECF">
              <w:rPr>
                <w:rFonts w:asciiTheme="minorHAnsi" w:hAnsiTheme="minorHAnsi" w:cs="Arial"/>
                <w:b/>
                <w:color w:val="262626" w:themeColor="text1" w:themeTint="D9"/>
                <w:sz w:val="22"/>
                <w:szCs w:val="22"/>
                <w:lang w:val="es-CL"/>
              </w:rPr>
              <w:t xml:space="preserve"> </w:t>
            </w:r>
            <w:r w:rsidR="009F0ECF" w:rsidRPr="009F0ECF">
              <w:rPr>
                <w:rFonts w:asciiTheme="minorHAnsi" w:hAnsiTheme="minorHAnsi" w:cs="Arial"/>
                <w:bCs/>
                <w:color w:val="262626" w:themeColor="text1" w:themeTint="D9"/>
                <w:sz w:val="22"/>
                <w:szCs w:val="22"/>
                <w:lang w:val="es-CL"/>
              </w:rPr>
              <w:t>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40EC4E7E" w:rsidR="00E73C6C" w:rsidRPr="00731384" w:rsidRDefault="009F0ECF"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01 de Julio del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48DD42B3" w14:textId="283693F8" w:rsidR="004F46AF" w:rsidRPr="004F46AF" w:rsidRDefault="004F46AF" w:rsidP="004F46AF">
      <w:pPr>
        <w:pStyle w:val="Estilo1"/>
        <w:rPr>
          <w:rFonts w:cs="Segoe UI"/>
          <w:b w:val="0"/>
          <w:color w:val="404040" w:themeColor="text1" w:themeTint="BF"/>
          <w:sz w:val="24"/>
          <w:szCs w:val="20"/>
          <w:lang w:val="es-CL" w:eastAsia="es-CL"/>
        </w:rPr>
      </w:pPr>
      <w:r w:rsidRPr="004F46AF">
        <w:rPr>
          <w:rFonts w:cs="Segoe UI"/>
          <w:b w:val="0"/>
          <w:color w:val="404040" w:themeColor="text1" w:themeTint="BF"/>
          <w:sz w:val="24"/>
          <w:szCs w:val="20"/>
          <w:lang w:val="es-CL" w:eastAsia="es-CL"/>
        </w:rPr>
        <w:t>Describir los objetivos y beneficios de la Fase de Mejora Continua del Ciclo de Vida del Servicio.</w:t>
      </w:r>
    </w:p>
    <w:p w14:paraId="08935F93" w14:textId="267D69B9" w:rsidR="00126A15" w:rsidRDefault="004F46AF" w:rsidP="004F46AF">
      <w:pPr>
        <w:pStyle w:val="Estilo1"/>
        <w:rPr>
          <w:rFonts w:cs="Segoe UI"/>
          <w:b w:val="0"/>
          <w:color w:val="404040" w:themeColor="text1" w:themeTint="BF"/>
          <w:sz w:val="24"/>
          <w:szCs w:val="20"/>
          <w:lang w:val="es-CL" w:eastAsia="es-CL"/>
        </w:rPr>
      </w:pPr>
      <w:r w:rsidRPr="004F46AF">
        <w:rPr>
          <w:rFonts w:cs="Segoe UI"/>
          <w:b w:val="0"/>
          <w:color w:val="404040" w:themeColor="text1" w:themeTint="BF"/>
          <w:sz w:val="24"/>
          <w:szCs w:val="20"/>
          <w:lang w:val="es-CL" w:eastAsia="es-CL"/>
        </w:rPr>
        <w:t>Describir los Procesos de la Fase de Mejora Continua.</w:t>
      </w:r>
    </w:p>
    <w:p w14:paraId="50A7BBA6" w14:textId="18C63A82" w:rsidR="003F1564" w:rsidRPr="008E17B3" w:rsidRDefault="003F1564" w:rsidP="00126A15">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1033B141"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6AF" w:rsidRPr="00550B59">
        <w:rPr>
          <w:lang w:val="es-ES"/>
        </w:rPr>
        <w:t xml:space="preserve"> </w:t>
      </w:r>
      <w:r w:rsidR="004F46AF" w:rsidRPr="004F46AF">
        <w:rPr>
          <w:noProof/>
          <w:lang w:val="es-CL" w:eastAsia="es-CL" w:bidi="ar-SA"/>
        </w:rPr>
        <w:t>El propósito de la Fase de Mejora Continua del Ciclo de Vida del Servic</w:t>
      </w:r>
      <w:r w:rsidR="007662FD">
        <w:rPr>
          <w:noProof/>
          <w:lang w:val="es-CL" w:eastAsia="es-CL" w:bidi="ar-SA"/>
        </w:rPr>
        <w:t xml:space="preserve">io es alinear los Servicios de </w:t>
      </w:r>
      <w:r w:rsidR="004F46AF" w:rsidRPr="004F46AF">
        <w:rPr>
          <w:noProof/>
          <w:lang w:val="es-CL" w:eastAsia="es-CL" w:bidi="ar-SA"/>
        </w:rPr>
        <w:t>T</w:t>
      </w:r>
      <w:r w:rsidR="007662FD">
        <w:rPr>
          <w:noProof/>
          <w:lang w:val="es-CL" w:eastAsia="es-CL" w:bidi="ar-SA"/>
        </w:rPr>
        <w:t>I</w:t>
      </w:r>
      <w:r w:rsidR="004F46AF" w:rsidRPr="004F46AF">
        <w:rPr>
          <w:noProof/>
          <w:lang w:val="es-CL" w:eastAsia="es-CL" w:bidi="ar-SA"/>
        </w:rPr>
        <w:t xml:space="preserve"> con las cambiantes necesidades del negocio, identificando e implementando mejoras a los servicios de TI que soportan los procesos del negocio.</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4F95D1BA" w14:textId="78B9CD70" w:rsidR="004F46AF" w:rsidRPr="004F46AF"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 xml:space="preserve">Leer el punto “1.1.1. Propósito y Objetivo de la Mejora Continua”  </w:t>
      </w:r>
    </w:p>
    <w:p w14:paraId="419BBBC4" w14:textId="46E09C8C" w:rsidR="004F46AF" w:rsidRPr="004F46AF"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Leer la Introducción del punto 4. “El proceso de mejora en 7 pasos”</w:t>
      </w:r>
    </w:p>
    <w:p w14:paraId="5C8FE4B8" w14:textId="5A02BE1A" w:rsidR="00693FFC"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Leer el punto “4.1.1 propósito y objetivos de la Mejora Continua”</w:t>
      </w:r>
    </w:p>
    <w:p w14:paraId="6064DB5B"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0A7D163A"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Mejora</w:t>
      </w:r>
    </w:p>
    <w:p w14:paraId="7BCA6CA8"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Ciclo Deming</w:t>
      </w:r>
    </w:p>
    <w:p w14:paraId="1FB77513"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Calidad</w:t>
      </w:r>
    </w:p>
    <w:p w14:paraId="5C13201C"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Costo</w:t>
      </w:r>
    </w:p>
    <w:p w14:paraId="64C3B394"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Caso de Negocios</w:t>
      </w:r>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30D3538D" w14:textId="68E45DB0" w:rsidR="004F46AF" w:rsidRPr="001B1CDF" w:rsidRDefault="009F0ECF" w:rsidP="004F46AF">
      <w:pPr>
        <w:pStyle w:val="Estilo3"/>
        <w:numPr>
          <w:ilvl w:val="0"/>
          <w:numId w:val="46"/>
        </w:numPr>
        <w:rPr>
          <w:rFonts w:eastAsiaTheme="minorEastAsia"/>
          <w:b/>
          <w:bCs/>
          <w:color w:val="404040" w:themeColor="text1" w:themeTint="BF"/>
          <w:sz w:val="22"/>
          <w:szCs w:val="22"/>
          <w:lang w:val="es-ES"/>
        </w:rPr>
      </w:pPr>
      <w:r w:rsidRPr="001B1CDF">
        <w:rPr>
          <w:rFonts w:eastAsiaTheme="minorEastAsia"/>
          <w:b/>
          <w:bCs/>
          <w:color w:val="404040" w:themeColor="text1" w:themeTint="BF"/>
          <w:sz w:val="22"/>
          <w:szCs w:val="22"/>
          <w:lang w:val="es-ES"/>
        </w:rPr>
        <w:t>¿</w:t>
      </w:r>
      <w:r w:rsidR="004F46AF" w:rsidRPr="001B1CDF">
        <w:rPr>
          <w:rFonts w:eastAsiaTheme="minorEastAsia"/>
          <w:b/>
          <w:bCs/>
          <w:color w:val="404040" w:themeColor="text1" w:themeTint="BF"/>
          <w:sz w:val="22"/>
          <w:szCs w:val="22"/>
          <w:lang w:val="es-ES"/>
        </w:rPr>
        <w:t>Cuáles son los 7 pasos del proceso de Mejora que plantea ITIL?</w:t>
      </w:r>
    </w:p>
    <w:p w14:paraId="0787340C" w14:textId="51854627" w:rsidR="009F0ECF" w:rsidRDefault="009F0EC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Planificación</w:t>
      </w:r>
    </w:p>
    <w:p w14:paraId="0682B174" w14:textId="2F5F2297"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Identificar las estrategias de mejora</w:t>
      </w:r>
    </w:p>
    <w:p w14:paraId="71382081" w14:textId="5BB8612F"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Definir </w:t>
      </w:r>
      <w:r w:rsidRPr="009F0ECF">
        <w:rPr>
          <w:rFonts w:eastAsiaTheme="minorEastAsia"/>
          <w:color w:val="404040" w:themeColor="text1" w:themeTint="BF"/>
          <w:sz w:val="22"/>
          <w:szCs w:val="22"/>
          <w:lang w:val="es-ES"/>
        </w:rPr>
        <w:t xml:space="preserve">lo que </w:t>
      </w:r>
      <w:r>
        <w:rPr>
          <w:rFonts w:eastAsiaTheme="minorEastAsia"/>
          <w:color w:val="404040" w:themeColor="text1" w:themeTint="BF"/>
          <w:sz w:val="22"/>
          <w:szCs w:val="22"/>
          <w:lang w:val="es-ES"/>
        </w:rPr>
        <w:t xml:space="preserve">se </w:t>
      </w:r>
      <w:r w:rsidRPr="009F0ECF">
        <w:rPr>
          <w:rFonts w:eastAsiaTheme="minorEastAsia"/>
          <w:color w:val="404040" w:themeColor="text1" w:themeTint="BF"/>
          <w:sz w:val="22"/>
          <w:szCs w:val="22"/>
          <w:lang w:val="es-ES"/>
        </w:rPr>
        <w:t>medirá</w:t>
      </w:r>
    </w:p>
    <w:p w14:paraId="6D0E4837" w14:textId="378A6506" w:rsidR="009F0ECF" w:rsidRDefault="009F0EC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Hacer</w:t>
      </w:r>
    </w:p>
    <w:p w14:paraId="088CC181" w14:textId="2C8AB396"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Reunir los datos</w:t>
      </w:r>
    </w:p>
    <w:p w14:paraId="3EEE0DCF" w14:textId="1A327E12"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Procesar los datos</w:t>
      </w:r>
    </w:p>
    <w:p w14:paraId="572438BC" w14:textId="1C813DFE" w:rsidR="009F0ECF" w:rsidRDefault="001B1CD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Revisar</w:t>
      </w:r>
    </w:p>
    <w:p w14:paraId="413A8474" w14:textId="01559DC4" w:rsidR="001B1CDF"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Analizar los datos y la información</w:t>
      </w:r>
    </w:p>
    <w:p w14:paraId="3438D33B" w14:textId="284E15A4" w:rsidR="001B1CDF"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Presentar y usar la información</w:t>
      </w:r>
    </w:p>
    <w:p w14:paraId="12C67332" w14:textId="3981EABE" w:rsidR="001B1CDF" w:rsidRDefault="001B1CD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Actuar</w:t>
      </w:r>
    </w:p>
    <w:p w14:paraId="26C51F91" w14:textId="04C94023" w:rsidR="001B1CDF" w:rsidRPr="00550B59"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Implementar mejoras</w:t>
      </w:r>
    </w:p>
    <w:p w14:paraId="36390285" w14:textId="37AE2D05" w:rsidR="004F46AF" w:rsidRPr="001B1CDF" w:rsidRDefault="004F46AF" w:rsidP="004F46AF">
      <w:pPr>
        <w:pStyle w:val="Estilo3"/>
        <w:numPr>
          <w:ilvl w:val="0"/>
          <w:numId w:val="46"/>
        </w:numPr>
        <w:rPr>
          <w:rFonts w:eastAsiaTheme="minorEastAsia"/>
          <w:b/>
          <w:bCs/>
          <w:color w:val="404040" w:themeColor="text1" w:themeTint="BF"/>
          <w:sz w:val="22"/>
          <w:szCs w:val="22"/>
          <w:lang w:val="es-ES"/>
        </w:rPr>
      </w:pPr>
      <w:r w:rsidRPr="001B1CDF">
        <w:rPr>
          <w:rFonts w:eastAsiaTheme="minorEastAsia"/>
          <w:b/>
          <w:bCs/>
          <w:color w:val="404040" w:themeColor="text1" w:themeTint="BF"/>
          <w:sz w:val="22"/>
          <w:szCs w:val="22"/>
          <w:lang w:val="es-ES"/>
        </w:rPr>
        <w:t>¿Cómo se relaciona el proceso de mejora en 7 pasos que propone ITIL con el Ciclo Deming?</w:t>
      </w:r>
    </w:p>
    <w:p w14:paraId="3001FC66" w14:textId="6610ED01" w:rsidR="001B1CDF" w:rsidRPr="00550B59" w:rsidRDefault="001B1CDF" w:rsidP="001B1CDF">
      <w:pPr>
        <w:pStyle w:val="Estilo3"/>
        <w:ind w:left="1068"/>
        <w:rPr>
          <w:rFonts w:eastAsiaTheme="minorEastAsia"/>
          <w:color w:val="404040" w:themeColor="text1" w:themeTint="BF"/>
          <w:sz w:val="22"/>
          <w:szCs w:val="22"/>
          <w:lang w:val="es-ES"/>
        </w:rPr>
      </w:pPr>
      <w:r>
        <w:rPr>
          <w:rFonts w:eastAsiaTheme="minorEastAsia"/>
          <w:color w:val="404040" w:themeColor="text1" w:themeTint="BF"/>
          <w:sz w:val="22"/>
          <w:szCs w:val="22"/>
          <w:lang w:val="es-ES"/>
        </w:rPr>
        <w:t>En cada proceso está relacionado con cuatro elementos que cada empresa debe de conocer e implementar de forma correcta. Sabiduría, Aplicar, Información y Conocimiento.</w:t>
      </w:r>
    </w:p>
    <w:p w14:paraId="442267EE" w14:textId="32613886"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¿Las mejoras abordan sólo los servicios o también procesos y herramientas?</w:t>
      </w:r>
    </w:p>
    <w:p w14:paraId="56C23B81" w14:textId="6F8FF4D1" w:rsidR="001B1CDF" w:rsidRPr="00550B59" w:rsidRDefault="001B1CDF" w:rsidP="001B1CDF">
      <w:pPr>
        <w:pStyle w:val="Estilo3"/>
        <w:ind w:left="1068"/>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Cuando se habla de mejoras no solamente asegura mejoras continuas </w:t>
      </w:r>
      <w:r w:rsidR="00D069C2">
        <w:rPr>
          <w:rFonts w:eastAsiaTheme="minorEastAsia"/>
          <w:color w:val="404040" w:themeColor="text1" w:themeTint="BF"/>
          <w:sz w:val="22"/>
          <w:szCs w:val="22"/>
          <w:lang w:val="es-ES"/>
        </w:rPr>
        <w:t>a los servicios, sino que también a</w:t>
      </w:r>
      <w:r w:rsidR="00D069C2" w:rsidRPr="00D069C2">
        <w:rPr>
          <w:rFonts w:eastAsiaTheme="minorEastAsia"/>
          <w:color w:val="404040" w:themeColor="text1" w:themeTint="BF"/>
          <w:sz w:val="22"/>
          <w:szCs w:val="22"/>
          <w:lang w:val="es-ES"/>
        </w:rPr>
        <w:t>lgunos de ellos pueden considerarse como procesos por derecho propio, pero en el orden en que los lectores obtienen la imagen completa.</w:t>
      </w:r>
    </w:p>
    <w:p w14:paraId="76F9F777" w14:textId="0FB88431"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Un claro objetivo de la Mejora Continua es la reducción de costos…</w:t>
      </w:r>
      <w:r w:rsidR="009F0ECF" w:rsidRPr="00D069C2">
        <w:rPr>
          <w:rFonts w:eastAsiaTheme="minorEastAsia"/>
          <w:b/>
          <w:bCs/>
          <w:color w:val="404040" w:themeColor="text1" w:themeTint="BF"/>
          <w:sz w:val="22"/>
          <w:szCs w:val="22"/>
          <w:lang w:val="es-ES"/>
        </w:rPr>
        <w:t xml:space="preserve"> ¿</w:t>
      </w:r>
      <w:r w:rsidRPr="00D069C2">
        <w:rPr>
          <w:rFonts w:eastAsiaTheme="minorEastAsia"/>
          <w:b/>
          <w:bCs/>
          <w:color w:val="404040" w:themeColor="text1" w:themeTint="BF"/>
          <w:sz w:val="22"/>
          <w:szCs w:val="22"/>
          <w:lang w:val="es-ES"/>
        </w:rPr>
        <w:t>existen otros objetivos?</w:t>
      </w:r>
    </w:p>
    <w:p w14:paraId="1C37DBF5" w14:textId="026AC0BF"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Identificar oportunidades para mejorar servicios, procesos, herramientas, etc.</w:t>
      </w:r>
    </w:p>
    <w:p w14:paraId="25FE0BFD" w14:textId="0183EE4C"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Redu</w:t>
      </w:r>
      <w:r w:rsidR="00764CC6">
        <w:rPr>
          <w:rFonts w:eastAsiaTheme="minorEastAsia"/>
          <w:color w:val="404040" w:themeColor="text1" w:themeTint="BF"/>
          <w:sz w:val="22"/>
          <w:szCs w:val="22"/>
          <w:lang w:val="es-ES"/>
        </w:rPr>
        <w:t>cir</w:t>
      </w:r>
      <w:r w:rsidRPr="00D069C2">
        <w:rPr>
          <w:rFonts w:eastAsiaTheme="minorEastAsia"/>
          <w:color w:val="404040" w:themeColor="text1" w:themeTint="BF"/>
          <w:sz w:val="22"/>
          <w:szCs w:val="22"/>
          <w:lang w:val="es-ES"/>
        </w:rPr>
        <w:t xml:space="preserve"> el costo de la prestación de servicios y garanti</w:t>
      </w:r>
      <w:r w:rsidR="00764CC6">
        <w:rPr>
          <w:rFonts w:eastAsiaTheme="minorEastAsia"/>
          <w:color w:val="404040" w:themeColor="text1" w:themeTint="BF"/>
          <w:sz w:val="22"/>
          <w:szCs w:val="22"/>
          <w:lang w:val="es-ES"/>
        </w:rPr>
        <w:t>zar</w:t>
      </w:r>
      <w:bookmarkStart w:id="0" w:name="_GoBack"/>
      <w:bookmarkEnd w:id="0"/>
      <w:r w:rsidRPr="00D069C2">
        <w:rPr>
          <w:rFonts w:eastAsiaTheme="minorEastAsia"/>
          <w:color w:val="404040" w:themeColor="text1" w:themeTint="BF"/>
          <w:sz w:val="22"/>
          <w:szCs w:val="22"/>
          <w:lang w:val="es-ES"/>
        </w:rPr>
        <w:t xml:space="preserve"> que los servicios de TI permitan alcanzar los resultados comerciales requeridos. Un objetivo claro será la reducción de costos, pero este no es el único criterio. Si, como resultado, la prestación o la calidad del servicio se reduce, el impacto general puede ser neutral o incluso negativo.</w:t>
      </w:r>
    </w:p>
    <w:p w14:paraId="1E1EB56A" w14:textId="3EEF4A86"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Identifi</w:t>
      </w:r>
      <w:r w:rsidR="00764CC6">
        <w:rPr>
          <w:rFonts w:eastAsiaTheme="minorEastAsia"/>
          <w:color w:val="404040" w:themeColor="text1" w:themeTint="BF"/>
          <w:sz w:val="22"/>
          <w:szCs w:val="22"/>
          <w:lang w:val="es-ES"/>
        </w:rPr>
        <w:t>car</w:t>
      </w:r>
      <w:r w:rsidRPr="00D069C2">
        <w:rPr>
          <w:rFonts w:eastAsiaTheme="minorEastAsia"/>
          <w:color w:val="404040" w:themeColor="text1" w:themeTint="BF"/>
          <w:sz w:val="22"/>
          <w:szCs w:val="22"/>
          <w:lang w:val="es-ES"/>
        </w:rPr>
        <w:t xml:space="preserve"> lo que se debe medir, analizar y reportar para establecer oportunidades de mejora.</w:t>
      </w:r>
    </w:p>
    <w:p w14:paraId="1AE6AB94" w14:textId="160AFBEF" w:rsidR="00764CC6" w:rsidRPr="00764CC6" w:rsidRDefault="00D069C2" w:rsidP="00764CC6">
      <w:pPr>
        <w:pStyle w:val="Estilo3"/>
        <w:numPr>
          <w:ilvl w:val="0"/>
          <w:numId w:val="49"/>
        </w:numPr>
        <w:rPr>
          <w:rFonts w:eastAsiaTheme="minorEastAsia"/>
          <w:color w:val="404040" w:themeColor="text1" w:themeTint="BF"/>
          <w:sz w:val="22"/>
          <w:szCs w:val="22"/>
          <w:lang w:val="es-ES"/>
        </w:rPr>
      </w:pPr>
      <w:r w:rsidRPr="00764CC6">
        <w:rPr>
          <w:rFonts w:eastAsiaTheme="minorEastAsia"/>
          <w:color w:val="404040" w:themeColor="text1" w:themeTint="BF"/>
          <w:sz w:val="22"/>
          <w:szCs w:val="22"/>
          <w:lang w:val="es-ES"/>
        </w:rPr>
        <w:t>Revis</w:t>
      </w:r>
      <w:r w:rsidR="00764CC6">
        <w:rPr>
          <w:rFonts w:eastAsiaTheme="minorEastAsia"/>
          <w:color w:val="404040" w:themeColor="text1" w:themeTint="BF"/>
          <w:sz w:val="22"/>
          <w:szCs w:val="22"/>
          <w:lang w:val="es-ES"/>
        </w:rPr>
        <w:t>ar</w:t>
      </w:r>
      <w:r w:rsidRPr="00764CC6">
        <w:rPr>
          <w:rFonts w:eastAsiaTheme="minorEastAsia"/>
          <w:color w:val="404040" w:themeColor="text1" w:themeTint="BF"/>
          <w:sz w:val="22"/>
          <w:szCs w:val="22"/>
          <w:lang w:val="es-ES"/>
        </w:rPr>
        <w:t xml:space="preserve"> continuamente los logros del servicio para asegurarse de que se ajusten a los requisitos del negocio; </w:t>
      </w:r>
      <w:r w:rsidR="00764CC6" w:rsidRPr="00764CC6">
        <w:rPr>
          <w:rFonts w:eastAsiaTheme="minorEastAsia"/>
          <w:color w:val="404040" w:themeColor="text1" w:themeTint="BF"/>
          <w:sz w:val="22"/>
          <w:szCs w:val="22"/>
          <w:lang w:val="es-CL"/>
        </w:rPr>
        <w:t>continuamente alinear y volver a alinear la prestación de servicios con los requisitos de resultados.</w:t>
      </w:r>
    </w:p>
    <w:p w14:paraId="34B403B3" w14:textId="16D6B49F" w:rsidR="00D069C2" w:rsidRPr="00764CC6" w:rsidRDefault="00D069C2" w:rsidP="00764CC6">
      <w:pPr>
        <w:pStyle w:val="Estilo3"/>
        <w:numPr>
          <w:ilvl w:val="0"/>
          <w:numId w:val="49"/>
        </w:numPr>
        <w:rPr>
          <w:rFonts w:eastAsiaTheme="minorEastAsia"/>
          <w:color w:val="404040" w:themeColor="text1" w:themeTint="BF"/>
          <w:sz w:val="22"/>
          <w:szCs w:val="22"/>
          <w:lang w:val="es-ES"/>
        </w:rPr>
      </w:pPr>
      <w:r w:rsidRPr="00764CC6">
        <w:rPr>
          <w:rFonts w:eastAsiaTheme="minorEastAsia"/>
          <w:color w:val="404040" w:themeColor="text1" w:themeTint="BF"/>
          <w:sz w:val="22"/>
          <w:szCs w:val="22"/>
          <w:lang w:val="es-ES"/>
        </w:rPr>
        <w:t>Entend</w:t>
      </w:r>
      <w:r w:rsidR="00764CC6">
        <w:rPr>
          <w:rFonts w:eastAsiaTheme="minorEastAsia"/>
          <w:color w:val="404040" w:themeColor="text1" w:themeTint="BF"/>
          <w:sz w:val="22"/>
          <w:szCs w:val="22"/>
          <w:lang w:val="es-ES"/>
        </w:rPr>
        <w:t>er</w:t>
      </w:r>
      <w:r w:rsidRPr="00764CC6">
        <w:rPr>
          <w:rFonts w:eastAsiaTheme="minorEastAsia"/>
          <w:color w:val="404040" w:themeColor="text1" w:themeTint="BF"/>
          <w:sz w:val="22"/>
          <w:szCs w:val="22"/>
          <w:lang w:val="es-ES"/>
        </w:rPr>
        <w:t xml:space="preserve"> qué m</w:t>
      </w:r>
      <w:r w:rsidR="00764CC6">
        <w:rPr>
          <w:rFonts w:eastAsiaTheme="minorEastAsia"/>
          <w:color w:val="404040" w:themeColor="text1" w:themeTint="BF"/>
          <w:sz w:val="22"/>
          <w:szCs w:val="22"/>
          <w:lang w:val="es-ES"/>
        </w:rPr>
        <w:t>ide</w:t>
      </w:r>
      <w:r w:rsidRPr="00764CC6">
        <w:rPr>
          <w:rFonts w:eastAsiaTheme="minorEastAsia"/>
          <w:color w:val="404040" w:themeColor="text1" w:themeTint="BF"/>
          <w:sz w:val="22"/>
          <w:szCs w:val="22"/>
          <w:lang w:val="es-ES"/>
        </w:rPr>
        <w:t>, por qué se mide y defin</w:t>
      </w:r>
      <w:r w:rsidR="00764CC6">
        <w:rPr>
          <w:rFonts w:eastAsiaTheme="minorEastAsia"/>
          <w:color w:val="404040" w:themeColor="text1" w:themeTint="BF"/>
          <w:sz w:val="22"/>
          <w:szCs w:val="22"/>
          <w:lang w:val="es-ES"/>
        </w:rPr>
        <w:t>ir</w:t>
      </w:r>
      <w:r w:rsidRPr="00764CC6">
        <w:rPr>
          <w:rFonts w:eastAsiaTheme="minorEastAsia"/>
          <w:color w:val="404040" w:themeColor="text1" w:themeTint="BF"/>
          <w:sz w:val="22"/>
          <w:szCs w:val="22"/>
          <w:lang w:val="es-ES"/>
        </w:rPr>
        <w:t xml:space="preserve"> cuidadosamente el resultado exitoso.</w:t>
      </w:r>
    </w:p>
    <w:p w14:paraId="6E97808C" w14:textId="00AFDE74"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¿Si una mejora elevaría la calidad del servicio…de qué otro factor depende su implementación?</w:t>
      </w:r>
    </w:p>
    <w:p w14:paraId="75F5CA99" w14:textId="0117F902" w:rsidR="00D069C2" w:rsidRPr="00550B59" w:rsidRDefault="00D069C2" w:rsidP="00D069C2">
      <w:pPr>
        <w:pStyle w:val="Estilo3"/>
        <w:ind w:left="1068"/>
        <w:rPr>
          <w:rFonts w:eastAsiaTheme="minorEastAsia"/>
          <w:color w:val="404040" w:themeColor="text1" w:themeTint="BF"/>
          <w:sz w:val="22"/>
          <w:szCs w:val="22"/>
          <w:lang w:val="es-ES"/>
        </w:rPr>
      </w:pPr>
      <w:r>
        <w:rPr>
          <w:rFonts w:eastAsiaTheme="minorEastAsia"/>
          <w:color w:val="404040" w:themeColor="text1" w:themeTint="BF"/>
          <w:sz w:val="22"/>
          <w:szCs w:val="22"/>
          <w:lang w:val="es-ES"/>
        </w:rPr>
        <w:t>Depende del costo que necesita no solamente para ser implementado, sino que también de su compra y traslado hacia la institución.</w:t>
      </w:r>
    </w:p>
    <w:p w14:paraId="662FEB49" w14:textId="56683AE4" w:rsidR="00693FFC" w:rsidRDefault="00693FFC" w:rsidP="00126A15">
      <w:pPr>
        <w:pStyle w:val="Estilo3"/>
        <w:ind w:left="720"/>
        <w:rPr>
          <w:rFonts w:eastAsiaTheme="minorEastAsia"/>
          <w:color w:val="404040" w:themeColor="text1" w:themeTint="BF"/>
          <w:sz w:val="22"/>
          <w:szCs w:val="22"/>
          <w:lang w:val="es-ES"/>
        </w:rPr>
      </w:pPr>
    </w:p>
    <w:p w14:paraId="08117074" w14:textId="77777777" w:rsidR="008B1446" w:rsidRDefault="008B1446" w:rsidP="00126A15">
      <w:pPr>
        <w:pStyle w:val="Estilo3"/>
        <w:ind w:left="720"/>
        <w:rPr>
          <w:rFonts w:eastAsiaTheme="minorEastAsia"/>
          <w:color w:val="404040" w:themeColor="text1" w:themeTint="BF"/>
          <w:sz w:val="22"/>
          <w:szCs w:val="22"/>
          <w:lang w:val="es-ES"/>
        </w:rPr>
      </w:pPr>
    </w:p>
    <w:p w14:paraId="68BF31EF" w14:textId="2B1CBB75" w:rsidR="008B1446" w:rsidRPr="00E73C6C" w:rsidRDefault="00950582" w:rsidP="008B1446">
      <w:pPr>
        <w:pStyle w:val="Estilo3"/>
        <w:rPr>
          <w:b/>
          <w:lang w:val="es-CL"/>
        </w:rPr>
      </w:pPr>
      <w:r>
        <w:rPr>
          <w:b/>
          <w:lang w:val="es-CL"/>
        </w:rPr>
        <w:t>Referencias Bibliográficas</w:t>
      </w:r>
      <w:r w:rsidR="008B1446" w:rsidRPr="00E73C6C">
        <w:rPr>
          <w:b/>
          <w:lang w:val="es-CL"/>
        </w:rPr>
        <w:t>:</w:t>
      </w:r>
    </w:p>
    <w:p w14:paraId="2013D368" w14:textId="77777777" w:rsidR="008B1446" w:rsidRDefault="008B1446" w:rsidP="008B1446">
      <w:pPr>
        <w:pStyle w:val="Estilo3"/>
        <w:rPr>
          <w:rFonts w:eastAsiaTheme="minorEastAsia"/>
          <w:color w:val="404040" w:themeColor="text1" w:themeTint="BF"/>
          <w:sz w:val="22"/>
          <w:szCs w:val="22"/>
          <w:lang w:val="es-ES"/>
        </w:rPr>
      </w:pPr>
    </w:p>
    <w:p w14:paraId="39EB52F6" w14:textId="0B4DFE0B" w:rsidR="00612637" w:rsidRPr="00C52B9B" w:rsidRDefault="00612637" w:rsidP="00612637">
      <w:pPr>
        <w:pStyle w:val="Estilo3"/>
        <w:tabs>
          <w:tab w:val="clear" w:pos="4242"/>
        </w:tabs>
        <w:spacing w:line="480" w:lineRule="auto"/>
        <w:ind w:left="709" w:hanging="709"/>
        <w:rPr>
          <w:color w:val="404040" w:themeColor="text1" w:themeTint="BF"/>
          <w:sz w:val="22"/>
        </w:rPr>
      </w:pPr>
      <w:r>
        <w:rPr>
          <w:color w:val="404040" w:themeColor="text1" w:themeTint="BF"/>
          <w:sz w:val="22"/>
        </w:rPr>
        <w:t>Lloyd</w:t>
      </w:r>
      <w:r w:rsidRPr="00612637">
        <w:rPr>
          <w:color w:val="404040" w:themeColor="text1" w:themeTint="BF"/>
          <w:sz w:val="22"/>
        </w:rPr>
        <w:t xml:space="preserve"> Vernon</w:t>
      </w:r>
      <w:r w:rsidRPr="00C52B9B">
        <w:rPr>
          <w:color w:val="404040" w:themeColor="text1" w:themeTint="BF"/>
          <w:sz w:val="22"/>
        </w:rPr>
        <w:t xml:space="preserve">. </w:t>
      </w:r>
      <w:r w:rsidRPr="00612637">
        <w:rPr>
          <w:i/>
          <w:color w:val="404040" w:themeColor="text1" w:themeTint="BF"/>
          <w:sz w:val="22"/>
        </w:rPr>
        <w:t>ITIL v3 Continual Service Improvement</w:t>
      </w:r>
      <w:r w:rsidRPr="00612637">
        <w:rPr>
          <w:color w:val="404040" w:themeColor="text1" w:themeTint="BF"/>
          <w:sz w:val="22"/>
        </w:rPr>
        <w:t>. London: The Stationery Office, 2014</w:t>
      </w:r>
      <w:r w:rsidRPr="00C52B9B">
        <w:rPr>
          <w:color w:val="404040" w:themeColor="text1" w:themeTint="BF"/>
          <w:sz w:val="22"/>
        </w:rPr>
        <w:t xml:space="preserve">. </w:t>
      </w:r>
    </w:p>
    <w:p w14:paraId="09EB8B26" w14:textId="77777777" w:rsidR="008B1446" w:rsidRPr="00612637" w:rsidRDefault="008B1446" w:rsidP="008B1446">
      <w:pPr>
        <w:pStyle w:val="Estilo3"/>
        <w:rPr>
          <w:rFonts w:eastAsiaTheme="minorEastAsia"/>
          <w:color w:val="404040" w:themeColor="text1" w:themeTint="BF"/>
          <w:sz w:val="22"/>
          <w:szCs w:val="22"/>
        </w:rPr>
      </w:pPr>
    </w:p>
    <w:sectPr w:rsidR="008B1446" w:rsidRPr="00612637"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00D5" w14:textId="77777777" w:rsidR="00317A2B" w:rsidRDefault="00317A2B" w:rsidP="00FC3616">
      <w:r>
        <w:separator/>
      </w:r>
    </w:p>
  </w:endnote>
  <w:endnote w:type="continuationSeparator" w:id="0">
    <w:p w14:paraId="11B3448C" w14:textId="77777777" w:rsidR="00317A2B" w:rsidRDefault="00317A2B"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1105EA54"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D62CF5">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32AB496A" w14:textId="702C2DDD" w:rsidR="003A53D0" w:rsidRPr="00731384" w:rsidRDefault="003A53D0"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1105EA54"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D62CF5">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32AB496A" w14:textId="702C2DDD" w:rsidR="003A53D0" w:rsidRPr="00731384" w:rsidRDefault="003A53D0"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3A53D0" w:rsidRPr="003A53D0">
          <w:rPr>
            <w:rFonts w:asciiTheme="minorHAnsi" w:hAnsiTheme="minorHAnsi"/>
            <w:noProof/>
            <w:lang w:val="es-ES"/>
          </w:rPr>
          <w:t>2</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3F50" w14:textId="77777777" w:rsidR="00317A2B" w:rsidRDefault="00317A2B" w:rsidP="00FC3616">
      <w:r>
        <w:separator/>
      </w:r>
    </w:p>
  </w:footnote>
  <w:footnote w:type="continuationSeparator" w:id="0">
    <w:p w14:paraId="7B93DA63" w14:textId="77777777" w:rsidR="00317A2B" w:rsidRDefault="00317A2B"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8C8"/>
    <w:multiLevelType w:val="hybridMultilevel"/>
    <w:tmpl w:val="9E441BEC"/>
    <w:lvl w:ilvl="0" w:tplc="C862DEEC">
      <w:start w:val="1"/>
      <w:numFmt w:val="lowerLetter"/>
      <w:lvlText w:val="%1-"/>
      <w:lvlJc w:val="left"/>
      <w:pPr>
        <w:ind w:left="142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 w15:restartNumberingAfterBreak="0">
    <w:nsid w:val="01362B53"/>
    <w:multiLevelType w:val="hybridMultilevel"/>
    <w:tmpl w:val="78C82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2CC5078"/>
    <w:multiLevelType w:val="hybridMultilevel"/>
    <w:tmpl w:val="C7EA0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52A2BFA"/>
    <w:multiLevelType w:val="hybridMultilevel"/>
    <w:tmpl w:val="B5180DDC"/>
    <w:lvl w:ilvl="0" w:tplc="0C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8"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89679A"/>
    <w:multiLevelType w:val="hybridMultilevel"/>
    <w:tmpl w:val="769CBE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4700DD1"/>
    <w:multiLevelType w:val="hybridMultilevel"/>
    <w:tmpl w:val="3174B86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6"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6FBD0623"/>
    <w:multiLevelType w:val="hybridMultilevel"/>
    <w:tmpl w:val="D4566F3C"/>
    <w:lvl w:ilvl="0" w:tplc="8286C414">
      <w:start w:val="1"/>
      <w:numFmt w:val="decimal"/>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43"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6"/>
  </w:num>
  <w:num w:numId="3">
    <w:abstractNumId w:val="38"/>
  </w:num>
  <w:num w:numId="4">
    <w:abstractNumId w:val="44"/>
  </w:num>
  <w:num w:numId="5">
    <w:abstractNumId w:val="44"/>
    <w:lvlOverride w:ilvl="0">
      <w:startOverride w:val="2"/>
    </w:lvlOverride>
  </w:num>
  <w:num w:numId="6">
    <w:abstractNumId w:val="36"/>
    <w:lvlOverride w:ilvl="0">
      <w:startOverride w:val="2"/>
    </w:lvlOverride>
  </w:num>
  <w:num w:numId="7">
    <w:abstractNumId w:val="41"/>
  </w:num>
  <w:num w:numId="8">
    <w:abstractNumId w:val="23"/>
  </w:num>
  <w:num w:numId="9">
    <w:abstractNumId w:val="33"/>
  </w:num>
  <w:num w:numId="10">
    <w:abstractNumId w:val="13"/>
  </w:num>
  <w:num w:numId="11">
    <w:abstractNumId w:val="39"/>
  </w:num>
  <w:num w:numId="12">
    <w:abstractNumId w:val="19"/>
  </w:num>
  <w:num w:numId="13">
    <w:abstractNumId w:val="6"/>
  </w:num>
  <w:num w:numId="14">
    <w:abstractNumId w:val="29"/>
  </w:num>
  <w:num w:numId="15">
    <w:abstractNumId w:val="17"/>
  </w:num>
  <w:num w:numId="16">
    <w:abstractNumId w:val="20"/>
  </w:num>
  <w:num w:numId="17">
    <w:abstractNumId w:val="46"/>
  </w:num>
  <w:num w:numId="18">
    <w:abstractNumId w:val="4"/>
  </w:num>
  <w:num w:numId="19">
    <w:abstractNumId w:val="34"/>
  </w:num>
  <w:num w:numId="20">
    <w:abstractNumId w:val="3"/>
  </w:num>
  <w:num w:numId="21">
    <w:abstractNumId w:val="43"/>
  </w:num>
  <w:num w:numId="22">
    <w:abstractNumId w:val="24"/>
  </w:num>
  <w:num w:numId="23">
    <w:abstractNumId w:val="37"/>
  </w:num>
  <w:num w:numId="24">
    <w:abstractNumId w:val="8"/>
  </w:num>
  <w:num w:numId="25">
    <w:abstractNumId w:val="10"/>
  </w:num>
  <w:num w:numId="26">
    <w:abstractNumId w:val="7"/>
  </w:num>
  <w:num w:numId="27">
    <w:abstractNumId w:val="26"/>
  </w:num>
  <w:num w:numId="28">
    <w:abstractNumId w:val="11"/>
  </w:num>
  <w:num w:numId="29">
    <w:abstractNumId w:val="16"/>
  </w:num>
  <w:num w:numId="30">
    <w:abstractNumId w:val="28"/>
  </w:num>
  <w:num w:numId="31">
    <w:abstractNumId w:val="45"/>
  </w:num>
  <w:num w:numId="32">
    <w:abstractNumId w:val="18"/>
  </w:num>
  <w:num w:numId="33">
    <w:abstractNumId w:val="40"/>
  </w:num>
  <w:num w:numId="34">
    <w:abstractNumId w:val="15"/>
  </w:num>
  <w:num w:numId="35">
    <w:abstractNumId w:val="14"/>
  </w:num>
  <w:num w:numId="36">
    <w:abstractNumId w:val="5"/>
  </w:num>
  <w:num w:numId="37">
    <w:abstractNumId w:val="9"/>
  </w:num>
  <w:num w:numId="38">
    <w:abstractNumId w:val="12"/>
  </w:num>
  <w:num w:numId="39">
    <w:abstractNumId w:val="21"/>
  </w:num>
  <w:num w:numId="40">
    <w:abstractNumId w:val="31"/>
  </w:num>
  <w:num w:numId="41">
    <w:abstractNumId w:val="22"/>
  </w:num>
  <w:num w:numId="42">
    <w:abstractNumId w:val="2"/>
  </w:num>
  <w:num w:numId="43">
    <w:abstractNumId w:val="32"/>
  </w:num>
  <w:num w:numId="44">
    <w:abstractNumId w:val="1"/>
  </w:num>
  <w:num w:numId="45">
    <w:abstractNumId w:val="25"/>
  </w:num>
  <w:num w:numId="46">
    <w:abstractNumId w:val="27"/>
  </w:num>
  <w:num w:numId="47">
    <w:abstractNumId w:val="0"/>
  </w:num>
  <w:num w:numId="48">
    <w:abstractNumId w:val="4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6677"/>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A15"/>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1CDF"/>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17A2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37AA"/>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53D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6AF"/>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B59"/>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2637"/>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4CC6"/>
    <w:rsid w:val="00766282"/>
    <w:rsid w:val="007662FD"/>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446"/>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0582"/>
    <w:rsid w:val="0095116C"/>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913"/>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6A86"/>
    <w:rsid w:val="009E763B"/>
    <w:rsid w:val="009F083B"/>
    <w:rsid w:val="009F0ECF"/>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7BC"/>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26FA9"/>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10CD"/>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9C2"/>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5"/>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236B"/>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BB3"/>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B69D4"/>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lid-translation">
    <w:name w:val="tlid-translation"/>
    <w:basedOn w:val="Fuentedeprrafopredeter"/>
    <w:rsid w:val="0076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E4C67-BC8F-465E-B6A7-14D9B5C35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4.xml><?xml version="1.0" encoding="utf-8"?>
<ds:datastoreItem xmlns:ds="http://schemas.openxmlformats.org/officeDocument/2006/customXml" ds:itemID="{D945A973-32F3-4EDC-8679-A10A1984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540</Words>
  <Characters>2971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FELIPE IGNACIO INDA MARTINEZ</cp:lastModifiedBy>
  <cp:revision>12</cp:revision>
  <cp:lastPrinted>2015-09-08T20:09:00Z</cp:lastPrinted>
  <dcterms:created xsi:type="dcterms:W3CDTF">2018-09-15T23:12:00Z</dcterms:created>
  <dcterms:modified xsi:type="dcterms:W3CDTF">2019-06-30T01:26:00Z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