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312C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eastAsia" w:ascii="PingFang SC" w:hAnsi="PingFang SC" w:cs="PingFang SC"/>
          <w:color w:val="262626"/>
          <w:spacing w:val="0"/>
          <w:sz w:val="60"/>
          <w:szCs w:val="52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60"/>
          <w:szCs w:val="52"/>
          <w:lang w:val="en-US" w:eastAsia="zh-CN"/>
        </w:rPr>
        <w:t>首页</w:t>
      </w:r>
      <w:r>
        <w:rPr>
          <w:rFonts w:ascii="PingFang SC" w:hAnsi="PingFang SC" w:eastAsia="PingFang SC" w:cs="PingFang SC"/>
          <w:kern w:val="0"/>
          <w:sz w:val="60"/>
          <w:szCs w:val="60"/>
          <w:lang w:val="en-US" w:eastAsia="zh-CN" w:bidi="ar"/>
        </w:rPr>
        <w:t>（</w:t>
      </w:r>
      <w:r>
        <w:rPr>
          <w:rStyle w:val="6"/>
          <w:sz w:val="60"/>
          <w:szCs w:val="60"/>
          <w:lang w:val="en-US" w:eastAsia="zh-CN" w:bidi="ar"/>
        </w:rPr>
        <w:t>Hero</w:t>
      </w:r>
      <w:r>
        <w:rPr>
          <w:rFonts w:ascii="PingFang SC" w:hAnsi="PingFang SC" w:eastAsia="PingFang SC" w:cs="PingFang SC"/>
          <w:kern w:val="0"/>
          <w:sz w:val="60"/>
          <w:szCs w:val="60"/>
          <w:lang w:val="en-US" w:eastAsia="zh-CN" w:bidi="ar"/>
        </w:rPr>
        <w:t>首屏区）</w:t>
      </w:r>
    </w:p>
    <w:p w14:paraId="2BC86793">
      <w:pPr>
        <w:spacing w:after="80"/>
        <w:rPr>
          <w:rFonts w:hint="default" w:ascii="PingFang SC" w:hAnsi="PingFang SC" w:cs="PingFang SC"/>
          <w:color w:val="262626"/>
          <w:spacing w:val="0"/>
          <w:sz w:val="29"/>
          <w:lang w:val="en-US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姓名：</w:t>
      </w:r>
      <w:r>
        <w:rPr>
          <w:rFonts w:hint="default" w:ascii="PingFang SC" w:hAnsi="PingFang SC" w:cs="PingFang SC"/>
          <w:color w:val="262626"/>
          <w:spacing w:val="0"/>
          <w:sz w:val="29"/>
          <w:lang w:val="en-US"/>
        </w:rPr>
        <w:t>Ada</w:t>
      </w:r>
    </w:p>
    <w:p w14:paraId="1FB9891C">
      <w:pPr>
        <w:spacing w:after="80"/>
        <w:rPr>
          <w:rFonts w:hint="default" w:ascii="PingFang SC" w:hAnsi="PingFang SC" w:cs="PingFang SC"/>
          <w:color w:val="262626"/>
          <w:spacing w:val="0"/>
          <w:sz w:val="29"/>
          <w:lang w:val="en-US" w:eastAsia="zh-CN"/>
        </w:rPr>
      </w:pPr>
      <w:r>
        <w:rPr>
          <w:rFonts w:ascii="PingFang SC" w:hAnsi="PingFang SC" w:cs="PingFang SC"/>
          <w:color w:val="262626"/>
          <w:spacing w:val="0"/>
          <w:sz w:val="29"/>
        </w:rPr>
        <w:t>slogan</w:t>
      </w:r>
      <w:r>
        <w:rPr>
          <w:rFonts w:hint="eastAsia" w:ascii="PingFang SC" w:hAnsi="PingFang SC" w:cs="PingFang SC"/>
          <w:color w:val="262626"/>
          <w:spacing w:val="0"/>
          <w:sz w:val="29"/>
          <w:lang w:eastAsia="zh-CN"/>
        </w:rPr>
        <w:t>：</w:t>
      </w: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用色彩讲述故事，用设计定义可能。</w:t>
      </w:r>
    </w:p>
    <w:p w14:paraId="357F3DF0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ascii="PingFang SC" w:hAnsi="PingFang SC" w:cs="PingFang SC"/>
          <w:color w:val="262626"/>
          <w:spacing w:val="0"/>
          <w:sz w:val="29"/>
        </w:rPr>
        <w:t>个人简介</w:t>
      </w:r>
      <w:r>
        <w:rPr>
          <w:rFonts w:hint="eastAsia" w:ascii="PingFang SC" w:hAnsi="PingFang SC" w:cs="PingFang SC"/>
          <w:color w:val="262626"/>
          <w:spacing w:val="0"/>
          <w:sz w:val="29"/>
          <w:lang w:eastAsia="zh-CN"/>
        </w:rPr>
        <w:t>：</w:t>
      </w:r>
      <w:r>
        <w:rPr>
          <w:rFonts w:ascii="PingFang SC" w:hAnsi="PingFang SC" w:cs="PingFang SC"/>
          <w:color w:val="262626"/>
          <w:spacing w:val="0"/>
          <w:sz w:val="29"/>
        </w:rPr>
        <w:t>专注服装品牌全链路视觉营销体系建设 10 年，从终端零售到总部视觉企划与管理，具备完整的职业成长路径。擅长陈列标准体系搭建、橱窗/DP 点设计、全国培训落地与团队管理，以经营逻辑为导向，通过标准化视觉管理赋能品牌形象提升与销售增长。</w:t>
      </w:r>
    </w:p>
    <w:p w14:paraId="69F1BF5A">
      <w:pPr>
        <w:spacing w:after="80"/>
        <w:rPr>
          <w:rFonts w:hint="default" w:ascii="PingFang SC" w:hAnsi="PingFang SC" w:cs="PingFang SC"/>
          <w:color w:val="262626"/>
          <w:spacing w:val="0"/>
          <w:sz w:val="29"/>
          <w:lang w:val="en-US" w:eastAsia="zh-CN"/>
        </w:rPr>
      </w:pPr>
    </w:p>
    <w:p w14:paraId="1CB09010">
      <w:pPr>
        <w:spacing w:after="80"/>
        <w:rPr>
          <w:rFonts w:hint="default" w:ascii="PingFang SC" w:hAnsi="PingFang SC" w:cs="PingFang SC"/>
          <w:color w:val="262626"/>
          <w:spacing w:val="0"/>
          <w:sz w:val="29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关于我</w:t>
      </w:r>
    </w:p>
    <w:p w14:paraId="53F56809">
      <w:pPr>
        <w:spacing w:after="80"/>
        <w:rPr>
          <w:rFonts w:hint="default" w:ascii="PingFang SC" w:hAnsi="PingFang SC" w:cs="PingFang SC" w:eastAsiaTheme="minorEastAsia"/>
          <w:color w:val="262626"/>
          <w:spacing w:val="0"/>
          <w:sz w:val="29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姓名：</w:t>
      </w:r>
      <w:r>
        <w:rPr>
          <w:rFonts w:hint="default" w:ascii="PingFang SC" w:hAnsi="PingFang SC" w:cs="PingFang SC"/>
          <w:color w:val="262626"/>
          <w:spacing w:val="0"/>
          <w:sz w:val="29"/>
          <w:lang w:val="en-US"/>
        </w:rPr>
        <w:t>Ada</w:t>
      </w: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 xml:space="preserve"> 蔡娜丹</w:t>
      </w:r>
    </w:p>
    <w:p w14:paraId="0BB2D0D5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电话：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13454780269 </w:t>
      </w: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邮箱：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592430590@qq.com </w:t>
      </w: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地址：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宁波 </w:t>
      </w:r>
    </w:p>
    <w:p w14:paraId="466C0814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出生年月：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1995.01 </w:t>
      </w:r>
    </w:p>
    <w:p w14:paraId="6A93AA97">
      <w:pPr>
        <w:spacing w:after="80"/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教育背景：</w:t>
      </w:r>
    </w:p>
    <w:p w14:paraId="1618AB34">
      <w:pPr>
        <w:spacing w:line="317" w:lineRule="exact"/>
        <w:ind w:firstLine="841" w:firstLineChars="350"/>
        <w:rPr>
          <w:rFonts w:hint="eastAsia" w:ascii="微软雅黑" w:hAnsi="微软雅黑" w:eastAsia="微软雅黑"/>
          <w:color w:val="595757"/>
          <w:sz w:val="24"/>
        </w:rPr>
      </w:pPr>
      <w:r>
        <w:rPr>
          <w:rFonts w:ascii="微软雅黑" w:hAnsi="微软雅黑" w:eastAsia="微软雅黑"/>
          <w:b/>
          <w:color w:val="333333"/>
          <w:sz w:val="24"/>
        </w:rPr>
        <w:t>学校名称：</w:t>
      </w:r>
      <w:r>
        <w:rPr>
          <w:rFonts w:hint="eastAsia" w:ascii="微软雅黑" w:hAnsi="微软雅黑" w:eastAsia="微软雅黑"/>
          <w:color w:val="595757"/>
          <w:sz w:val="24"/>
        </w:rPr>
        <w:t>浙江纺织服装职业</w:t>
      </w:r>
      <w:r>
        <w:rPr>
          <w:rFonts w:hint="eastAsia" w:ascii="微软雅黑" w:hAnsi="微软雅黑" w:eastAsia="微软雅黑"/>
          <w:color w:val="595757"/>
          <w:sz w:val="24"/>
          <w:lang w:val="en-US" w:eastAsia="zh-CN"/>
        </w:rPr>
        <w:t>技术</w:t>
      </w:r>
      <w:r>
        <w:rPr>
          <w:rFonts w:hint="eastAsia" w:ascii="微软雅黑" w:hAnsi="微软雅黑" w:eastAsia="微软雅黑"/>
          <w:color w:val="595757"/>
          <w:sz w:val="24"/>
        </w:rPr>
        <w:t xml:space="preserve">学院  </w:t>
      </w:r>
      <w:r>
        <w:rPr>
          <w:rFonts w:ascii="微软雅黑" w:hAnsi="微软雅黑" w:eastAsia="微软雅黑"/>
          <w:b/>
          <w:color w:val="333333"/>
          <w:sz w:val="24"/>
        </w:rPr>
        <w:t xml:space="preserve">就读时间： </w:t>
      </w:r>
      <w:r>
        <w:rPr>
          <w:rFonts w:ascii="微软雅黑" w:hAnsi="微软雅黑" w:eastAsia="微软雅黑"/>
          <w:color w:val="595757"/>
          <w:sz w:val="24"/>
        </w:rPr>
        <w:t>20</w:t>
      </w:r>
      <w:r>
        <w:rPr>
          <w:rFonts w:hint="eastAsia" w:ascii="微软雅黑" w:hAnsi="微软雅黑" w:eastAsia="微软雅黑"/>
          <w:color w:val="595757"/>
          <w:sz w:val="24"/>
        </w:rPr>
        <w:t>13</w:t>
      </w:r>
      <w:r>
        <w:rPr>
          <w:rFonts w:ascii="微软雅黑" w:hAnsi="微软雅黑" w:eastAsia="微软雅黑"/>
          <w:color w:val="595757"/>
          <w:sz w:val="24"/>
        </w:rPr>
        <w:t>.0</w:t>
      </w:r>
      <w:r>
        <w:rPr>
          <w:rFonts w:hint="eastAsia" w:ascii="微软雅黑" w:hAnsi="微软雅黑" w:eastAsia="微软雅黑"/>
          <w:color w:val="595757"/>
          <w:sz w:val="24"/>
        </w:rPr>
        <w:t>9</w:t>
      </w:r>
      <w:r>
        <w:rPr>
          <w:rFonts w:ascii="微软雅黑" w:hAnsi="微软雅黑" w:eastAsia="微软雅黑"/>
          <w:color w:val="595757"/>
          <w:sz w:val="24"/>
        </w:rPr>
        <w:t>-201</w:t>
      </w:r>
      <w:r>
        <w:rPr>
          <w:rFonts w:hint="eastAsia" w:ascii="微软雅黑" w:hAnsi="微软雅黑" w:eastAsia="微软雅黑"/>
          <w:color w:val="595757"/>
          <w:sz w:val="24"/>
          <w:lang w:val="en-US" w:eastAsia="zh-CN"/>
        </w:rPr>
        <w:t>6</w:t>
      </w:r>
      <w:r>
        <w:rPr>
          <w:rFonts w:ascii="微软雅黑" w:hAnsi="微软雅黑" w:eastAsia="微软雅黑"/>
          <w:color w:val="595757"/>
          <w:sz w:val="24"/>
        </w:rPr>
        <w:t xml:space="preserve">.06 </w:t>
      </w:r>
      <w:r>
        <w:rPr>
          <w:rFonts w:hint="eastAsia" w:ascii="微软雅黑" w:hAnsi="微软雅黑" w:eastAsia="微软雅黑"/>
          <w:color w:val="595757"/>
          <w:sz w:val="24"/>
        </w:rPr>
        <w:t xml:space="preserve">  </w:t>
      </w:r>
      <w:r>
        <w:rPr>
          <w:rFonts w:ascii="微软雅黑" w:hAnsi="微软雅黑" w:eastAsia="微软雅黑"/>
          <w:color w:val="595757"/>
          <w:sz w:val="24"/>
        </w:rPr>
        <w:t xml:space="preserve"> </w:t>
      </w:r>
      <w:r>
        <w:rPr>
          <w:rFonts w:ascii="微软雅黑" w:hAnsi="微软雅黑" w:eastAsia="微软雅黑"/>
          <w:b/>
          <w:color w:val="333333"/>
          <w:sz w:val="24"/>
        </w:rPr>
        <w:t>所学专业：</w:t>
      </w:r>
      <w:r>
        <w:rPr>
          <w:rFonts w:hint="eastAsia" w:ascii="微软雅黑" w:hAnsi="微软雅黑" w:eastAsia="微软雅黑"/>
          <w:color w:val="595757"/>
          <w:sz w:val="24"/>
        </w:rPr>
        <w:t>服装陈列与展示设计</w:t>
      </w:r>
      <w:r>
        <w:rPr>
          <w:rFonts w:ascii="微软雅黑" w:hAnsi="微软雅黑" w:eastAsia="微软雅黑"/>
          <w:color w:val="595757"/>
          <w:sz w:val="24"/>
        </w:rPr>
        <w:t xml:space="preserve">  </w:t>
      </w:r>
      <w:r>
        <w:rPr>
          <w:rFonts w:ascii="微软雅黑" w:hAnsi="微软雅黑" w:eastAsia="微软雅黑"/>
          <w:b/>
          <w:color w:val="333333"/>
          <w:sz w:val="24"/>
        </w:rPr>
        <w:t>学历：</w:t>
      </w:r>
      <w:r>
        <w:rPr>
          <w:rFonts w:hint="eastAsia" w:ascii="微软雅黑" w:hAnsi="微软雅黑" w:eastAsia="微软雅黑"/>
          <w:color w:val="595757"/>
          <w:sz w:val="24"/>
        </w:rPr>
        <w:t>大专</w:t>
      </w:r>
    </w:p>
    <w:p w14:paraId="4CD01968">
      <w:pPr>
        <w:spacing w:line="317" w:lineRule="exact"/>
        <w:ind w:firstLine="600" w:firstLineChars="250"/>
        <w:rPr>
          <w:rFonts w:hint="eastAsia" w:ascii="微软雅黑" w:hAnsi="微软雅黑" w:eastAsia="微软雅黑"/>
          <w:color w:val="595757"/>
          <w:sz w:val="24"/>
        </w:rPr>
      </w:pPr>
    </w:p>
    <w:p w14:paraId="7C2BD23D">
      <w:pPr>
        <w:spacing w:line="317" w:lineRule="exact"/>
        <w:ind w:firstLine="841" w:firstLineChars="350"/>
        <w:rPr>
          <w:rFonts w:hint="eastAsia" w:ascii="微软雅黑" w:hAnsi="微软雅黑" w:eastAsia="微软雅黑" w:cs="Times New Roman"/>
          <w:b w:val="0"/>
          <w:bCs/>
          <w:color w:val="333333"/>
          <w:sz w:val="24"/>
          <w:lang w:val="en-US" w:eastAsia="zh-CN"/>
        </w:rPr>
      </w:pPr>
      <w:r>
        <w:rPr>
          <w:rFonts w:hint="eastAsia" w:ascii="微软雅黑" w:hAnsi="微软雅黑" w:eastAsia="微软雅黑" w:cs="Times New Roman"/>
          <w:b/>
          <w:color w:val="333333"/>
          <w:sz w:val="24"/>
          <w:lang w:val="en-US" w:eastAsia="zh-CN"/>
        </w:rPr>
        <w:t>学校名称：</w:t>
      </w:r>
      <w:r>
        <w:rPr>
          <w:rFonts w:hint="eastAsia" w:ascii="微软雅黑" w:hAnsi="微软雅黑" w:eastAsia="微软雅黑" w:cs="Times New Roman"/>
          <w:b w:val="0"/>
          <w:bCs/>
          <w:color w:val="333333"/>
          <w:sz w:val="24"/>
          <w:lang w:val="en-US" w:eastAsia="zh-CN"/>
        </w:rPr>
        <w:t xml:space="preserve">国家开放大学 </w:t>
      </w:r>
      <w:r>
        <w:rPr>
          <w:rFonts w:hint="eastAsia" w:ascii="微软雅黑" w:hAnsi="微软雅黑" w:eastAsia="微软雅黑" w:cs="Times New Roman"/>
          <w:b/>
          <w:color w:val="333333"/>
          <w:sz w:val="24"/>
          <w:lang w:val="en-US" w:eastAsia="zh-CN"/>
        </w:rPr>
        <w:t xml:space="preserve">                   就读时间： </w:t>
      </w:r>
      <w:r>
        <w:rPr>
          <w:rFonts w:hint="eastAsia" w:ascii="微软雅黑" w:hAnsi="微软雅黑" w:eastAsia="微软雅黑" w:cs="Times New Roman"/>
          <w:b w:val="0"/>
          <w:bCs/>
          <w:color w:val="333333"/>
          <w:sz w:val="24"/>
          <w:lang w:val="en-US" w:eastAsia="zh-CN"/>
        </w:rPr>
        <w:t xml:space="preserve">2017.10 - 2020.01   </w:t>
      </w:r>
      <w:r>
        <w:rPr>
          <w:rFonts w:hint="eastAsia" w:ascii="微软雅黑" w:hAnsi="微软雅黑" w:eastAsia="微软雅黑" w:cs="Times New Roman"/>
          <w:b/>
          <w:color w:val="333333"/>
          <w:sz w:val="24"/>
          <w:lang w:val="en-US" w:eastAsia="zh-CN"/>
        </w:rPr>
        <w:t>所学专业：</w:t>
      </w:r>
      <w:r>
        <w:rPr>
          <w:rFonts w:hint="eastAsia" w:ascii="微软雅黑" w:hAnsi="微软雅黑" w:eastAsia="微软雅黑" w:cs="Times New Roman"/>
          <w:b w:val="0"/>
          <w:bCs/>
          <w:color w:val="333333"/>
          <w:sz w:val="24"/>
          <w:lang w:val="en-US" w:eastAsia="zh-CN"/>
        </w:rPr>
        <w:t xml:space="preserve">广告学    </w:t>
      </w:r>
      <w:r>
        <w:rPr>
          <w:rFonts w:hint="eastAsia" w:ascii="微软雅黑" w:hAnsi="微软雅黑" w:eastAsia="微软雅黑" w:cs="Times New Roman"/>
          <w:b/>
          <w:color w:val="333333"/>
          <w:sz w:val="24"/>
          <w:lang w:val="en-US" w:eastAsia="zh-CN"/>
        </w:rPr>
        <w:t xml:space="preserve">                学历：</w:t>
      </w:r>
      <w:r>
        <w:rPr>
          <w:rFonts w:hint="eastAsia" w:ascii="微软雅黑" w:hAnsi="微软雅黑" w:eastAsia="微软雅黑" w:cs="Times New Roman"/>
          <w:b w:val="0"/>
          <w:bCs/>
          <w:color w:val="333333"/>
          <w:sz w:val="24"/>
          <w:lang w:val="en-US" w:eastAsia="zh-CN"/>
        </w:rPr>
        <w:t>本科</w:t>
      </w:r>
    </w:p>
    <w:p w14:paraId="044771AB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</w:p>
    <w:p w14:paraId="3A091C44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证书：</w:t>
      </w:r>
      <w:r>
        <w:rPr>
          <w:rFonts w:ascii="PingFang SC" w:hAnsi="PingFang SC" w:cs="PingFang SC"/>
          <w:color w:val="262626"/>
          <w:spacing w:val="0"/>
          <w:sz w:val="29"/>
        </w:rPr>
        <w:t>陈列员资格证  色彩设计师证</w:t>
      </w:r>
    </w:p>
    <w:p w14:paraId="1BF6BF4A">
      <w:pPr>
        <w:spacing w:after="80"/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</w:pPr>
    </w:p>
    <w:p w14:paraId="6EA4BC34">
      <w:pPr>
        <w:spacing w:after="80"/>
        <w:rPr>
          <w:rFonts w:hint="default" w:ascii="PingFang SC" w:hAnsi="PingFang SC" w:cs="PingFang SC" w:eastAsiaTheme="minorEastAsia"/>
          <w:color w:val="262626"/>
          <w:spacing w:val="0"/>
          <w:sz w:val="29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专业技能：</w:t>
      </w:r>
    </w:p>
    <w:p w14:paraId="042AA460">
      <w:pPr>
        <w:spacing w:after="309"/>
        <w:rPr>
          <w:rFonts w:hint="eastAsia" w:eastAsiaTheme="minorEastAsia"/>
          <w:lang w:eastAsia="zh-CN"/>
        </w:rPr>
      </w:pPr>
      <w:r>
        <w:rPr>
          <w:rFonts w:ascii="PingFang SC Semibold" w:hAnsi="PingFang SC Semibold" w:cs="PingFang SC Semibold"/>
          <w:b/>
          <w:color w:val="262626"/>
          <w:spacing w:val="0"/>
          <w:sz w:val="37"/>
        </w:rPr>
        <w:t>核心能力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37"/>
          <w:lang w:eastAsia="zh-CN"/>
        </w:rPr>
        <w:t>：</w:t>
      </w:r>
    </w:p>
    <w:p w14:paraId="445CB093">
      <w:pPr>
        <w:spacing w:after="80"/>
      </w:pPr>
      <w:r>
        <w:rPr>
          <w:rFonts w:ascii="PingFang SC" w:hAnsi="PingFang SC" w:cs="PingFang SC"/>
          <w:color w:val="1D48E6"/>
          <w:spacing w:val="0"/>
          <w:sz w:val="24"/>
        </w:rPr>
        <w:t>陈列标准制定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橱窗/DP 点设计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培训体系搭建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课件开发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现场带教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道具研发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  <w:r>
        <w:rPr>
          <w:rFonts w:ascii="PingFang SC" w:hAnsi="PingFang SC" w:cs="PingFang SC"/>
          <w:color w:val="1D48E6"/>
          <w:spacing w:val="0"/>
          <w:sz w:val="24"/>
        </w:rPr>
        <w:t>跨部门协作</w:t>
      </w:r>
      <w:r>
        <w:rPr>
          <w:rFonts w:ascii="PingFang SC" w:hAnsi="PingFang SC" w:cs="PingFang SC"/>
          <w:color w:val="262626"/>
          <w:spacing w:val="0"/>
          <w:sz w:val="29"/>
        </w:rPr>
        <w:t xml:space="preserve"> </w:t>
      </w:r>
    </w:p>
    <w:p w14:paraId="46CCDAF9">
      <w:pPr>
        <w:spacing w:after="309"/>
      </w:pPr>
      <w:r>
        <w:rPr>
          <w:rFonts w:ascii="PingFang SC Semibold" w:hAnsi="PingFang SC Semibold" w:cs="PingFang SC Semibold"/>
          <w:b/>
          <w:color w:val="262626"/>
          <w:spacing w:val="0"/>
          <w:sz w:val="37"/>
        </w:rPr>
        <w:t>软件工具</w:t>
      </w:r>
    </w:p>
    <w:p w14:paraId="58516B0A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ascii="PingFang SC" w:hAnsi="PingFang SC" w:cs="PingFang SC"/>
          <w:color w:val="262626"/>
          <w:spacing w:val="0"/>
          <w:sz w:val="29"/>
        </w:rPr>
        <w:t>Photoshop、Illustrator、CorelDRAW、SketchUp、剪映、Gemini 等 AI 视觉工具</w:t>
      </w:r>
    </w:p>
    <w:p w14:paraId="4875C254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</w:p>
    <w:p w14:paraId="080F6810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</w:p>
    <w:p w14:paraId="32A18BA0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</w:p>
    <w:p w14:paraId="0A197127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</w:p>
    <w:p w14:paraId="35B3B810">
      <w:pPr>
        <w:spacing w:after="309"/>
        <w:rPr>
          <w:rFonts w:hint="eastAsia" w:eastAsiaTheme="minorEastAsia"/>
          <w:lang w:eastAsia="zh-CN"/>
        </w:rPr>
      </w:pPr>
      <w:r>
        <w:rPr>
          <w:rFonts w:ascii="PingFang SC Semibold" w:hAnsi="PingFang SC Semibold" w:cs="PingFang SC Semibold"/>
          <w:b/>
          <w:color w:val="262626"/>
          <w:spacing w:val="0"/>
          <w:sz w:val="37"/>
        </w:rPr>
        <w:t>工作经历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37"/>
          <w:lang w:eastAsia="zh-CN"/>
        </w:rPr>
        <w:t>：</w:t>
      </w:r>
    </w:p>
    <w:p w14:paraId="72C4EA63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32"/>
        </w:rPr>
        <w:t>宁波百慕品牌管理有限公司 · 资深陈列师 / 内训培训师 / 项目负责人</w:t>
      </w:r>
    </w:p>
    <w:p w14:paraId="5ACE45CF">
      <w:pPr>
        <w:spacing w:after="80"/>
      </w:pPr>
      <w:r>
        <w:rPr>
          <w:rFonts w:ascii="PingFang SC" w:hAnsi="PingFang SC" w:cs="PingFang SC"/>
          <w:color w:val="262626"/>
          <w:spacing w:val="0"/>
          <w:sz w:val="29"/>
        </w:rPr>
        <w:t>2019.08 — 至今</w:t>
      </w:r>
    </w:p>
    <w:p w14:paraId="13F2CFB8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陈列标准体系搭建与迭代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根据每季设计理念、波段主题及商品策略，独立制定全国统一的陈列执行标准，涵盖橱窗、DP 点、货区陈列及配饰搭配规范，定期更新迭代，覆盖全国所有直营与加盟门店，显著提升品牌视觉统一性。</w:t>
      </w:r>
    </w:p>
    <w:p w14:paraId="0AF21427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全国陈列培训体系搭建与落地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搭建从需求调研、课件开发到现场执行、效果评估的完整培训体系。按季制作标准化陈列手册与波段上新培训课件，开发多期视频培训课程，开展数十场区域现场培训带教，带教终端督导及店长，终端陈列标准执行率显著提升。</w:t>
      </w:r>
    </w:p>
    <w:p w14:paraId="3FC680DB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橱窗与营销活动陈列策划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根据季度主题及各类店铺情况，协同设计部门制定橱窗及 DP 点方案；负责节日、主推系列等营销活动的橱窗方案制定与全国落地跟进，有效带动门店客流与销售增长。</w:t>
      </w:r>
    </w:p>
    <w:p w14:paraId="19221357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道具标准制定与迭代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制定店铺各类陈列道具及配饰的执行标准，主导完成多代店务核心道具（模特、衣架、软装）的全生命周期研发与换代升级，在提升终端形象的同时，有效控制采购成本。</w:t>
      </w:r>
    </w:p>
    <w:p w14:paraId="53E47E0F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新品视觉与内容制作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负责多季全系列新品陈列搭配与多风格设计，建立周度主推款快速响应机制；统筹品牌画册与形象大片拍摄，担任现场美术指导，全流程跟进搭配画册制作与新品摄影工作。</w:t>
      </w:r>
    </w:p>
    <w:p w14:paraId="3E7DD063">
      <w:pPr>
        <w:spacing w:after="80"/>
      </w:pPr>
    </w:p>
    <w:p w14:paraId="3DBA8093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32"/>
        </w:rPr>
        <w:t>宁波马骑顿儿童用品有限公司 · 陈列师 / 区域陈列培训</w:t>
      </w:r>
    </w:p>
    <w:p w14:paraId="51E42DFB">
      <w:pPr>
        <w:spacing w:after="80"/>
      </w:pPr>
      <w:r>
        <w:rPr>
          <w:rFonts w:ascii="PingFang SC" w:hAnsi="PingFang SC" w:cs="PingFang SC"/>
          <w:color w:val="262626"/>
          <w:spacing w:val="0"/>
          <w:sz w:val="29"/>
        </w:rPr>
        <w:t>2017.05 — 2019.07</w:t>
      </w:r>
    </w:p>
    <w:p w14:paraId="1150CE1F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上海区域执行阶段（2017.05 — 2017.07）</w:t>
      </w:r>
    </w:p>
    <w:p w14:paraId="2CFBE787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负责上海区域多家门店陈列标准落地与日常督导，现场带教门店员工陈列技巧与搭配逻辑，确保区域内新品陈列 100% 按总部标准执行</w:t>
      </w:r>
    </w:p>
    <w:p w14:paraId="5FF1B1B0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收集一线门店陈列执行反馈，向总部提出多项标准优化建议，多数被采纳并在全国推广</w:t>
      </w:r>
    </w:p>
    <w:p w14:paraId="1B182216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总部企划阶段（2017.08 — 2019.07）</w:t>
      </w:r>
    </w:p>
    <w:p w14:paraId="21DC7079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参与多季品牌陈列方案设计，负责每季搭配手册制作与波段上新培训材料开发，支持全国终端培训</w:t>
      </w:r>
    </w:p>
    <w:p w14:paraId="245E3058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独立负责 IP 主题快闪店全案设计与执行，打造沉浸式营销空间，活动期间门店销售额显著增长</w:t>
      </w:r>
    </w:p>
    <w:p w14:paraId="210BB59A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参与新一代店务陈列系统研发，制定道具使用与陈列执行标准</w:t>
      </w:r>
    </w:p>
    <w:p w14:paraId="522EBA21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32"/>
        </w:rPr>
        <w:t>宁波乐町时尚服饰有限公司 · 零售管理（储备至店长）</w:t>
      </w:r>
    </w:p>
    <w:p w14:paraId="76208DFD">
      <w:pPr>
        <w:spacing w:after="80"/>
      </w:pPr>
      <w:r>
        <w:rPr>
          <w:rFonts w:ascii="PingFang SC" w:hAnsi="PingFang SC" w:cs="PingFang SC"/>
          <w:color w:val="262626"/>
          <w:spacing w:val="0"/>
          <w:sz w:val="29"/>
        </w:rPr>
        <w:t>2016.01 — 2017.05</w:t>
      </w:r>
    </w:p>
    <w:p w14:paraId="02683025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完成「超级店长」全模块培训，系统掌握时尚女装运营逻辑、经营思维与销售转化</w:t>
      </w:r>
    </w:p>
    <w:p w14:paraId="4732E5BE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负责门店团队带教，涵盖销售技巧与陈列技能培训，推动门店销售额连续多月显著增长</w:t>
      </w:r>
    </w:p>
    <w:p w14:paraId="16214424">
      <w:pPr>
        <w:spacing w:after="309"/>
        <w:rPr>
          <w:rFonts w:hint="eastAsia" w:eastAsiaTheme="minorEastAsia"/>
          <w:lang w:eastAsia="zh-CN"/>
        </w:rPr>
      </w:pPr>
      <w:r>
        <w:rPr>
          <w:rFonts w:ascii="PingFang SC Semibold" w:hAnsi="PingFang SC Semibold" w:cs="PingFang SC Semibold"/>
          <w:b/>
          <w:color w:val="262626"/>
          <w:spacing w:val="0"/>
          <w:sz w:val="37"/>
        </w:rPr>
        <w:t>项目经验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37"/>
          <w:lang w:eastAsia="zh-CN"/>
        </w:rPr>
        <w:t>（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37"/>
          <w:lang w:val="en-US" w:eastAsia="zh-CN"/>
        </w:rPr>
        <w:t>作品展示附上图片）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37"/>
          <w:lang w:eastAsia="zh-CN"/>
        </w:rPr>
        <w:t>：</w:t>
      </w:r>
    </w:p>
    <w:p w14:paraId="0F3EE7CF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一、全国终端陈列标准化与培训体系搭建项目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独立完成从标准制定、手册编制到培训落地的全流程体系建设。输出多本标准化陈列手册、数十套培训课件及多期视频课程，带教内部运营及终端人员，全面提升终端陈列执行水平。</w:t>
      </w:r>
    </w:p>
    <w:p w14:paraId="55C45BB6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二、多季橱窗与营销活动陈列项目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负责多季主题橱窗及多场营销活动的陈列方案制定与全国落地，协同空间设计部门完成方案优化，确保创意与执行的平衡，有效带动门店客流与销售额提升。</w:t>
      </w:r>
    </w:p>
    <w:p w14:paraId="7153645B">
      <w:pPr>
        <w:spacing w:after="80"/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三、店务陈列道具迭代升级项目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主导完成多代核心道具系统的研发与标准制定，兼顾品牌调性、终端实用性与成本管控，为公司节省大量采购成本。</w:t>
      </w:r>
    </w:p>
    <w:p w14:paraId="6193121D">
      <w:pPr>
        <w:spacing w:after="80"/>
        <w:rPr>
          <w:rFonts w:ascii="PingFang SC" w:hAnsi="PingFang SC" w:cs="PingFang SC"/>
          <w:color w:val="262626"/>
          <w:spacing w:val="0"/>
          <w:sz w:val="29"/>
        </w:rPr>
      </w:pP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四、品牌样板展示空间打造项目</w:t>
      </w:r>
      <w:r>
        <w:rPr>
          <w:rFonts w:ascii="PingFang SC" w:hAnsi="PingFang SC" w:cs="PingFang SC"/>
          <w:color w:val="262626"/>
          <w:spacing w:val="0"/>
          <w:sz w:val="29"/>
        </w:rPr>
        <w:br w:type="textWrapping"/>
      </w:r>
      <w:r>
        <w:rPr>
          <w:rFonts w:ascii="PingFang SC" w:hAnsi="PingFang SC" w:cs="PingFang SC"/>
          <w:color w:val="262626"/>
          <w:spacing w:val="0"/>
          <w:sz w:val="29"/>
        </w:rPr>
        <w:t>负责多季订货会静态展厅与多届宁波服装节展厅的设计与布场，打造品牌最高标准的视觉样板，为全国门店提供可复制的参考范本。</w:t>
      </w:r>
    </w:p>
    <w:p w14:paraId="53BF166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 w:rightChars="0"/>
        <w:jc w:val="both"/>
        <w:textAlignment w:val="auto"/>
        <w:rPr>
          <w:rFonts w:hint="eastAsia" w:ascii="微软雅黑" w:hAnsi="微软雅黑" w:eastAsia="微软雅黑" w:cs="Times New Roman"/>
          <w:b/>
          <w:bCs w:val="0"/>
          <w:color w:val="333333"/>
          <w:sz w:val="22"/>
          <w:szCs w:val="22"/>
          <w:lang w:val="en-US" w:eastAsia="zh-CN"/>
        </w:rPr>
      </w:pP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五</w:t>
      </w:r>
      <w:r>
        <w:rPr>
          <w:rFonts w:ascii="PingFang SC Semibold" w:hAnsi="PingFang SC Semibold" w:cs="PingFang SC Semibold"/>
          <w:b/>
          <w:color w:val="262626"/>
          <w:spacing w:val="0"/>
          <w:sz w:val="29"/>
        </w:rPr>
        <w:t>、</w:t>
      </w:r>
      <w:r>
        <w:rPr>
          <w:rFonts w:hint="eastAsia" w:ascii="PingFang SC Semibold" w:hAnsi="PingFang SC Semibold" w:cs="PingFang SC Semibold"/>
          <w:b/>
          <w:color w:val="262626"/>
          <w:spacing w:val="0"/>
          <w:sz w:val="29"/>
          <w:lang w:val="en-US" w:eastAsia="zh-CN"/>
        </w:rPr>
        <w:t>品</w:t>
      </w:r>
      <w:r>
        <w:rPr>
          <w:rFonts w:hint="eastAsia" w:ascii="微软雅黑" w:hAnsi="微软雅黑" w:eastAsia="微软雅黑" w:cs="Times New Roman"/>
          <w:b/>
          <w:bCs w:val="0"/>
          <w:color w:val="333333"/>
          <w:sz w:val="22"/>
          <w:szCs w:val="22"/>
          <w:lang w:val="en-US" w:eastAsia="zh-CN"/>
        </w:rPr>
        <w:t>牌视觉内容策划与拍摄统筹项目</w:t>
      </w:r>
    </w:p>
    <w:p w14:paraId="3F562796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720" w:rightChars="0"/>
        <w:jc w:val="both"/>
        <w:textAlignment w:val="auto"/>
        <w:rPr>
          <w:rFonts w:hint="eastAsia" w:ascii="微软雅黑" w:hAnsi="微软雅黑" w:eastAsia="微软雅黑"/>
          <w:b w:val="0"/>
          <w:bCs/>
          <w:color w:val="333333"/>
          <w:sz w:val="22"/>
          <w:szCs w:val="22"/>
        </w:rPr>
      </w:pPr>
      <w:r>
        <w:rPr>
          <w:rFonts w:hint="eastAsia" w:ascii="微软雅黑" w:hAnsi="微软雅黑" w:eastAsia="微软雅黑" w:cs="Times New Roman"/>
          <w:b w:val="0"/>
          <w:bCs/>
          <w:color w:val="333333"/>
          <w:sz w:val="22"/>
          <w:szCs w:val="22"/>
          <w:lang w:val="en-US" w:eastAsia="zh-CN"/>
        </w:rPr>
        <w:t>统筹品牌画册、形象大片的视觉创意策划与现场监督指导，全流程把控成片风格与输出质量，为品牌市场推广提供高质量视觉素材支撑，品牌季度主推款搭配方案的策划与落地。</w:t>
      </w:r>
    </w:p>
    <w:p w14:paraId="571D2B9D">
      <w:pPr>
        <w:spacing w:after="80"/>
        <w:rPr>
          <w:rFonts w:ascii="PingFang SC Semibold" w:hAnsi="PingFang SC Semibold" w:cs="PingFang SC Semibold"/>
          <w:b/>
          <w:color w:val="262626"/>
          <w:spacing w:val="0"/>
          <w:sz w:val="29"/>
        </w:rPr>
      </w:pPr>
      <w:bookmarkStart w:id="0" w:name="_GoBack"/>
      <w:bookmarkEnd w:id="0"/>
    </w:p>
    <w:p w14:paraId="478EE6BD">
      <w:pPr>
        <w:spacing w:after="80"/>
        <w:rPr>
          <w:rFonts w:ascii="PingFang SC Semibold" w:hAnsi="PingFang SC Semibold" w:cs="PingFang SC Semibold"/>
          <w:b/>
          <w:color w:val="262626"/>
          <w:spacing w:val="0"/>
          <w:sz w:val="29"/>
        </w:rPr>
      </w:pPr>
    </w:p>
    <w:p w14:paraId="45DCEFCD">
      <w:pPr>
        <w:spacing w:after="309"/>
      </w:pPr>
      <w:r>
        <w:rPr>
          <w:rFonts w:ascii="PingFang SC Semibold" w:hAnsi="PingFang SC Semibold" w:cs="PingFang SC Semibold"/>
          <w:b/>
          <w:color w:val="262626"/>
          <w:spacing w:val="0"/>
          <w:sz w:val="37"/>
        </w:rPr>
        <w:t>自我评价</w:t>
      </w:r>
    </w:p>
    <w:p w14:paraId="7201AF89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10 年服装行业全链条经验，涵盖时尚</w:t>
      </w:r>
      <w:r>
        <w:rPr>
          <w:rFonts w:hint="eastAsia" w:ascii="PingFang SC" w:hAnsi="PingFang SC" w:cs="PingFang SC"/>
          <w:color w:val="262626"/>
          <w:spacing w:val="0"/>
          <w:sz w:val="29"/>
          <w:lang w:val="en-US" w:eastAsia="zh-CN"/>
        </w:rPr>
        <w:t>女装</w:t>
      </w:r>
      <w:r>
        <w:rPr>
          <w:rFonts w:ascii="PingFang SC" w:hAnsi="PingFang SC" w:cs="PingFang SC"/>
          <w:color w:val="262626"/>
          <w:spacing w:val="0"/>
          <w:sz w:val="29"/>
        </w:rPr>
        <w:t>与童装两大领域，从终端零售到总部视觉企划与管理</w:t>
      </w:r>
    </w:p>
    <w:p w14:paraId="205405A6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精通陈列标准制定、团队带教管理与终端培训赋能三大核心能力，能够独立承担陈列部门的日常管理与培训工作</w:t>
      </w:r>
    </w:p>
    <w:p w14:paraId="45CA7CE9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具备极强的经营逻辑与目标导向思维，善于将品牌视觉策略与商品销售目标相结合，通过陈列优化直接驱动业绩增长</w:t>
      </w:r>
    </w:p>
    <w:p w14:paraId="0EBE5512">
      <w:pPr>
        <w:spacing w:after="40"/>
        <w:ind w:left="720"/>
      </w:pP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z w:val="29"/>
        </w:rPr>
        <w:t>•</w:t>
      </w:r>
      <w:r>
        <w:rPr>
          <w:rFonts w:ascii="PingFang SC" w:hAnsi="PingFang SC" w:cs="PingFang SC"/>
          <w:color w:val="262626"/>
          <w:sz w:val="29"/>
        </w:rPr>
        <w:tab/>
      </w:r>
      <w:r>
        <w:rPr>
          <w:rFonts w:ascii="PingFang SC" w:hAnsi="PingFang SC" w:cs="PingFang SC"/>
          <w:color w:val="262626"/>
          <w:spacing w:val="0"/>
          <w:sz w:val="29"/>
        </w:rPr>
        <w:t>拥有良好的跨部门沟通与组织协调能力，能够有效协同设计、零售、市场等部门，共同推动品牌视觉目标达成</w:t>
      </w:r>
    </w:p>
    <w:p w14:paraId="2ADF232E">
      <w:pPr>
        <w:spacing w:after="80"/>
        <w:rPr>
          <w:rFonts w:hint="default" w:ascii="PingFang SC Semibold" w:hAnsi="PingFang SC Semibold" w:cs="PingFang SC Semibold"/>
          <w:b/>
          <w:color w:val="262626"/>
          <w:spacing w:val="0"/>
          <w:sz w:val="29"/>
          <w:lang w:val="en-US" w:eastAsia="zh-CN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altName w:val="汉仪旗黑"/>
    <w:panose1 w:val="020B0503020204020204"/>
    <w:charset w:val="00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FEE5ED"/>
    <w:rsid w:val="5F87D077"/>
    <w:rsid w:val="5FFA3A0C"/>
    <w:rsid w:val="7BFE25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character" w:customStyle="1" w:styleId="6">
    <w:name w:val="s1"/>
    <w:basedOn w:val="4"/>
    <w:uiPriority w:val="0"/>
    <w:rPr>
      <w:rFonts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2026-05-12T13:12:00Z</dcterms:created>
  <dc:creator>Data</dc:creator>
  <cp:lastModifiedBy>红橘子。</cp:lastModifiedBy>
  <dcterms:modified xsi:type="dcterms:W3CDTF">2026-05-12T17:14:51Z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70D2778150A8186D8BEF026AE249739F_43</vt:lpwstr>
  </property>
</Properties>
</file>