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09630" w14:textId="77777777" w:rsidR="00971EC5" w:rsidRDefault="00411746" w:rsidP="00F464FE">
      <w:pPr>
        <w:spacing w:line="480" w:lineRule="auto"/>
        <w:contextualSpacing/>
        <w:jc w:val="center"/>
      </w:pPr>
      <w:r>
        <w:t>Forecasting Copper and Zinc Quarterly Prices</w:t>
      </w:r>
    </w:p>
    <w:p w14:paraId="294E9C63" w14:textId="77777777" w:rsidR="00F61610" w:rsidRDefault="00F61610" w:rsidP="00F464FE">
      <w:pPr>
        <w:spacing w:line="480" w:lineRule="auto"/>
        <w:contextualSpacing/>
        <w:jc w:val="center"/>
      </w:pPr>
    </w:p>
    <w:p w14:paraId="47D2397D" w14:textId="77777777" w:rsidR="00F61610" w:rsidRDefault="00F61610" w:rsidP="00F464FE">
      <w:pPr>
        <w:spacing w:line="480" w:lineRule="auto"/>
        <w:contextualSpacing/>
      </w:pPr>
      <w:r>
        <w:t xml:space="preserve">Method: The data for the analysis was obtained from the Federal Reserve Bank of St. Louis </w:t>
      </w:r>
      <w:r w:rsidR="00C41122">
        <w:t>(</w:t>
      </w:r>
      <w:hyperlink r:id="rId5" w:history="1">
        <w:r w:rsidR="00C41122" w:rsidRPr="0057603F">
          <w:rPr>
            <w:rStyle w:val="Hyperlink"/>
            <w:rFonts w:ascii="Lucida Sans" w:eastAsia="Times New Roman" w:hAnsi="Lucida Sans"/>
            <w:sz w:val="18"/>
            <w:szCs w:val="18"/>
            <w:shd w:val="clear" w:color="auto" w:fill="FFFFFF"/>
          </w:rPr>
          <w:t>https://fred.stlouisfed.org/series/PCOPPUSDQ</w:t>
        </w:r>
      </w:hyperlink>
      <w:r w:rsidR="00C41122">
        <w:t xml:space="preserve">) </w:t>
      </w:r>
      <w:r>
        <w:t>and Datahub.io.  Please see below for list of variables.</w:t>
      </w:r>
      <w:r w:rsidR="001B1437">
        <w:t xml:space="preserve">  This analysis covers the years 1991 – 2020.</w:t>
      </w:r>
    </w:p>
    <w:p w14:paraId="66F43ABD" w14:textId="77777777" w:rsidR="00F61610" w:rsidRDefault="00F61610" w:rsidP="00F464FE">
      <w:pPr>
        <w:spacing w:line="480" w:lineRule="auto"/>
        <w:contextualSpacing/>
      </w:pPr>
    </w:p>
    <w:p w14:paraId="427E45B1" w14:textId="77777777" w:rsidR="00F61610" w:rsidRPr="00B62944" w:rsidRDefault="00F61610" w:rsidP="00F464FE">
      <w:pPr>
        <w:pStyle w:val="ListParagraph"/>
        <w:numPr>
          <w:ilvl w:val="0"/>
          <w:numId w:val="6"/>
        </w:numPr>
        <w:spacing w:line="480" w:lineRule="auto"/>
        <w:rPr>
          <w:rFonts w:eastAsia="Times New Roman"/>
          <w:color w:val="auto"/>
        </w:rPr>
      </w:pPr>
      <w:r>
        <w:rPr>
          <w:rFonts w:ascii="Lucida Sans" w:eastAsia="Times New Roman" w:hAnsi="Lucida Sans"/>
          <w:b/>
          <w:bCs/>
          <w:color w:val="333333"/>
          <w:sz w:val="21"/>
          <w:szCs w:val="21"/>
        </w:rPr>
        <w:t>Date</w:t>
      </w:r>
    </w:p>
    <w:p w14:paraId="014479C3"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Global price of Copper</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Metric Ton, Not Seasonally Adjusted</w:t>
      </w:r>
      <w:r w:rsidRPr="00E815B9">
        <w:rPr>
          <w:rFonts w:ascii="Lucida Sans" w:eastAsia="Times New Roman" w:hAnsi="Lucida Sans"/>
          <w:b/>
          <w:bCs/>
          <w:color w:val="999999"/>
          <w:sz w:val="21"/>
          <w:szCs w:val="21"/>
        </w:rPr>
        <w:t> (PCOPPUSDM)</w:t>
      </w:r>
    </w:p>
    <w:p w14:paraId="3AFFD4E1"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Global price of Zinc</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Metric Ton, Not Seasonally Adjusted</w:t>
      </w:r>
      <w:r w:rsidRPr="00E815B9">
        <w:rPr>
          <w:rFonts w:ascii="Lucida Sans" w:eastAsia="Times New Roman" w:hAnsi="Lucida Sans"/>
          <w:b/>
          <w:bCs/>
          <w:color w:val="999999"/>
          <w:sz w:val="21"/>
          <w:szCs w:val="21"/>
        </w:rPr>
        <w:t> (PZINCUSDM)</w:t>
      </w:r>
    </w:p>
    <w:p w14:paraId="03968792"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12-Month London Interbank Offered Rate (LIBOR), based on U.S. Dollar</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Percent, Not Seasonally Adjusted</w:t>
      </w:r>
      <w:r w:rsidRPr="00E815B9">
        <w:rPr>
          <w:rFonts w:ascii="Lucida Sans" w:eastAsia="Times New Roman" w:hAnsi="Lucida Sans"/>
          <w:b/>
          <w:bCs/>
          <w:color w:val="999999"/>
          <w:sz w:val="21"/>
          <w:szCs w:val="21"/>
        </w:rPr>
        <w:t> (USD12MD156N)</w:t>
      </w:r>
    </w:p>
    <w:p w14:paraId="40DBA416"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3-Month London Interbank Offered Rate (LIBOR), based on U.S. Dollar</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Percent, Not Seasonally Adjusted</w:t>
      </w:r>
      <w:r w:rsidRPr="00E815B9">
        <w:rPr>
          <w:rFonts w:ascii="Lucida Sans" w:eastAsia="Times New Roman" w:hAnsi="Lucida Sans"/>
          <w:b/>
          <w:bCs/>
          <w:color w:val="999999"/>
          <w:sz w:val="21"/>
          <w:szCs w:val="21"/>
        </w:rPr>
        <w:t> (USD3MTD156N)</w:t>
      </w:r>
    </w:p>
    <w:p w14:paraId="4532B4BC"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Global price of Brent Crude</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Barrell, Not Seasonally Adjusted</w:t>
      </w:r>
      <w:r w:rsidRPr="00E815B9">
        <w:rPr>
          <w:rFonts w:ascii="Lucida Sans" w:eastAsia="Times New Roman" w:hAnsi="Lucida Sans"/>
          <w:b/>
          <w:bCs/>
          <w:color w:val="999999"/>
          <w:sz w:val="21"/>
          <w:szCs w:val="21"/>
        </w:rPr>
        <w:t> (POILBREUSDQ)</w:t>
      </w:r>
    </w:p>
    <w:p w14:paraId="454C7AD8"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Global price of Natural Gas, US Henry Hub Gas</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Million Metric British Thermal Unit, Not Seasonally Adjusted</w:t>
      </w:r>
      <w:r w:rsidRPr="00E815B9">
        <w:rPr>
          <w:rFonts w:ascii="Lucida Sans" w:eastAsia="Times New Roman" w:hAnsi="Lucida Sans"/>
          <w:b/>
          <w:bCs/>
          <w:color w:val="999999"/>
          <w:sz w:val="21"/>
          <w:szCs w:val="21"/>
        </w:rPr>
        <w:t> (PNGASUSUSDM)</w:t>
      </w:r>
    </w:p>
    <w:p w14:paraId="2211958D"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S&amp;P 500</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Index, Not Seasonally Adjusted</w:t>
      </w:r>
      <w:r w:rsidRPr="00E815B9">
        <w:rPr>
          <w:rFonts w:ascii="Lucida Sans" w:eastAsia="Times New Roman" w:hAnsi="Lucida Sans"/>
          <w:b/>
          <w:bCs/>
          <w:color w:val="999999"/>
          <w:sz w:val="21"/>
          <w:szCs w:val="21"/>
        </w:rPr>
        <w:t> (SP500)</w:t>
      </w:r>
    </w:p>
    <w:p w14:paraId="17A2F6FA"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NASDAQ Composite Index</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Index Feb 5, 1971=100, Not Seasonally Adjusted</w:t>
      </w:r>
      <w:r w:rsidRPr="00E815B9">
        <w:rPr>
          <w:rFonts w:ascii="Lucida Sans" w:eastAsia="Times New Roman" w:hAnsi="Lucida Sans"/>
          <w:b/>
          <w:bCs/>
          <w:color w:val="999999"/>
          <w:sz w:val="21"/>
          <w:szCs w:val="21"/>
        </w:rPr>
        <w:t> (NASDAQCOM)</w:t>
      </w:r>
    </w:p>
    <w:p w14:paraId="61E98380"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Industrial Production: Mining: Copper, nickel, lead, and zinc mining</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Index 2012=100, Not Seasonally Adjusted</w:t>
      </w:r>
      <w:r w:rsidRPr="00E815B9">
        <w:rPr>
          <w:rFonts w:ascii="Lucida Sans" w:eastAsia="Times New Roman" w:hAnsi="Lucida Sans"/>
          <w:b/>
          <w:bCs/>
          <w:color w:val="999999"/>
          <w:sz w:val="21"/>
          <w:szCs w:val="21"/>
        </w:rPr>
        <w:t> (IPG21223NQ)</w:t>
      </w:r>
    </w:p>
    <w:p w14:paraId="5666A58F"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lastRenderedPageBreak/>
        <w:t>Global price of Copper</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Metric Ton, Not Seasonally Adjusted</w:t>
      </w:r>
      <w:r w:rsidRPr="00E815B9">
        <w:rPr>
          <w:rFonts w:ascii="Lucida Sans" w:eastAsia="Times New Roman" w:hAnsi="Lucida Sans"/>
          <w:b/>
          <w:bCs/>
          <w:color w:val="999999"/>
          <w:sz w:val="21"/>
          <w:szCs w:val="21"/>
        </w:rPr>
        <w:t> (PCOPPUSDM)</w:t>
      </w:r>
      <w:r>
        <w:rPr>
          <w:rFonts w:ascii="Lucida Sans" w:eastAsia="Times New Roman" w:hAnsi="Lucida Sans"/>
          <w:b/>
          <w:bCs/>
          <w:color w:val="999999"/>
          <w:sz w:val="21"/>
          <w:szCs w:val="21"/>
        </w:rPr>
        <w:t xml:space="preserve"> – end of period, percent change</w:t>
      </w:r>
    </w:p>
    <w:p w14:paraId="3AEA338B"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Global price of Zinc</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U.S. Dollars per Metric Ton, Not Seasonally Adjusted</w:t>
      </w:r>
      <w:r w:rsidRPr="00E815B9">
        <w:rPr>
          <w:rFonts w:ascii="Lucida Sans" w:eastAsia="Times New Roman" w:hAnsi="Lucida Sans"/>
          <w:b/>
          <w:bCs/>
          <w:color w:val="999999"/>
          <w:sz w:val="21"/>
          <w:szCs w:val="21"/>
        </w:rPr>
        <w:t> (PZINCUSDM)</w:t>
      </w:r>
      <w:r>
        <w:rPr>
          <w:rFonts w:ascii="Lucida Sans" w:eastAsia="Times New Roman" w:hAnsi="Lucida Sans"/>
          <w:b/>
          <w:bCs/>
          <w:color w:val="999999"/>
          <w:sz w:val="21"/>
          <w:szCs w:val="21"/>
        </w:rPr>
        <w:t xml:space="preserve"> – end of period, percent change</w:t>
      </w:r>
    </w:p>
    <w:p w14:paraId="45C8381C" w14:textId="77777777" w:rsidR="00F61610" w:rsidRPr="00E815B9" w:rsidRDefault="00F61610" w:rsidP="00F464FE">
      <w:pPr>
        <w:pStyle w:val="ListParagraph"/>
        <w:numPr>
          <w:ilvl w:val="0"/>
          <w:numId w:val="6"/>
        </w:numPr>
        <w:spacing w:line="480" w:lineRule="auto"/>
        <w:rPr>
          <w:rFonts w:eastAsia="Times New Roman"/>
          <w:color w:val="auto"/>
        </w:rPr>
      </w:pPr>
      <w:r w:rsidRPr="00E815B9">
        <w:rPr>
          <w:rFonts w:ascii="Lucida Sans" w:eastAsia="Times New Roman" w:hAnsi="Lucida Sans"/>
          <w:b/>
          <w:bCs/>
          <w:color w:val="333333"/>
          <w:sz w:val="21"/>
          <w:szCs w:val="21"/>
        </w:rPr>
        <w:t>Real Gross Domestic Product</w:t>
      </w:r>
      <w:r w:rsidRPr="00E815B9">
        <w:rPr>
          <w:rFonts w:ascii="Lucida Sans" w:eastAsia="Times New Roman" w:hAnsi="Lucida Sans"/>
          <w:b/>
          <w:bCs/>
          <w:color w:val="333333"/>
          <w:sz w:val="21"/>
          <w:szCs w:val="21"/>
          <w:shd w:val="clear" w:color="auto" w:fill="F2F4DF"/>
        </w:rPr>
        <w:t>,</w:t>
      </w:r>
      <w:r w:rsidRPr="00E815B9">
        <w:rPr>
          <w:rFonts w:ascii="Lucida Sans" w:eastAsia="Times New Roman" w:hAnsi="Lucida Sans"/>
          <w:color w:val="333333"/>
          <w:sz w:val="21"/>
          <w:szCs w:val="21"/>
        </w:rPr>
        <w:t> Percent Change from Quarter One Year Ago, Seasonally Adjusted</w:t>
      </w:r>
      <w:r w:rsidRPr="00E815B9">
        <w:rPr>
          <w:rFonts w:ascii="Lucida Sans" w:eastAsia="Times New Roman" w:hAnsi="Lucida Sans"/>
          <w:b/>
          <w:bCs/>
          <w:color w:val="999999"/>
          <w:sz w:val="21"/>
          <w:szCs w:val="21"/>
        </w:rPr>
        <w:t> (A191RO1Q156NBEA)</w:t>
      </w:r>
    </w:p>
    <w:p w14:paraId="2D1D5121" w14:textId="77777777" w:rsidR="001B1437" w:rsidRDefault="001B1437" w:rsidP="00F464FE">
      <w:pPr>
        <w:spacing w:line="480" w:lineRule="auto"/>
        <w:contextualSpacing/>
      </w:pPr>
    </w:p>
    <w:p w14:paraId="58BE395A" w14:textId="77777777" w:rsidR="00082FA7" w:rsidRDefault="00082FA7" w:rsidP="00F464FE">
      <w:pPr>
        <w:spacing w:line="480" w:lineRule="auto"/>
        <w:contextualSpacing/>
      </w:pPr>
      <w:r>
        <w:br w:type="page"/>
      </w:r>
    </w:p>
    <w:p w14:paraId="14AB0DC9" w14:textId="77777777" w:rsidR="00F61610" w:rsidRDefault="001B1437" w:rsidP="00F464FE">
      <w:pPr>
        <w:spacing w:line="480" w:lineRule="auto"/>
        <w:contextualSpacing/>
      </w:pPr>
      <w:r>
        <w:lastRenderedPageBreak/>
        <w:t xml:space="preserve">Step 1- </w:t>
      </w:r>
      <w:r w:rsidRPr="008A3EA4">
        <w:rPr>
          <w:b/>
        </w:rPr>
        <w:t>Data Preparation</w:t>
      </w:r>
      <w:r w:rsidR="008A3EA4">
        <w:t xml:space="preserve"> – 01_data_</w:t>
      </w:r>
      <w:proofErr w:type="gramStart"/>
      <w:r w:rsidR="008A3EA4">
        <w:t>cleaning.R</w:t>
      </w:r>
      <w:proofErr w:type="gramEnd"/>
    </w:p>
    <w:p w14:paraId="013C9491" w14:textId="77777777" w:rsidR="001B1437" w:rsidRDefault="001B1437" w:rsidP="00F464FE">
      <w:pPr>
        <w:spacing w:line="480" w:lineRule="auto"/>
        <w:contextualSpacing/>
      </w:pPr>
    </w:p>
    <w:p w14:paraId="0C1C292A" w14:textId="77777777" w:rsidR="008A3EA4" w:rsidRDefault="001B1437" w:rsidP="00F464FE">
      <w:pPr>
        <w:spacing w:line="480" w:lineRule="auto"/>
        <w:ind w:firstLine="720"/>
        <w:contextualSpacing/>
      </w:pPr>
      <w:r>
        <w:rPr>
          <w:noProof/>
        </w:rPr>
        <w:drawing>
          <wp:anchor distT="0" distB="0" distL="114300" distR="114300" simplePos="0" relativeHeight="251658240" behindDoc="1" locked="0" layoutInCell="1" allowOverlap="1" wp14:anchorId="46EF8E94" wp14:editId="6F3DA758">
            <wp:simplePos x="0" y="0"/>
            <wp:positionH relativeFrom="column">
              <wp:posOffset>0</wp:posOffset>
            </wp:positionH>
            <wp:positionV relativeFrom="paragraph">
              <wp:posOffset>0</wp:posOffset>
            </wp:positionV>
            <wp:extent cx="2633472" cy="2752344"/>
            <wp:effectExtent l="0" t="0" r="0" b="3810"/>
            <wp:wrapTight wrapText="right">
              <wp:wrapPolygon edited="0">
                <wp:start x="0" y="0"/>
                <wp:lineTo x="0" y="21530"/>
                <wp:lineTo x="21459" y="21530"/>
                <wp:lineTo x="214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_data.jpeg"/>
                    <pic:cNvPicPr/>
                  </pic:nvPicPr>
                  <pic:blipFill>
                    <a:blip r:embed="rId6">
                      <a:extLst>
                        <a:ext uri="{28A0092B-C50C-407E-A947-70E740481C1C}">
                          <a14:useLocalDpi xmlns:a14="http://schemas.microsoft.com/office/drawing/2010/main" val="0"/>
                        </a:ext>
                      </a:extLst>
                    </a:blip>
                    <a:stretch>
                      <a:fillRect/>
                    </a:stretch>
                  </pic:blipFill>
                  <pic:spPr>
                    <a:xfrm>
                      <a:off x="0" y="0"/>
                      <a:ext cx="2633472" cy="2752344"/>
                    </a:xfrm>
                    <a:prstGeom prst="rect">
                      <a:avLst/>
                    </a:prstGeom>
                  </pic:spPr>
                </pic:pic>
              </a:graphicData>
            </a:graphic>
            <wp14:sizeRelH relativeFrom="margin">
              <wp14:pctWidth>0</wp14:pctWidth>
            </wp14:sizeRelH>
            <wp14:sizeRelV relativeFrom="margin">
              <wp14:pctHeight>0</wp14:pctHeight>
            </wp14:sizeRelV>
          </wp:anchor>
        </w:drawing>
      </w:r>
      <w:r>
        <w:t xml:space="preserve">The original dataset </w:t>
      </w:r>
      <w:r w:rsidR="008A3EA4">
        <w:t xml:space="preserve">from the bank </w:t>
      </w:r>
      <w:r>
        <w:t xml:space="preserve">contained 111 observations of 13 variables.  </w:t>
      </w:r>
      <w:r w:rsidR="008A3EA4">
        <w:t xml:space="preserve">S&amp;P500 information was missing for 1991 – 2008, and was filled in </w:t>
      </w:r>
      <w:proofErr w:type="gramStart"/>
      <w:r w:rsidR="008A3EA4">
        <w:t>from  datahub.io</w:t>
      </w:r>
      <w:proofErr w:type="gramEnd"/>
      <w:r w:rsidR="008A3EA4">
        <w:t>.</w:t>
      </w:r>
    </w:p>
    <w:p w14:paraId="2F63E35D" w14:textId="77777777" w:rsidR="008A3EA4" w:rsidRDefault="001B1437" w:rsidP="00F464FE">
      <w:pPr>
        <w:spacing w:line="480" w:lineRule="auto"/>
        <w:ind w:firstLine="720"/>
        <w:contextualSpacing/>
      </w:pPr>
      <w:r>
        <w:t>There were 5 rows with missing information for percent change zinc, percent change copper, natural gas, crude oil, zinc price, and copper price.  These 5 rows were for the dates 2017-07-01 to 2018-07-01</w:t>
      </w:r>
      <w:r w:rsidR="008A3EA4">
        <w:t>.</w:t>
      </w:r>
    </w:p>
    <w:p w14:paraId="2616211E" w14:textId="77777777" w:rsidR="008A3EA4" w:rsidRDefault="008A3EA4" w:rsidP="00F464FE">
      <w:pPr>
        <w:spacing w:line="480" w:lineRule="auto"/>
        <w:ind w:firstLine="720"/>
        <w:contextualSpacing/>
      </w:pPr>
      <w:r>
        <w:t>The script for this step generates a file called cleaned_data.csv.  This file will be used to build our models.</w:t>
      </w:r>
    </w:p>
    <w:p w14:paraId="3A01522E" w14:textId="77777777" w:rsidR="008A3EA4" w:rsidRDefault="008A3EA4" w:rsidP="00F464FE">
      <w:pPr>
        <w:spacing w:line="480" w:lineRule="auto"/>
        <w:contextualSpacing/>
      </w:pPr>
      <w:r>
        <w:br w:type="page"/>
      </w:r>
      <w:r>
        <w:lastRenderedPageBreak/>
        <w:t xml:space="preserve">Step 2 – </w:t>
      </w:r>
      <w:r>
        <w:rPr>
          <w:b/>
        </w:rPr>
        <w:t xml:space="preserve">Exploratory Data Analysis </w:t>
      </w:r>
      <w:r>
        <w:t>– 02_</w:t>
      </w:r>
      <w:proofErr w:type="gramStart"/>
      <w:r>
        <w:t>eda.R</w:t>
      </w:r>
      <w:proofErr w:type="gramEnd"/>
    </w:p>
    <w:p w14:paraId="5FBA7B79" w14:textId="77777777" w:rsidR="008A3EA4" w:rsidRDefault="008A3EA4" w:rsidP="00F464FE">
      <w:pPr>
        <w:spacing w:line="480" w:lineRule="auto"/>
        <w:ind w:firstLine="720"/>
        <w:contextualSpacing/>
      </w:pPr>
    </w:p>
    <w:p w14:paraId="101FC181" w14:textId="77777777" w:rsidR="00F61610" w:rsidRDefault="008A3EA4" w:rsidP="00F464FE">
      <w:pPr>
        <w:spacing w:line="480" w:lineRule="auto"/>
        <w:ind w:firstLine="720"/>
        <w:contextualSpacing/>
      </w:pPr>
      <w:r>
        <w:t xml:space="preserve">This script will perform exploratory data analysis, and generate graphs of the cleaned dataset.  </w:t>
      </w:r>
    </w:p>
    <w:p w14:paraId="2D4F1E99" w14:textId="77777777" w:rsidR="009C024A" w:rsidRDefault="009C024A" w:rsidP="00F464FE">
      <w:pPr>
        <w:spacing w:line="480" w:lineRule="auto"/>
        <w:ind w:firstLine="720"/>
        <w:contextualSpacing/>
        <w:jc w:val="center"/>
      </w:pPr>
      <w:r w:rsidRPr="009C024A">
        <w:rPr>
          <w:noProof/>
        </w:rPr>
        <w:drawing>
          <wp:inline distT="0" distB="0" distL="0" distR="0" wp14:anchorId="2B49C42B" wp14:editId="47F7805C">
            <wp:extent cx="41275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7500" cy="2540000"/>
                    </a:xfrm>
                    <a:prstGeom prst="rect">
                      <a:avLst/>
                    </a:prstGeom>
                  </pic:spPr>
                </pic:pic>
              </a:graphicData>
            </a:graphic>
          </wp:inline>
        </w:drawing>
      </w:r>
    </w:p>
    <w:p w14:paraId="4F5597EB" w14:textId="77777777" w:rsidR="009C024A" w:rsidRDefault="009C024A" w:rsidP="00F464FE">
      <w:pPr>
        <w:spacing w:line="480" w:lineRule="auto"/>
        <w:ind w:firstLine="720"/>
        <w:contextualSpacing/>
      </w:pPr>
    </w:p>
    <w:p w14:paraId="21B1DF06" w14:textId="77777777" w:rsidR="009C024A" w:rsidRDefault="009C024A" w:rsidP="00F464FE">
      <w:pPr>
        <w:spacing w:line="480" w:lineRule="auto"/>
        <w:ind w:firstLine="720"/>
        <w:contextualSpacing/>
        <w:jc w:val="center"/>
      </w:pPr>
      <w:r>
        <w:rPr>
          <w:noProof/>
        </w:rPr>
        <w:lastRenderedPageBreak/>
        <w:drawing>
          <wp:inline distT="0" distB="0" distL="0" distR="0" wp14:anchorId="7D0421FC" wp14:editId="2298B536">
            <wp:extent cx="4192621" cy="440170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_series_all_variables.jpeg"/>
                    <pic:cNvPicPr/>
                  </pic:nvPicPr>
                  <pic:blipFill>
                    <a:blip r:embed="rId8">
                      <a:extLst>
                        <a:ext uri="{28A0092B-C50C-407E-A947-70E740481C1C}">
                          <a14:useLocalDpi xmlns:a14="http://schemas.microsoft.com/office/drawing/2010/main" val="0"/>
                        </a:ext>
                      </a:extLst>
                    </a:blip>
                    <a:stretch>
                      <a:fillRect/>
                    </a:stretch>
                  </pic:blipFill>
                  <pic:spPr>
                    <a:xfrm>
                      <a:off x="0" y="0"/>
                      <a:ext cx="4207668" cy="4417500"/>
                    </a:xfrm>
                    <a:prstGeom prst="rect">
                      <a:avLst/>
                    </a:prstGeom>
                  </pic:spPr>
                </pic:pic>
              </a:graphicData>
            </a:graphic>
          </wp:inline>
        </w:drawing>
      </w:r>
    </w:p>
    <w:p w14:paraId="3FC5BC0D" w14:textId="77777777" w:rsidR="009C024A" w:rsidRDefault="009C024A" w:rsidP="00F464FE">
      <w:pPr>
        <w:spacing w:line="480" w:lineRule="auto"/>
        <w:ind w:firstLine="720"/>
        <w:contextualSpacing/>
      </w:pPr>
      <w:r>
        <w:t xml:space="preserve">A quick look at the time series for all variables shows the price for zinc and copper seems to be most closely related to LIBOR rate.  The London Interbank Offered Rate is the rate of interest for wholesale money markets in London.  This input was included in the model because Bilal </w:t>
      </w:r>
      <w:proofErr w:type="spellStart"/>
      <w:r>
        <w:t>Zonjy</w:t>
      </w:r>
      <w:proofErr w:type="spellEnd"/>
      <w:r>
        <w:t xml:space="preserve"> (</w:t>
      </w:r>
      <w:hyperlink r:id="rId9" w:history="1">
        <w:r w:rsidRPr="0057603F">
          <w:rPr>
            <w:rStyle w:val="Hyperlink"/>
          </w:rPr>
          <w:t>https://bilalzonjy.github.io/432/index.html</w:t>
        </w:r>
      </w:hyperlink>
      <w:r>
        <w:t>) found it to be a good predictor of copper prices.</w:t>
      </w:r>
      <w:r w:rsidR="009478AC">
        <w:t xml:space="preserve">  Our models will include the 3 month and </w:t>
      </w:r>
      <w:proofErr w:type="gramStart"/>
      <w:r w:rsidR="009478AC">
        <w:t>12 month</w:t>
      </w:r>
      <w:proofErr w:type="gramEnd"/>
      <w:r w:rsidR="009478AC">
        <w:t xml:space="preserve"> LIBOR rates.</w:t>
      </w:r>
    </w:p>
    <w:p w14:paraId="1FCC1485" w14:textId="77777777" w:rsidR="005A583A" w:rsidRDefault="005A583A" w:rsidP="00F464FE">
      <w:pPr>
        <w:spacing w:line="480" w:lineRule="auto"/>
        <w:ind w:firstLine="720"/>
        <w:contextualSpacing/>
      </w:pPr>
      <w:r>
        <w:rPr>
          <w:noProof/>
        </w:rPr>
        <w:lastRenderedPageBreak/>
        <w:drawing>
          <wp:inline distT="0" distB="0" distL="0" distR="0" wp14:anchorId="576CAB69" wp14:editId="7EF8D054">
            <wp:extent cx="38100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correlations.jpeg"/>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733BE4F7" w14:textId="77777777" w:rsidR="00E91999" w:rsidRDefault="00E91999" w:rsidP="00F464FE">
      <w:pPr>
        <w:spacing w:line="480" w:lineRule="auto"/>
        <w:contextualSpacing/>
      </w:pPr>
      <w:r>
        <w:tab/>
        <w:t xml:space="preserve">The correlation graph shows which inputs are positively and negatively correlated with each other.  Blue means negative correlation; as one variable increases the other one decreases.  Red means positive correlation; as one variable increases so does the other.  </w:t>
      </w:r>
    </w:p>
    <w:p w14:paraId="5BCBCFD7" w14:textId="77777777" w:rsidR="002227E1" w:rsidRDefault="002227E1" w:rsidP="00F464FE">
      <w:pPr>
        <w:spacing w:line="480" w:lineRule="auto"/>
        <w:contextualSpacing/>
      </w:pPr>
      <w:r>
        <w:tab/>
        <w:t>The prices for zinc and copper are strongly correlated with each other</w:t>
      </w:r>
      <w:r w:rsidR="006541F9">
        <w:t xml:space="preserve"> </w:t>
      </w:r>
      <w:r>
        <w:t xml:space="preserve">(0.82), and as expected, so are the NASDAQ and SP500 (0.96).  Copper’s and zinc’s prices are </w:t>
      </w:r>
      <w:r w:rsidR="006541F9">
        <w:t xml:space="preserve">strongly </w:t>
      </w:r>
      <w:r>
        <w:t>negatively correlated with industrial mining production for precious metals</w:t>
      </w:r>
      <w:r w:rsidR="006541F9">
        <w:t>, crude oil price,</w:t>
      </w:r>
      <w:r>
        <w:t xml:space="preserve"> and the LIBOR</w:t>
      </w:r>
      <w:r w:rsidR="006541F9">
        <w:t xml:space="preserve"> rate. This mean that when the LIBOR rate is higher, so is the price for crude oil.  During these times, the price for zinc and copper are low.  This inverse relationship between metal and crude oil price is interesting, and should be further explored.</w:t>
      </w:r>
    </w:p>
    <w:p w14:paraId="34F14B8A" w14:textId="77777777" w:rsidR="00D849F3" w:rsidRDefault="00D849F3" w:rsidP="00F464FE">
      <w:pPr>
        <w:spacing w:line="480" w:lineRule="auto"/>
        <w:contextualSpacing/>
      </w:pPr>
    </w:p>
    <w:p w14:paraId="27EBBE35" w14:textId="77777777" w:rsidR="00082FA7" w:rsidRDefault="00082FA7" w:rsidP="00F464FE">
      <w:pPr>
        <w:spacing w:line="480" w:lineRule="auto"/>
        <w:contextualSpacing/>
      </w:pPr>
      <w:r>
        <w:br w:type="page"/>
      </w:r>
    </w:p>
    <w:p w14:paraId="19ECBF43" w14:textId="77777777" w:rsidR="00D849F3" w:rsidRDefault="00D849F3" w:rsidP="00F464FE">
      <w:pPr>
        <w:spacing w:line="480" w:lineRule="auto"/>
        <w:contextualSpacing/>
      </w:pPr>
      <w:r>
        <w:lastRenderedPageBreak/>
        <w:t xml:space="preserve">Step 3 – </w:t>
      </w:r>
      <w:r>
        <w:rPr>
          <w:b/>
        </w:rPr>
        <w:t xml:space="preserve">Model Building </w:t>
      </w:r>
      <w:r>
        <w:t>– 03_model_</w:t>
      </w:r>
      <w:proofErr w:type="gramStart"/>
      <w:r>
        <w:t>building.R</w:t>
      </w:r>
      <w:proofErr w:type="gramEnd"/>
    </w:p>
    <w:p w14:paraId="2A72362C" w14:textId="77777777" w:rsidR="00D849F3" w:rsidRDefault="00D849F3" w:rsidP="00F464FE">
      <w:pPr>
        <w:spacing w:line="480" w:lineRule="auto"/>
        <w:contextualSpacing/>
      </w:pPr>
    </w:p>
    <w:p w14:paraId="7A94FEBD" w14:textId="77777777" w:rsidR="00D849F3" w:rsidRDefault="00D849F3" w:rsidP="00F464FE">
      <w:pPr>
        <w:spacing w:line="480" w:lineRule="auto"/>
        <w:contextualSpacing/>
      </w:pPr>
      <w:r>
        <w:tab/>
      </w:r>
      <w:r w:rsidR="005078B0">
        <w:t>Separate models were made for zinc and copper price with the following four algorithms.</w:t>
      </w:r>
    </w:p>
    <w:p w14:paraId="40FD80D0" w14:textId="77777777" w:rsidR="00915FC0" w:rsidRDefault="00915FC0" w:rsidP="00F464FE">
      <w:pPr>
        <w:spacing w:line="480" w:lineRule="auto"/>
        <w:contextualSpacing/>
      </w:pPr>
    </w:p>
    <w:p w14:paraId="5843719F" w14:textId="77777777" w:rsidR="005078B0" w:rsidRDefault="00915FC0" w:rsidP="00F464FE">
      <w:pPr>
        <w:pStyle w:val="ListParagraph"/>
        <w:numPr>
          <w:ilvl w:val="0"/>
          <w:numId w:val="7"/>
        </w:numPr>
        <w:spacing w:line="480" w:lineRule="auto"/>
      </w:pPr>
      <w:r w:rsidRPr="00915FC0">
        <w:rPr>
          <w:i/>
        </w:rPr>
        <w:t>Simple Linear Regression</w:t>
      </w:r>
      <w:r>
        <w:t xml:space="preserve"> – this is the simplest kind of model, and is the easiest to interpret.  It will serve as a baseline for comparison.  These regression models did not include the percent change variables.  There variables are related to zinc and copper price, and linear regression models do not work with highly correlated predictors.  See </w:t>
      </w:r>
      <w:hyperlink r:id="rId11" w:history="1">
        <w:r w:rsidRPr="0057603F">
          <w:rPr>
            <w:rStyle w:val="Hyperlink"/>
          </w:rPr>
          <w:t>https://en.wikipedia.org/wiki/Multicollinearity</w:t>
        </w:r>
      </w:hyperlink>
      <w:r>
        <w:t xml:space="preserve"> for explanation.</w:t>
      </w:r>
    </w:p>
    <w:p w14:paraId="2E6AB43C" w14:textId="77777777" w:rsidR="00915FC0" w:rsidRPr="00915FC0" w:rsidRDefault="00915FC0" w:rsidP="00F464FE">
      <w:pPr>
        <w:pStyle w:val="ListParagraph"/>
        <w:numPr>
          <w:ilvl w:val="0"/>
          <w:numId w:val="7"/>
        </w:numPr>
        <w:spacing w:line="480" w:lineRule="auto"/>
      </w:pPr>
      <w:r>
        <w:rPr>
          <w:i/>
        </w:rPr>
        <w:t xml:space="preserve">ARIMA Time Series Forecasting – </w:t>
      </w:r>
      <w:r>
        <w:t xml:space="preserve">See </w:t>
      </w:r>
      <w:hyperlink r:id="rId12" w:history="1">
        <w:r w:rsidRPr="0057603F">
          <w:rPr>
            <w:rStyle w:val="Hyperlink"/>
          </w:rPr>
          <w:t>https://www.statmethods.net/advstats/timeseries.html</w:t>
        </w:r>
      </w:hyperlink>
      <w:r>
        <w:t xml:space="preserve"> for explanation</w:t>
      </w:r>
    </w:p>
    <w:p w14:paraId="4E91229C" w14:textId="77777777" w:rsidR="00915FC0" w:rsidRPr="00915FC0" w:rsidRDefault="00915FC0" w:rsidP="00F464FE">
      <w:pPr>
        <w:pStyle w:val="ListParagraph"/>
        <w:numPr>
          <w:ilvl w:val="0"/>
          <w:numId w:val="7"/>
        </w:numPr>
        <w:spacing w:line="480" w:lineRule="auto"/>
      </w:pPr>
      <w:r>
        <w:rPr>
          <w:i/>
        </w:rPr>
        <w:t>Neural Network Time Series Forecasting</w:t>
      </w:r>
      <w:r>
        <w:t xml:space="preserve"> – See </w:t>
      </w:r>
      <w:hyperlink r:id="rId13" w:history="1">
        <w:r w:rsidRPr="0057603F">
          <w:rPr>
            <w:rStyle w:val="Hyperlink"/>
          </w:rPr>
          <w:t>http://kourentzes.com/forecasting/2017/02/10/forecasting-time-series-with-neural-networks-in-r/</w:t>
        </w:r>
      </w:hyperlink>
      <w:r>
        <w:t xml:space="preserve"> for explanation.  Neural networks are a deep learning algorithm, and often do well with nonlinear data.  Our dataset is a bit small for this method, but we will try it any way.</w:t>
      </w:r>
    </w:p>
    <w:p w14:paraId="30E99915" w14:textId="77777777" w:rsidR="00915FC0" w:rsidRDefault="00915FC0" w:rsidP="00F464FE">
      <w:pPr>
        <w:pStyle w:val="ListParagraph"/>
        <w:numPr>
          <w:ilvl w:val="0"/>
          <w:numId w:val="7"/>
        </w:numPr>
        <w:spacing w:line="480" w:lineRule="auto"/>
      </w:pPr>
      <w:r>
        <w:rPr>
          <w:i/>
        </w:rPr>
        <w:t>Random Forest Model</w:t>
      </w:r>
      <w:r w:rsidR="009C4AFA">
        <w:t xml:space="preserve"> – Our models combine 600 decision trees.</w:t>
      </w:r>
    </w:p>
    <w:p w14:paraId="0CA28F60" w14:textId="77777777" w:rsidR="00CB13C3" w:rsidRDefault="00CB13C3" w:rsidP="00F464FE">
      <w:pPr>
        <w:spacing w:line="480" w:lineRule="auto"/>
        <w:ind w:left="360"/>
        <w:contextualSpacing/>
      </w:pPr>
    </w:p>
    <w:p w14:paraId="53631A0F" w14:textId="77777777" w:rsidR="008C7403" w:rsidRDefault="008C7403" w:rsidP="00F464FE">
      <w:pPr>
        <w:spacing w:line="480" w:lineRule="auto"/>
        <w:contextualSpacing/>
      </w:pPr>
    </w:p>
    <w:p w14:paraId="1BEB9688" w14:textId="77777777" w:rsidR="00082FA7" w:rsidRDefault="00082FA7" w:rsidP="00F464FE">
      <w:pPr>
        <w:spacing w:line="480" w:lineRule="auto"/>
        <w:contextualSpacing/>
      </w:pPr>
      <w:r>
        <w:br w:type="page"/>
      </w:r>
    </w:p>
    <w:p w14:paraId="37FA9428" w14:textId="77777777" w:rsidR="009C4AFA" w:rsidRDefault="008C7403" w:rsidP="00F464FE">
      <w:pPr>
        <w:spacing w:line="480" w:lineRule="auto"/>
        <w:contextualSpacing/>
      </w:pPr>
      <w:r>
        <w:lastRenderedPageBreak/>
        <w:t xml:space="preserve">Step 4 – </w:t>
      </w:r>
      <w:r>
        <w:rPr>
          <w:b/>
        </w:rPr>
        <w:t>Model Evaluation</w:t>
      </w:r>
      <w:r>
        <w:t xml:space="preserve"> – 04_model_</w:t>
      </w:r>
      <w:proofErr w:type="gramStart"/>
      <w:r>
        <w:t>evaluation.R</w:t>
      </w:r>
      <w:proofErr w:type="gramEnd"/>
    </w:p>
    <w:p w14:paraId="23129794" w14:textId="77777777" w:rsidR="008C7403" w:rsidRDefault="008C7403" w:rsidP="00F464FE">
      <w:pPr>
        <w:spacing w:line="480" w:lineRule="auto"/>
        <w:contextualSpacing/>
      </w:pPr>
    </w:p>
    <w:p w14:paraId="1B4DC277" w14:textId="77777777" w:rsidR="008C7403" w:rsidRDefault="008C7403" w:rsidP="00F464FE">
      <w:pPr>
        <w:spacing w:line="480" w:lineRule="auto"/>
        <w:contextualSpacing/>
      </w:pPr>
      <w:r>
        <w:t>This step looks at the predictions for each model to determine which one is the best.  You can run this script to see predictions and test the models.</w:t>
      </w:r>
    </w:p>
    <w:p w14:paraId="1129FD77" w14:textId="77777777" w:rsidR="008C7403" w:rsidRDefault="008C7403" w:rsidP="00F464FE">
      <w:pPr>
        <w:spacing w:line="480" w:lineRule="auto"/>
        <w:contextualSpacing/>
      </w:pPr>
    </w:p>
    <w:p w14:paraId="12ED747B" w14:textId="77777777" w:rsidR="00567876" w:rsidRDefault="008C7403" w:rsidP="00F464FE">
      <w:pPr>
        <w:spacing w:line="480" w:lineRule="auto"/>
        <w:contextualSpacing/>
        <w:jc w:val="center"/>
      </w:pPr>
      <w:r>
        <w:rPr>
          <w:noProof/>
        </w:rPr>
        <w:drawing>
          <wp:inline distT="0" distB="0" distL="0" distR="0" wp14:anchorId="2A5D2A04" wp14:editId="5321ACE6">
            <wp:extent cx="5080000" cy="275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cast_copper.jpeg"/>
                    <pic:cNvPicPr/>
                  </pic:nvPicPr>
                  <pic:blipFill>
                    <a:blip r:embed="rId14">
                      <a:extLst>
                        <a:ext uri="{28A0092B-C50C-407E-A947-70E740481C1C}">
                          <a14:useLocalDpi xmlns:a14="http://schemas.microsoft.com/office/drawing/2010/main" val="0"/>
                        </a:ext>
                      </a:extLst>
                    </a:blip>
                    <a:stretch>
                      <a:fillRect/>
                    </a:stretch>
                  </pic:blipFill>
                  <pic:spPr>
                    <a:xfrm>
                      <a:off x="0" y="0"/>
                      <a:ext cx="5080000" cy="2755900"/>
                    </a:xfrm>
                    <a:prstGeom prst="rect">
                      <a:avLst/>
                    </a:prstGeom>
                  </pic:spPr>
                </pic:pic>
              </a:graphicData>
            </a:graphic>
          </wp:inline>
        </w:drawing>
      </w:r>
      <w:r>
        <w:rPr>
          <w:noProof/>
        </w:rPr>
        <w:drawing>
          <wp:inline distT="0" distB="0" distL="0" distR="0" wp14:anchorId="4DF2DE67" wp14:editId="794AF001">
            <wp:extent cx="5080000" cy="275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cast_zinc.jpeg"/>
                    <pic:cNvPicPr/>
                  </pic:nvPicPr>
                  <pic:blipFill>
                    <a:blip r:embed="rId15">
                      <a:extLst>
                        <a:ext uri="{28A0092B-C50C-407E-A947-70E740481C1C}">
                          <a14:useLocalDpi xmlns:a14="http://schemas.microsoft.com/office/drawing/2010/main" val="0"/>
                        </a:ext>
                      </a:extLst>
                    </a:blip>
                    <a:stretch>
                      <a:fillRect/>
                    </a:stretch>
                  </pic:blipFill>
                  <pic:spPr>
                    <a:xfrm>
                      <a:off x="0" y="0"/>
                      <a:ext cx="5080000" cy="2755900"/>
                    </a:xfrm>
                    <a:prstGeom prst="rect">
                      <a:avLst/>
                    </a:prstGeom>
                  </pic:spPr>
                </pic:pic>
              </a:graphicData>
            </a:graphic>
          </wp:inline>
        </w:drawing>
      </w:r>
    </w:p>
    <w:p w14:paraId="3A9A59A4" w14:textId="77777777" w:rsidR="00567876" w:rsidRDefault="00567876" w:rsidP="00F464FE">
      <w:pPr>
        <w:spacing w:line="480" w:lineRule="auto"/>
        <w:contextualSpacing/>
      </w:pPr>
      <w:r>
        <w:t xml:space="preserve">The ARIMA forecast shows the mean predictions with confidence intervals.  </w:t>
      </w:r>
    </w:p>
    <w:p w14:paraId="4E6DC2F1" w14:textId="77777777" w:rsidR="008C7403" w:rsidRDefault="008C7403" w:rsidP="00F464FE">
      <w:pPr>
        <w:spacing w:line="480" w:lineRule="auto"/>
        <w:contextualSpacing/>
        <w:jc w:val="center"/>
      </w:pPr>
    </w:p>
    <w:p w14:paraId="63DC73A3" w14:textId="77777777" w:rsidR="00567876" w:rsidRDefault="00567876" w:rsidP="00F464FE">
      <w:pPr>
        <w:spacing w:line="480" w:lineRule="auto"/>
        <w:contextualSpacing/>
        <w:rPr>
          <w:b/>
        </w:rPr>
      </w:pPr>
      <w:r>
        <w:rPr>
          <w:b/>
        </w:rPr>
        <w:lastRenderedPageBreak/>
        <w:t>Comparison of Models</w:t>
      </w:r>
    </w:p>
    <w:p w14:paraId="1B4D171F" w14:textId="77777777" w:rsidR="00567876" w:rsidRPr="00567876" w:rsidRDefault="00567876" w:rsidP="00F464FE">
      <w:pPr>
        <w:spacing w:line="480" w:lineRule="auto"/>
        <w:contextualSpacing/>
        <w:rPr>
          <w:b/>
        </w:rPr>
      </w:pPr>
    </w:p>
    <w:p w14:paraId="777CD11B" w14:textId="77777777" w:rsidR="009C4AFA" w:rsidRPr="00D849F3" w:rsidRDefault="00567876" w:rsidP="00F464FE">
      <w:pPr>
        <w:spacing w:line="480" w:lineRule="auto"/>
        <w:ind w:left="360"/>
        <w:contextualSpacing/>
      </w:pPr>
      <w:r>
        <w:rPr>
          <w:noProof/>
        </w:rPr>
        <w:drawing>
          <wp:inline distT="0" distB="0" distL="0" distR="0" wp14:anchorId="4AE6475B" wp14:editId="7F4C4499">
            <wp:extent cx="4127500" cy="275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_copper.jpeg"/>
                    <pic:cNvPicPr/>
                  </pic:nvPicPr>
                  <pic:blipFill>
                    <a:blip r:embed="rId16">
                      <a:extLst>
                        <a:ext uri="{28A0092B-C50C-407E-A947-70E740481C1C}">
                          <a14:useLocalDpi xmlns:a14="http://schemas.microsoft.com/office/drawing/2010/main" val="0"/>
                        </a:ext>
                      </a:extLst>
                    </a:blip>
                    <a:stretch>
                      <a:fillRect/>
                    </a:stretch>
                  </pic:blipFill>
                  <pic:spPr>
                    <a:xfrm>
                      <a:off x="0" y="0"/>
                      <a:ext cx="4127500" cy="2755900"/>
                    </a:xfrm>
                    <a:prstGeom prst="rect">
                      <a:avLst/>
                    </a:prstGeom>
                  </pic:spPr>
                </pic:pic>
              </a:graphicData>
            </a:graphic>
          </wp:inline>
        </w:drawing>
      </w:r>
      <w:r>
        <w:rPr>
          <w:noProof/>
        </w:rPr>
        <w:drawing>
          <wp:inline distT="0" distB="0" distL="0" distR="0" wp14:anchorId="2BF099EB" wp14:editId="484D9B6C">
            <wp:extent cx="4127500" cy="275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s_zinc.jpeg"/>
                    <pic:cNvPicPr/>
                  </pic:nvPicPr>
                  <pic:blipFill>
                    <a:blip r:embed="rId17">
                      <a:extLst>
                        <a:ext uri="{28A0092B-C50C-407E-A947-70E740481C1C}">
                          <a14:useLocalDpi xmlns:a14="http://schemas.microsoft.com/office/drawing/2010/main" val="0"/>
                        </a:ext>
                      </a:extLst>
                    </a:blip>
                    <a:stretch>
                      <a:fillRect/>
                    </a:stretch>
                  </pic:blipFill>
                  <pic:spPr>
                    <a:xfrm>
                      <a:off x="0" y="0"/>
                      <a:ext cx="4127500" cy="2755900"/>
                    </a:xfrm>
                    <a:prstGeom prst="rect">
                      <a:avLst/>
                    </a:prstGeom>
                  </pic:spPr>
                </pic:pic>
              </a:graphicData>
            </a:graphic>
          </wp:inline>
        </w:drawing>
      </w:r>
    </w:p>
    <w:p w14:paraId="0A6EF8A4" w14:textId="77777777" w:rsidR="00BE44B5" w:rsidRDefault="00BE44B5" w:rsidP="00F464FE">
      <w:pPr>
        <w:spacing w:line="480" w:lineRule="auto"/>
        <w:contextualSpacing/>
      </w:pPr>
    </w:p>
    <w:p w14:paraId="5E455A8F" w14:textId="477E75CF" w:rsidR="007E6C89" w:rsidRDefault="00D77900" w:rsidP="00F464FE">
      <w:pPr>
        <w:spacing w:line="480" w:lineRule="auto"/>
        <w:ind w:firstLine="360"/>
        <w:contextualSpacing/>
      </w:pPr>
      <w:r>
        <w:t xml:space="preserve">The blue line shows the true price of zinc and copper.  The simple linear regression model has the most error.  </w:t>
      </w:r>
      <w:r w:rsidR="00000498">
        <w:t xml:space="preserve">It dramatically overpredicts values before 2015, and </w:t>
      </w:r>
      <w:proofErr w:type="spellStart"/>
      <w:r w:rsidR="00000498">
        <w:t>underpredicts</w:t>
      </w:r>
      <w:proofErr w:type="spellEnd"/>
      <w:r w:rsidR="00000498">
        <w:t xml:space="preserve"> values afterwards.  The random forest models are better predictors for both copper and zinc.  Future analysis should explain why the price of zinc increased in 2016.  (See </w:t>
      </w:r>
      <w:hyperlink r:id="rId18" w:anchor="33ff2679c186" w:history="1">
        <w:r w:rsidR="00000498" w:rsidRPr="0057603F">
          <w:rPr>
            <w:rStyle w:val="Hyperlink"/>
          </w:rPr>
          <w:t>https://www.forbes.com/sites/roystonwild/2016/08/04/zinc-prices-have-exploded-in-2016-but-is-the-party-already-over/#33ff2679c186</w:t>
        </w:r>
      </w:hyperlink>
      <w:r w:rsidR="00000498">
        <w:t xml:space="preserve"> for article about potential for correction in market).  </w:t>
      </w:r>
    </w:p>
    <w:p w14:paraId="597A5B64" w14:textId="341DF856" w:rsidR="00B72AD0" w:rsidRDefault="00B72AD0" w:rsidP="00F464FE">
      <w:pPr>
        <w:spacing w:line="480" w:lineRule="auto"/>
        <w:ind w:firstLine="360"/>
        <w:contextualSpacing/>
      </w:pPr>
      <w:r>
        <w:t>The predictions for each model are stored in the following files:</w:t>
      </w:r>
    </w:p>
    <w:p w14:paraId="7CCCBC34" w14:textId="21C73E3C" w:rsidR="00B72AD0" w:rsidRDefault="00B72AD0" w:rsidP="00F464FE">
      <w:pPr>
        <w:pStyle w:val="ListParagraph"/>
        <w:numPr>
          <w:ilvl w:val="0"/>
          <w:numId w:val="8"/>
        </w:numPr>
        <w:spacing w:line="480" w:lineRule="auto"/>
      </w:pPr>
      <w:r>
        <w:t>all_results_copper.csv</w:t>
      </w:r>
    </w:p>
    <w:p w14:paraId="73AB462E" w14:textId="5736BCD8" w:rsidR="00B72AD0" w:rsidRDefault="00B72AD0" w:rsidP="00F464FE">
      <w:pPr>
        <w:pStyle w:val="ListParagraph"/>
        <w:numPr>
          <w:ilvl w:val="0"/>
          <w:numId w:val="8"/>
        </w:numPr>
        <w:spacing w:line="480" w:lineRule="auto"/>
      </w:pPr>
      <w:r>
        <w:t>all_results_zinc.csv</w:t>
      </w:r>
    </w:p>
    <w:p w14:paraId="69F77E29" w14:textId="040561D9" w:rsidR="00B72AD0" w:rsidRDefault="00B72AD0" w:rsidP="00F464FE">
      <w:pPr>
        <w:pStyle w:val="ListParagraph"/>
        <w:numPr>
          <w:ilvl w:val="0"/>
          <w:numId w:val="8"/>
        </w:numPr>
        <w:spacing w:line="480" w:lineRule="auto"/>
      </w:pPr>
      <w:r>
        <w:t>nn_results_copper.csv</w:t>
      </w:r>
    </w:p>
    <w:p w14:paraId="5D876DF7" w14:textId="193071C0" w:rsidR="00B72AD0" w:rsidRDefault="00B72AD0" w:rsidP="00F464FE">
      <w:pPr>
        <w:pStyle w:val="ListParagraph"/>
        <w:numPr>
          <w:ilvl w:val="0"/>
          <w:numId w:val="8"/>
        </w:numPr>
        <w:spacing w:line="480" w:lineRule="auto"/>
      </w:pPr>
      <w:r>
        <w:t>nn_results_zinc.csv</w:t>
      </w:r>
    </w:p>
    <w:p w14:paraId="565F3D44" w14:textId="77777777" w:rsidR="00B72AD0" w:rsidRDefault="00B72AD0" w:rsidP="00F464FE">
      <w:pPr>
        <w:spacing w:line="480" w:lineRule="auto"/>
        <w:ind w:firstLine="360"/>
        <w:contextualSpacing/>
      </w:pPr>
    </w:p>
    <w:p w14:paraId="25AFF585" w14:textId="77777777" w:rsidR="00B0589E" w:rsidRDefault="00B0589E" w:rsidP="00F464FE">
      <w:pPr>
        <w:spacing w:line="480" w:lineRule="auto"/>
        <w:ind w:firstLine="360"/>
        <w:contextualSpacing/>
      </w:pPr>
    </w:p>
    <w:p w14:paraId="6A6AB36D" w14:textId="77777777" w:rsidR="00567876" w:rsidRDefault="00567876" w:rsidP="00F464FE">
      <w:pPr>
        <w:spacing w:line="480" w:lineRule="auto"/>
        <w:contextualSpacing/>
      </w:pPr>
    </w:p>
    <w:p w14:paraId="2B4310FD" w14:textId="4C072AF5" w:rsidR="00A51C35" w:rsidRDefault="00297F9D" w:rsidP="00F464FE">
      <w:pPr>
        <w:spacing w:line="480" w:lineRule="auto"/>
        <w:contextualSpacing/>
        <w:rPr>
          <w:rFonts w:eastAsia="Times New Roman"/>
          <w:b/>
          <w:color w:val="auto"/>
        </w:rPr>
      </w:pPr>
      <w:r>
        <w:rPr>
          <w:rFonts w:eastAsia="Times New Roman"/>
          <w:b/>
          <w:color w:val="auto"/>
        </w:rPr>
        <w:t>Conclusion</w:t>
      </w:r>
    </w:p>
    <w:p w14:paraId="4A07D2D8" w14:textId="29307A24" w:rsidR="00297F9D" w:rsidRDefault="00297F9D" w:rsidP="00F464FE">
      <w:pPr>
        <w:spacing w:line="480" w:lineRule="auto"/>
        <w:contextualSpacing/>
        <w:rPr>
          <w:b/>
        </w:rPr>
      </w:pPr>
    </w:p>
    <w:p w14:paraId="6454AE0D" w14:textId="131DA826" w:rsidR="00F83AE1" w:rsidRDefault="00297F9D" w:rsidP="006053BC">
      <w:pPr>
        <w:spacing w:line="480" w:lineRule="auto"/>
        <w:ind w:firstLine="720"/>
        <w:contextualSpacing/>
      </w:pPr>
      <w:r>
        <w:t>Linear regression is not a good fit for the data, and the predictions from the ARIMA model are too broad.  The Neural Network and Random Forest model</w:t>
      </w:r>
      <w:r w:rsidR="00AB06C9">
        <w:t>s are pr</w:t>
      </w:r>
      <w:r w:rsidR="00FA6DA3">
        <w:t>o</w:t>
      </w:r>
      <w:r w:rsidR="00AB06C9">
        <w:t>mising</w:t>
      </w:r>
      <w:r>
        <w:t xml:space="preserve">, but they need more data.  Deep learning techniques need a lot of data in order to build a good model.  There is not enough information to build a model that predicts quarterly prices.  Instead the analysis should be repeated with either </w:t>
      </w:r>
      <w:r w:rsidR="00FA6DA3">
        <w:t>bi-</w:t>
      </w:r>
      <w:r>
        <w:t>monthly or daily prices.</w:t>
      </w:r>
      <w:r w:rsidR="006053BC">
        <w:t xml:space="preserve">  </w:t>
      </w:r>
      <w:r w:rsidR="00CF05FD">
        <w:t xml:space="preserve">Python and the </w:t>
      </w:r>
      <w:proofErr w:type="spellStart"/>
      <w:r w:rsidR="00CF05FD">
        <w:t>Keras</w:t>
      </w:r>
      <w:proofErr w:type="spellEnd"/>
      <w:r w:rsidR="00CF05FD">
        <w:t xml:space="preserve"> or </w:t>
      </w:r>
      <w:proofErr w:type="spellStart"/>
      <w:r w:rsidR="00CF05FD">
        <w:t>Tensorflow</w:t>
      </w:r>
      <w:proofErr w:type="spellEnd"/>
      <w:r w:rsidR="00CF05FD">
        <w:t xml:space="preserve"> library should be used to build a Long short-term memory (LSTM) model with either daily or monthly prices.</w:t>
      </w:r>
      <w:r w:rsidR="00744BF7">
        <w:t xml:space="preserve">  </w:t>
      </w:r>
      <w:bookmarkStart w:id="0" w:name="_GoBack"/>
      <w:bookmarkEnd w:id="0"/>
    </w:p>
    <w:p w14:paraId="00551E8E" w14:textId="77777777" w:rsidR="00F83AE1" w:rsidRDefault="00F83AE1" w:rsidP="00F464FE">
      <w:pPr>
        <w:spacing w:line="480" w:lineRule="auto"/>
        <w:contextualSpacing/>
      </w:pPr>
      <w:r>
        <w:br w:type="page"/>
      </w:r>
    </w:p>
    <w:p w14:paraId="2813980F" w14:textId="3CC606BE" w:rsidR="00CF05FD" w:rsidRDefault="00F83AE1" w:rsidP="00F83AE1">
      <w:pPr>
        <w:ind w:firstLine="720"/>
        <w:jc w:val="center"/>
      </w:pPr>
      <w:r>
        <w:lastRenderedPageBreak/>
        <w:t>Appendix</w:t>
      </w:r>
    </w:p>
    <w:p w14:paraId="13FD8B5B" w14:textId="586C32AA" w:rsidR="00F83AE1" w:rsidRDefault="00F83AE1" w:rsidP="00297F9D">
      <w:pPr>
        <w:ind w:firstLine="720"/>
      </w:pPr>
      <w:r>
        <w:rPr>
          <w:noProof/>
        </w:rPr>
        <w:drawing>
          <wp:inline distT="0" distB="0" distL="0" distR="0" wp14:anchorId="336244F6" wp14:editId="66E3AED1">
            <wp:extent cx="3088327"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1 at 4.19.11 PM.png"/>
                    <pic:cNvPicPr/>
                  </pic:nvPicPr>
                  <pic:blipFill>
                    <a:blip r:embed="rId19">
                      <a:extLst>
                        <a:ext uri="{28A0092B-C50C-407E-A947-70E740481C1C}">
                          <a14:useLocalDpi xmlns:a14="http://schemas.microsoft.com/office/drawing/2010/main" val="0"/>
                        </a:ext>
                      </a:extLst>
                    </a:blip>
                    <a:stretch>
                      <a:fillRect/>
                    </a:stretch>
                  </pic:blipFill>
                  <pic:spPr>
                    <a:xfrm>
                      <a:off x="0" y="0"/>
                      <a:ext cx="3105791" cy="2758712"/>
                    </a:xfrm>
                    <a:prstGeom prst="rect">
                      <a:avLst/>
                    </a:prstGeom>
                  </pic:spPr>
                </pic:pic>
              </a:graphicData>
            </a:graphic>
          </wp:inline>
        </w:drawing>
      </w:r>
      <w:r>
        <w:rPr>
          <w:noProof/>
        </w:rPr>
        <w:drawing>
          <wp:inline distT="0" distB="0" distL="0" distR="0" wp14:anchorId="568BD096" wp14:editId="53494FE5">
            <wp:extent cx="3599234" cy="259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1 at 4.19.03 PM.png"/>
                    <pic:cNvPicPr/>
                  </pic:nvPicPr>
                  <pic:blipFill>
                    <a:blip r:embed="rId20">
                      <a:extLst>
                        <a:ext uri="{28A0092B-C50C-407E-A947-70E740481C1C}">
                          <a14:useLocalDpi xmlns:a14="http://schemas.microsoft.com/office/drawing/2010/main" val="0"/>
                        </a:ext>
                      </a:extLst>
                    </a:blip>
                    <a:stretch>
                      <a:fillRect/>
                    </a:stretch>
                  </pic:blipFill>
                  <pic:spPr>
                    <a:xfrm>
                      <a:off x="0" y="0"/>
                      <a:ext cx="3611858" cy="2605477"/>
                    </a:xfrm>
                    <a:prstGeom prst="rect">
                      <a:avLst/>
                    </a:prstGeom>
                  </pic:spPr>
                </pic:pic>
              </a:graphicData>
            </a:graphic>
          </wp:inline>
        </w:drawing>
      </w:r>
    </w:p>
    <w:p w14:paraId="49E080AB" w14:textId="4CD7316A" w:rsidR="00F83AE1" w:rsidRDefault="00F83AE1" w:rsidP="00297F9D">
      <w:pPr>
        <w:ind w:firstLine="720"/>
      </w:pPr>
      <w:r>
        <w:t>Figure 1. Summary Statistics for Linear Models</w:t>
      </w:r>
    </w:p>
    <w:p w14:paraId="768F8021" w14:textId="7A335CE8" w:rsidR="00F83AE1" w:rsidRDefault="00F83AE1">
      <w:r>
        <w:br w:type="page"/>
      </w:r>
    </w:p>
    <w:p w14:paraId="1F803847" w14:textId="23DB6781" w:rsidR="00F83AE1" w:rsidRDefault="00F83AE1" w:rsidP="00297F9D">
      <w:pPr>
        <w:ind w:firstLine="720"/>
      </w:pPr>
      <w:r>
        <w:rPr>
          <w:noProof/>
        </w:rPr>
        <w:lastRenderedPageBreak/>
        <w:drawing>
          <wp:inline distT="0" distB="0" distL="0" distR="0" wp14:anchorId="37911329" wp14:editId="7BDB370A">
            <wp:extent cx="3683729" cy="30253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1 at 4.26.05 PM.png"/>
                    <pic:cNvPicPr/>
                  </pic:nvPicPr>
                  <pic:blipFill>
                    <a:blip r:embed="rId21">
                      <a:extLst>
                        <a:ext uri="{28A0092B-C50C-407E-A947-70E740481C1C}">
                          <a14:useLocalDpi xmlns:a14="http://schemas.microsoft.com/office/drawing/2010/main" val="0"/>
                        </a:ext>
                      </a:extLst>
                    </a:blip>
                    <a:stretch>
                      <a:fillRect/>
                    </a:stretch>
                  </pic:blipFill>
                  <pic:spPr>
                    <a:xfrm>
                      <a:off x="0" y="0"/>
                      <a:ext cx="3691284" cy="3031506"/>
                    </a:xfrm>
                    <a:prstGeom prst="rect">
                      <a:avLst/>
                    </a:prstGeom>
                  </pic:spPr>
                </pic:pic>
              </a:graphicData>
            </a:graphic>
          </wp:inline>
        </w:drawing>
      </w:r>
      <w:r>
        <w:rPr>
          <w:noProof/>
        </w:rPr>
        <w:drawing>
          <wp:inline distT="0" distB="0" distL="0" distR="0" wp14:anchorId="0B17ED72" wp14:editId="2CCA2357">
            <wp:extent cx="3949430" cy="329541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1 at 4.25.47 PM.png"/>
                    <pic:cNvPicPr/>
                  </pic:nvPicPr>
                  <pic:blipFill>
                    <a:blip r:embed="rId22">
                      <a:extLst>
                        <a:ext uri="{28A0092B-C50C-407E-A947-70E740481C1C}">
                          <a14:useLocalDpi xmlns:a14="http://schemas.microsoft.com/office/drawing/2010/main" val="0"/>
                        </a:ext>
                      </a:extLst>
                    </a:blip>
                    <a:stretch>
                      <a:fillRect/>
                    </a:stretch>
                  </pic:blipFill>
                  <pic:spPr>
                    <a:xfrm>
                      <a:off x="0" y="0"/>
                      <a:ext cx="3953681" cy="3298958"/>
                    </a:xfrm>
                    <a:prstGeom prst="rect">
                      <a:avLst/>
                    </a:prstGeom>
                  </pic:spPr>
                </pic:pic>
              </a:graphicData>
            </a:graphic>
          </wp:inline>
        </w:drawing>
      </w:r>
    </w:p>
    <w:p w14:paraId="331E96DB" w14:textId="7CDB51AE" w:rsidR="00B72AD0" w:rsidRDefault="00F83AE1" w:rsidP="00297F9D">
      <w:pPr>
        <w:ind w:firstLine="720"/>
      </w:pPr>
      <w:r>
        <w:t xml:space="preserve">Figure 2. Partial output for predictions for </w:t>
      </w:r>
      <w:r w:rsidR="00B72AD0">
        <w:t xml:space="preserve">Models.  </w:t>
      </w:r>
    </w:p>
    <w:p w14:paraId="04D973FB" w14:textId="77777777" w:rsidR="00B72AD0" w:rsidRDefault="00B72AD0">
      <w:r>
        <w:br w:type="page"/>
      </w:r>
    </w:p>
    <w:p w14:paraId="608F8482" w14:textId="01D17431" w:rsidR="00F83AE1" w:rsidRDefault="00B72AD0" w:rsidP="00297F9D">
      <w:pPr>
        <w:ind w:firstLine="720"/>
      </w:pPr>
      <w:r>
        <w:rPr>
          <w:noProof/>
        </w:rPr>
        <w:lastRenderedPageBreak/>
        <w:drawing>
          <wp:inline distT="0" distB="0" distL="0" distR="0" wp14:anchorId="5B632430" wp14:editId="3E2C7582">
            <wp:extent cx="3043173" cy="1848255"/>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1 at 4.31.55 PM.png"/>
                    <pic:cNvPicPr/>
                  </pic:nvPicPr>
                  <pic:blipFill>
                    <a:blip r:embed="rId23">
                      <a:extLst>
                        <a:ext uri="{28A0092B-C50C-407E-A947-70E740481C1C}">
                          <a14:useLocalDpi xmlns:a14="http://schemas.microsoft.com/office/drawing/2010/main" val="0"/>
                        </a:ext>
                      </a:extLst>
                    </a:blip>
                    <a:stretch>
                      <a:fillRect/>
                    </a:stretch>
                  </pic:blipFill>
                  <pic:spPr>
                    <a:xfrm>
                      <a:off x="0" y="0"/>
                      <a:ext cx="3058095" cy="1857318"/>
                    </a:xfrm>
                    <a:prstGeom prst="rect">
                      <a:avLst/>
                    </a:prstGeom>
                  </pic:spPr>
                </pic:pic>
              </a:graphicData>
            </a:graphic>
          </wp:inline>
        </w:drawing>
      </w:r>
    </w:p>
    <w:p w14:paraId="493BA0CA" w14:textId="0E0A9839" w:rsidR="00B72AD0" w:rsidRDefault="00B72AD0" w:rsidP="00297F9D">
      <w:pPr>
        <w:ind w:firstLine="720"/>
      </w:pPr>
      <w:r>
        <w:t>Figure 3. Quarterly NN predictions for 2017 - 2020</w:t>
      </w:r>
    </w:p>
    <w:p w14:paraId="4766A711" w14:textId="75C7B467" w:rsidR="00B72AD0" w:rsidRPr="00297F9D" w:rsidRDefault="00B72AD0" w:rsidP="00297F9D">
      <w:pPr>
        <w:ind w:firstLine="720"/>
      </w:pPr>
    </w:p>
    <w:sectPr w:rsidR="00B72AD0" w:rsidRPr="00297F9D" w:rsidSect="006A4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810FD"/>
    <w:multiLevelType w:val="hybridMultilevel"/>
    <w:tmpl w:val="B28C4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76B1E"/>
    <w:multiLevelType w:val="hybridMultilevel"/>
    <w:tmpl w:val="3B1C2300"/>
    <w:lvl w:ilvl="0" w:tplc="FB6A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026EE8"/>
    <w:multiLevelType w:val="hybridMultilevel"/>
    <w:tmpl w:val="F952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F06AE"/>
    <w:multiLevelType w:val="hybridMultilevel"/>
    <w:tmpl w:val="8E42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D5871"/>
    <w:multiLevelType w:val="hybridMultilevel"/>
    <w:tmpl w:val="DED2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542B"/>
    <w:multiLevelType w:val="hybridMultilevel"/>
    <w:tmpl w:val="1E260C74"/>
    <w:lvl w:ilvl="0" w:tplc="5A18CC3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0F48E4"/>
    <w:multiLevelType w:val="hybridMultilevel"/>
    <w:tmpl w:val="A5E6D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3936FF"/>
    <w:multiLevelType w:val="hybridMultilevel"/>
    <w:tmpl w:val="CA466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5"/>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746"/>
    <w:rsid w:val="00000498"/>
    <w:rsid w:val="00082FA7"/>
    <w:rsid w:val="00136186"/>
    <w:rsid w:val="001B1437"/>
    <w:rsid w:val="0022056C"/>
    <w:rsid w:val="002227E1"/>
    <w:rsid w:val="00297F9D"/>
    <w:rsid w:val="003D7C31"/>
    <w:rsid w:val="00411746"/>
    <w:rsid w:val="004162F5"/>
    <w:rsid w:val="0042041A"/>
    <w:rsid w:val="005078B0"/>
    <w:rsid w:val="00567876"/>
    <w:rsid w:val="005A583A"/>
    <w:rsid w:val="006053BC"/>
    <w:rsid w:val="006170C2"/>
    <w:rsid w:val="006541F9"/>
    <w:rsid w:val="006A45D9"/>
    <w:rsid w:val="006C497F"/>
    <w:rsid w:val="006D2EA2"/>
    <w:rsid w:val="00744BF7"/>
    <w:rsid w:val="007C45B4"/>
    <w:rsid w:val="007E6C89"/>
    <w:rsid w:val="008A3EA4"/>
    <w:rsid w:val="008C7403"/>
    <w:rsid w:val="008D3F17"/>
    <w:rsid w:val="00915FC0"/>
    <w:rsid w:val="00925DA0"/>
    <w:rsid w:val="009478AC"/>
    <w:rsid w:val="009679CC"/>
    <w:rsid w:val="00971EC5"/>
    <w:rsid w:val="009C024A"/>
    <w:rsid w:val="009C4AFA"/>
    <w:rsid w:val="009F192E"/>
    <w:rsid w:val="00A51C35"/>
    <w:rsid w:val="00AB06C9"/>
    <w:rsid w:val="00B0589E"/>
    <w:rsid w:val="00B62944"/>
    <w:rsid w:val="00B72AD0"/>
    <w:rsid w:val="00BE44B5"/>
    <w:rsid w:val="00C41122"/>
    <w:rsid w:val="00CB13C3"/>
    <w:rsid w:val="00CF05FD"/>
    <w:rsid w:val="00D77900"/>
    <w:rsid w:val="00D849F3"/>
    <w:rsid w:val="00DA0215"/>
    <w:rsid w:val="00DC08BD"/>
    <w:rsid w:val="00E23756"/>
    <w:rsid w:val="00E815B9"/>
    <w:rsid w:val="00E91999"/>
    <w:rsid w:val="00F464FE"/>
    <w:rsid w:val="00F61610"/>
    <w:rsid w:val="00F83AE1"/>
    <w:rsid w:val="00FA6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05B04"/>
  <w14:defaultImageDpi w14:val="32767"/>
  <w15:chartTrackingRefBased/>
  <w15:docId w15:val="{6D212F6E-87B9-624B-8075-77EF1B24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46"/>
    <w:pPr>
      <w:ind w:left="720"/>
      <w:contextualSpacing/>
    </w:pPr>
  </w:style>
  <w:style w:type="character" w:styleId="Hyperlink">
    <w:name w:val="Hyperlink"/>
    <w:basedOn w:val="DefaultParagraphFont"/>
    <w:uiPriority w:val="99"/>
    <w:unhideWhenUsed/>
    <w:rsid w:val="00411746"/>
    <w:rPr>
      <w:color w:val="0563C1" w:themeColor="hyperlink"/>
      <w:u w:val="single"/>
    </w:rPr>
  </w:style>
  <w:style w:type="character" w:styleId="UnresolvedMention">
    <w:name w:val="Unresolved Mention"/>
    <w:basedOn w:val="DefaultParagraphFont"/>
    <w:uiPriority w:val="99"/>
    <w:rsid w:val="00411746"/>
    <w:rPr>
      <w:color w:val="605E5C"/>
      <w:shd w:val="clear" w:color="auto" w:fill="E1DFDD"/>
    </w:rPr>
  </w:style>
  <w:style w:type="character" w:customStyle="1" w:styleId="series-title-attribs">
    <w:name w:val="series-title-attribs"/>
    <w:basedOn w:val="DefaultParagraphFont"/>
    <w:rsid w:val="00E815B9"/>
  </w:style>
  <w:style w:type="character" w:customStyle="1" w:styleId="apple-converted-space">
    <w:name w:val="apple-converted-space"/>
    <w:basedOn w:val="DefaultParagraphFont"/>
    <w:rsid w:val="00E815B9"/>
  </w:style>
  <w:style w:type="character" w:customStyle="1" w:styleId="text-muted">
    <w:name w:val="text-muted"/>
    <w:basedOn w:val="DefaultParagraphFont"/>
    <w:rsid w:val="00E815B9"/>
  </w:style>
  <w:style w:type="character" w:styleId="FollowedHyperlink">
    <w:name w:val="FollowedHyperlink"/>
    <w:basedOn w:val="DefaultParagraphFont"/>
    <w:uiPriority w:val="99"/>
    <w:semiHidden/>
    <w:unhideWhenUsed/>
    <w:rsid w:val="009C02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57731">
      <w:bodyDiv w:val="1"/>
      <w:marLeft w:val="0"/>
      <w:marRight w:val="0"/>
      <w:marTop w:val="0"/>
      <w:marBottom w:val="0"/>
      <w:divBdr>
        <w:top w:val="none" w:sz="0" w:space="0" w:color="auto"/>
        <w:left w:val="none" w:sz="0" w:space="0" w:color="auto"/>
        <w:bottom w:val="none" w:sz="0" w:space="0" w:color="auto"/>
        <w:right w:val="none" w:sz="0" w:space="0" w:color="auto"/>
      </w:divBdr>
    </w:div>
    <w:div w:id="217859475">
      <w:bodyDiv w:val="1"/>
      <w:marLeft w:val="0"/>
      <w:marRight w:val="0"/>
      <w:marTop w:val="0"/>
      <w:marBottom w:val="0"/>
      <w:divBdr>
        <w:top w:val="none" w:sz="0" w:space="0" w:color="auto"/>
        <w:left w:val="none" w:sz="0" w:space="0" w:color="auto"/>
        <w:bottom w:val="none" w:sz="0" w:space="0" w:color="auto"/>
        <w:right w:val="none" w:sz="0" w:space="0" w:color="auto"/>
      </w:divBdr>
    </w:div>
    <w:div w:id="221335258">
      <w:bodyDiv w:val="1"/>
      <w:marLeft w:val="0"/>
      <w:marRight w:val="0"/>
      <w:marTop w:val="0"/>
      <w:marBottom w:val="0"/>
      <w:divBdr>
        <w:top w:val="none" w:sz="0" w:space="0" w:color="auto"/>
        <w:left w:val="none" w:sz="0" w:space="0" w:color="auto"/>
        <w:bottom w:val="none" w:sz="0" w:space="0" w:color="auto"/>
        <w:right w:val="none" w:sz="0" w:space="0" w:color="auto"/>
      </w:divBdr>
    </w:div>
    <w:div w:id="367800028">
      <w:bodyDiv w:val="1"/>
      <w:marLeft w:val="0"/>
      <w:marRight w:val="0"/>
      <w:marTop w:val="0"/>
      <w:marBottom w:val="0"/>
      <w:divBdr>
        <w:top w:val="none" w:sz="0" w:space="0" w:color="auto"/>
        <w:left w:val="none" w:sz="0" w:space="0" w:color="auto"/>
        <w:bottom w:val="none" w:sz="0" w:space="0" w:color="auto"/>
        <w:right w:val="none" w:sz="0" w:space="0" w:color="auto"/>
      </w:divBdr>
    </w:div>
    <w:div w:id="489903652">
      <w:bodyDiv w:val="1"/>
      <w:marLeft w:val="0"/>
      <w:marRight w:val="0"/>
      <w:marTop w:val="0"/>
      <w:marBottom w:val="0"/>
      <w:divBdr>
        <w:top w:val="none" w:sz="0" w:space="0" w:color="auto"/>
        <w:left w:val="none" w:sz="0" w:space="0" w:color="auto"/>
        <w:bottom w:val="none" w:sz="0" w:space="0" w:color="auto"/>
        <w:right w:val="none" w:sz="0" w:space="0" w:color="auto"/>
      </w:divBdr>
    </w:div>
    <w:div w:id="491918449">
      <w:bodyDiv w:val="1"/>
      <w:marLeft w:val="0"/>
      <w:marRight w:val="0"/>
      <w:marTop w:val="0"/>
      <w:marBottom w:val="0"/>
      <w:divBdr>
        <w:top w:val="none" w:sz="0" w:space="0" w:color="auto"/>
        <w:left w:val="none" w:sz="0" w:space="0" w:color="auto"/>
        <w:bottom w:val="none" w:sz="0" w:space="0" w:color="auto"/>
        <w:right w:val="none" w:sz="0" w:space="0" w:color="auto"/>
      </w:divBdr>
    </w:div>
    <w:div w:id="492572066">
      <w:bodyDiv w:val="1"/>
      <w:marLeft w:val="0"/>
      <w:marRight w:val="0"/>
      <w:marTop w:val="0"/>
      <w:marBottom w:val="0"/>
      <w:divBdr>
        <w:top w:val="none" w:sz="0" w:space="0" w:color="auto"/>
        <w:left w:val="none" w:sz="0" w:space="0" w:color="auto"/>
        <w:bottom w:val="none" w:sz="0" w:space="0" w:color="auto"/>
        <w:right w:val="none" w:sz="0" w:space="0" w:color="auto"/>
      </w:divBdr>
    </w:div>
    <w:div w:id="679166070">
      <w:bodyDiv w:val="1"/>
      <w:marLeft w:val="0"/>
      <w:marRight w:val="0"/>
      <w:marTop w:val="0"/>
      <w:marBottom w:val="0"/>
      <w:divBdr>
        <w:top w:val="none" w:sz="0" w:space="0" w:color="auto"/>
        <w:left w:val="none" w:sz="0" w:space="0" w:color="auto"/>
        <w:bottom w:val="none" w:sz="0" w:space="0" w:color="auto"/>
        <w:right w:val="none" w:sz="0" w:space="0" w:color="auto"/>
      </w:divBdr>
    </w:div>
    <w:div w:id="946691588">
      <w:bodyDiv w:val="1"/>
      <w:marLeft w:val="0"/>
      <w:marRight w:val="0"/>
      <w:marTop w:val="0"/>
      <w:marBottom w:val="0"/>
      <w:divBdr>
        <w:top w:val="none" w:sz="0" w:space="0" w:color="auto"/>
        <w:left w:val="none" w:sz="0" w:space="0" w:color="auto"/>
        <w:bottom w:val="none" w:sz="0" w:space="0" w:color="auto"/>
        <w:right w:val="none" w:sz="0" w:space="0" w:color="auto"/>
      </w:divBdr>
    </w:div>
    <w:div w:id="1070469593">
      <w:bodyDiv w:val="1"/>
      <w:marLeft w:val="0"/>
      <w:marRight w:val="0"/>
      <w:marTop w:val="0"/>
      <w:marBottom w:val="0"/>
      <w:divBdr>
        <w:top w:val="none" w:sz="0" w:space="0" w:color="auto"/>
        <w:left w:val="none" w:sz="0" w:space="0" w:color="auto"/>
        <w:bottom w:val="none" w:sz="0" w:space="0" w:color="auto"/>
        <w:right w:val="none" w:sz="0" w:space="0" w:color="auto"/>
      </w:divBdr>
    </w:div>
    <w:div w:id="1354379929">
      <w:bodyDiv w:val="1"/>
      <w:marLeft w:val="0"/>
      <w:marRight w:val="0"/>
      <w:marTop w:val="0"/>
      <w:marBottom w:val="0"/>
      <w:divBdr>
        <w:top w:val="none" w:sz="0" w:space="0" w:color="auto"/>
        <w:left w:val="none" w:sz="0" w:space="0" w:color="auto"/>
        <w:bottom w:val="none" w:sz="0" w:space="0" w:color="auto"/>
        <w:right w:val="none" w:sz="0" w:space="0" w:color="auto"/>
      </w:divBdr>
    </w:div>
    <w:div w:id="1374765970">
      <w:bodyDiv w:val="1"/>
      <w:marLeft w:val="0"/>
      <w:marRight w:val="0"/>
      <w:marTop w:val="0"/>
      <w:marBottom w:val="0"/>
      <w:divBdr>
        <w:top w:val="none" w:sz="0" w:space="0" w:color="auto"/>
        <w:left w:val="none" w:sz="0" w:space="0" w:color="auto"/>
        <w:bottom w:val="none" w:sz="0" w:space="0" w:color="auto"/>
        <w:right w:val="none" w:sz="0" w:space="0" w:color="auto"/>
      </w:divBdr>
    </w:div>
    <w:div w:id="1595630472">
      <w:bodyDiv w:val="1"/>
      <w:marLeft w:val="0"/>
      <w:marRight w:val="0"/>
      <w:marTop w:val="0"/>
      <w:marBottom w:val="0"/>
      <w:divBdr>
        <w:top w:val="none" w:sz="0" w:space="0" w:color="auto"/>
        <w:left w:val="none" w:sz="0" w:space="0" w:color="auto"/>
        <w:bottom w:val="none" w:sz="0" w:space="0" w:color="auto"/>
        <w:right w:val="none" w:sz="0" w:space="0" w:color="auto"/>
      </w:divBdr>
    </w:div>
    <w:div w:id="1700551105">
      <w:bodyDiv w:val="1"/>
      <w:marLeft w:val="0"/>
      <w:marRight w:val="0"/>
      <w:marTop w:val="0"/>
      <w:marBottom w:val="0"/>
      <w:divBdr>
        <w:top w:val="none" w:sz="0" w:space="0" w:color="auto"/>
        <w:left w:val="none" w:sz="0" w:space="0" w:color="auto"/>
        <w:bottom w:val="none" w:sz="0" w:space="0" w:color="auto"/>
        <w:right w:val="none" w:sz="0" w:space="0" w:color="auto"/>
      </w:divBdr>
    </w:div>
    <w:div w:id="198751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kourentzes.com/forecasting/2017/02/10/forecasting-time-series-with-neural-networks-in-r/" TargetMode="External"/><Relationship Id="rId18" Type="http://schemas.openxmlformats.org/officeDocument/2006/relationships/hyperlink" Target="https://www.forbes.com/sites/roystonwild/2016/08/04/zinc-prices-have-exploded-in-2016-but-is-the-party-already-over/"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tiff"/><Relationship Id="rId12" Type="http://schemas.openxmlformats.org/officeDocument/2006/relationships/hyperlink" Target="https://www.statmethods.net/advstats/timeseries.html"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en.wikipedia.org/wiki/Multicollinearity" TargetMode="External"/><Relationship Id="rId24" Type="http://schemas.openxmlformats.org/officeDocument/2006/relationships/fontTable" Target="fontTable.xml"/><Relationship Id="rId5" Type="http://schemas.openxmlformats.org/officeDocument/2006/relationships/hyperlink" Target="https://fred.stlouisfed.org/series/PCOPPUSDQ" TargetMode="External"/><Relationship Id="rId15" Type="http://schemas.openxmlformats.org/officeDocument/2006/relationships/image" Target="media/image6.jpe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ilalzonjy.github.io/432/index.html" TargetMode="External"/><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Adamma Morrison</dc:creator>
  <cp:keywords/>
  <dc:description/>
  <cp:lastModifiedBy>Adamma Morrison</cp:lastModifiedBy>
  <cp:revision>30</cp:revision>
  <dcterms:created xsi:type="dcterms:W3CDTF">2018-11-11T19:50:00Z</dcterms:created>
  <dcterms:modified xsi:type="dcterms:W3CDTF">2018-11-13T01:59:00Z</dcterms:modified>
</cp:coreProperties>
</file>