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 use the error rate of classification to evaluate the accuracy of the makeup recognition classification: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129030" cy="429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429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200660" cy="15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the number of sample datasets that can be classified correctly;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80340" cy="1663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" cy="166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is the total number of the testing dataset.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