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киргизского народа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&gt;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 xml:space="preserve">к </w:t>
      </w:r>
      <w:r>
        <w:rPr>
          <w:sz w:val="28"/>
          <w:szCs w:val="28"/>
          <w:u w:val="single"/>
          <w:rtl w:val="0"/>
        </w:rPr>
        <w:t>родоправител</w:t>
      </w:r>
      <w:r>
        <w:rPr>
          <w:sz w:val="28"/>
          <w:szCs w:val="28"/>
          <w:u w:val="single"/>
          <w:rtl w:val="0"/>
          <w:lang w:val="ru-RU"/>
        </w:rPr>
        <w:t>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Стрелкова 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., 1990,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«киргиз»</w:t>
      </w:r>
    </w:p>
    <w:p>
      <w:pPr>
        <w:pStyle w:val="Основной текст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истина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происхождение слова или морфем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V</w:t>
      </w:r>
      <w:r>
        <w:rPr>
          <w:sz w:val="28"/>
          <w:szCs w:val="28"/>
          <w:rtl w:val="0"/>
          <w:lang w:val="en-US"/>
        </w:rPr>
        <w:t xml:space="preserve"> - </w:t>
      </w:r>
      <w:r>
        <w:rPr>
          <w:sz w:val="28"/>
          <w:szCs w:val="28"/>
          <w:rtl w:val="0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лепотественного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bidi w:val="0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"/>
        <w:bidi w:val="0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Киршуп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1929,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.6 (</w:t>
      </w: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</w:t>
      </w:r>
      <w:r>
        <w:rPr>
          <w:rtl w:val="0"/>
          <w:lang w:val="ru-RU"/>
        </w:rPr>
        <w:t>ложение дуальной этнической структуры</w:t>
      </w:r>
      <w:r>
        <w:rPr>
          <w:rtl w:val="0"/>
          <w:lang w:val="ru-RU"/>
        </w:rPr>
        <w:t xml:space="preserve"> народности</w:t>
      </w:r>
      <w:r>
        <w:rPr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О времени создания подобной дуальной системы у киргизов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Туркестана после опроса киргизских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киргизов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определяют начало важнейшего этапа этнической и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сотально</w:t>
      </w:r>
      <w:r>
        <w:rPr>
          <w:sz w:val="28"/>
          <w:szCs w:val="28"/>
          <w:rtl w:val="0"/>
          <w:lang w:val="en-US"/>
        </w:rPr>
        <w:t xml:space="preserve">&gt; - 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киргизской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История Киргизов 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 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433 ]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38"/>
      </w:tabs>
      <w:jc w:val="left"/>
    </w:pPr>
    <w:r>
      <w:rPr>
        <w:sz w:val="24"/>
        <w:szCs w:val="24"/>
      </w:rPr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3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