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BN víctimas totales 2000-2023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BN Días totales y días con ataques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BN Total Víctimas de Israel y de Palestina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Botón a la Wiki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responsable por tipo de herida, munición (revisar munición) (D2)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responsable por edad y género (de las víctimas) (D2)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responsable por edad y participación (D2)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Dos líneas temporales con el número de víctimas por responsables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Víctimas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año y  mes  (D1)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año y ciudadanía (procedencia) (D1)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región y año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Víctimas según el tipo de herida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(emergente) distritos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(D3) Dashboard perfil: edad - barras, genero-quesito- BN perfil mayoritario (moda)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al libro: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https://public.tableau.com/views/Pair_Palestina/NVictimasheridas?:language=es-ES&amp;publish=yes&amp;:display_count=n&amp;:origin=viz_share_link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Pair_Palestina/NVictimasheridas?:language=es-E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