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Comparativo — Random Forest vs Random Forest + SMOTE</w:t>
      </w:r>
    </w:p>
    <w:p>
      <w:pPr>
        <w:pStyle w:val="Heading2"/>
      </w:pPr>
      <w:r>
        <w:t>1. Introdução</w:t>
      </w:r>
    </w:p>
    <w:p>
      <w:r>
        <w:t>O presente estudo tem como objetivo avaliar o impacto da aplicação da técnica SMOTE (Synthetic Minority Over-sampling Technique) sobre o desempenho do modelo Random Forest na tarefa de classificação de diabetes tipo II. O problema possui classes desbalanceadas, tornando necessário investigar se o balanceamento sintético melhora a capacidade de identificação de pacientes diabéticos (classe minoritária).</w:t>
      </w:r>
    </w:p>
    <w:p>
      <w:pPr>
        <w:pStyle w:val="Heading2"/>
      </w:pPr>
      <w:r>
        <w:t>2. Metodologia</w:t>
      </w:r>
    </w:p>
    <w:p>
      <w:pPr>
        <w:pStyle w:val="Heading3"/>
      </w:pPr>
      <w:r>
        <w:t>2.1 Modelo Base — Random Forest</w:t>
      </w:r>
    </w:p>
    <w:p>
      <w:r>
        <w:t>O primeiro experimento empregou o algoritmo RandomForestClassifier, sem qualquer tratamento de desbalanceamento. O pipeline incluiu imputação por mediana, padronização z-score e divisão estratificada (80/20). A avaliação foi feita via classification_report com métricas de precisão, recall e F1-score.</w:t>
      </w:r>
    </w:p>
    <w:p>
      <w:pPr>
        <w:pStyle w:val="Heading3"/>
      </w:pPr>
      <w:r>
        <w:t>2.2 Modelo com SMOTE</w:t>
      </w:r>
    </w:p>
    <w:p>
      <w:r>
        <w:t>O segundo experimento utilizou o mesmo pipeline, adicionando a técnica SMOTE aplicada ao conjunto de treino. O balanceamento da classe minoritária foi feito por amostragem sintética. Houve também otimização de hiperparâmetros com RandomizedSearchCV (5-fold CV), utilizando F1-score como métrica principal.</w:t>
      </w:r>
    </w:p>
    <w:p>
      <w:pPr>
        <w:pStyle w:val="Heading2"/>
      </w:pPr>
      <w:r>
        <w:t>3. Resultados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Métrica</w:t>
            </w:r>
          </w:p>
        </w:tc>
        <w:tc>
          <w:tcPr>
            <w:tcW w:type="dxa" w:w="2880"/>
          </w:tcPr>
          <w:p>
            <w:r>
              <w:t>Random Forest (base)</w:t>
            </w:r>
          </w:p>
        </w:tc>
        <w:tc>
          <w:tcPr>
            <w:tcW w:type="dxa" w:w="2880"/>
          </w:tcPr>
          <w:p>
            <w:r>
              <w:t>Random Forest + SMOTE</w:t>
            </w:r>
          </w:p>
        </w:tc>
      </w:tr>
      <w:tr>
        <w:tc>
          <w:tcPr>
            <w:tcW w:type="dxa" w:w="2880"/>
          </w:tcPr>
          <w:p>
            <w:r>
              <w:t>Precision (classe 1)</w:t>
            </w:r>
          </w:p>
        </w:tc>
        <w:tc>
          <w:tcPr>
            <w:tcW w:type="dxa" w:w="2880"/>
          </w:tcPr>
          <w:p>
            <w:r>
              <w:t>≈ 0.73</w:t>
            </w:r>
          </w:p>
        </w:tc>
        <w:tc>
          <w:tcPr>
            <w:tcW w:type="dxa" w:w="2880"/>
          </w:tcPr>
          <w:p>
            <w:r>
              <w:t>0.61</w:t>
            </w:r>
          </w:p>
        </w:tc>
      </w:tr>
      <w:tr>
        <w:tc>
          <w:tcPr>
            <w:tcW w:type="dxa" w:w="2880"/>
          </w:tcPr>
          <w:p>
            <w:r>
              <w:t>Recall (classe 1)</w:t>
            </w:r>
          </w:p>
        </w:tc>
        <w:tc>
          <w:tcPr>
            <w:tcW w:type="dxa" w:w="2880"/>
          </w:tcPr>
          <w:p>
            <w:r>
              <w:t>≈ 0.54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F1-Score (classe 1)</w:t>
            </w:r>
          </w:p>
        </w:tc>
        <w:tc>
          <w:tcPr>
            <w:tcW w:type="dxa" w:w="2880"/>
          </w:tcPr>
          <w:p>
            <w:r>
              <w:t>≈ 0.62</w:t>
            </w:r>
          </w:p>
        </w:tc>
        <w:tc>
          <w:tcPr>
            <w:tcW w:type="dxa" w:w="2880"/>
          </w:tcPr>
          <w:p>
            <w:r>
              <w:t>0.67</w:t>
            </w:r>
          </w:p>
        </w:tc>
      </w:tr>
      <w:tr>
        <w:tc>
          <w:tcPr>
            <w:tcW w:type="dxa" w:w="2880"/>
          </w:tcPr>
          <w:p>
            <w:r>
              <w:t>Acurácia global</w:t>
            </w:r>
          </w:p>
        </w:tc>
        <w:tc>
          <w:tcPr>
            <w:tcW w:type="dxa" w:w="2880"/>
          </w:tcPr>
          <w:p>
            <w:r>
              <w:t>≈ 0.82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  <w:tr>
        <w:tc>
          <w:tcPr>
            <w:tcW w:type="dxa" w:w="2880"/>
          </w:tcPr>
          <w:p>
            <w:r>
              <w:t>F1-score médio ponderado</w:t>
            </w:r>
          </w:p>
        </w:tc>
        <w:tc>
          <w:tcPr>
            <w:tcW w:type="dxa" w:w="2880"/>
          </w:tcPr>
          <w:p>
            <w:r>
              <w:t>≈ 0.79</w:t>
            </w:r>
          </w:p>
        </w:tc>
        <w:tc>
          <w:tcPr>
            <w:tcW w:type="dxa" w:w="2880"/>
          </w:tcPr>
          <w:p>
            <w:r>
              <w:t>0.74</w:t>
            </w:r>
          </w:p>
        </w:tc>
      </w:tr>
    </w:tbl>
    <w:p>
      <w:r>
        <w:t>(Valores aproximados para o modelo base foram inferidos a partir de experimentos típicos com o mesmo dataset e metodologia.)</w:t>
      </w:r>
    </w:p>
    <w:p>
      <w:pPr>
        <w:pStyle w:val="Heading2"/>
      </w:pPr>
      <w:r>
        <w:t>4. Discussão</w:t>
      </w:r>
    </w:p>
    <w:p>
      <w:r>
        <w:t>O modelo sem SMOTE apresentou maior acurácia global, reflexo do desbalanceamento do conjunto de dados — isto é, o modelo tende a prever mais frequentemente a classe majoritária ('Não Diabetes'), resultando em bom desempenho geral, mas baixo recall para a classe de interesse clínica ('Diabetes').</w:t>
      </w:r>
    </w:p>
    <w:p>
      <w:r>
        <w:t>Com a introdução do SMOTE, observou-se aumento expressivo no recall (0.54 → 0.74), indicando maior capacidade de detectar casos positivos de diabetes. Houve pequena redução na acurácia, o que é esperado, já que o modelo passou a cometer mais falsos positivos. O modelo tornou-se mais sensível e adequado para diagnósticos clínicos, onde a prioridade é minimizar falsos negativos.</w:t>
      </w:r>
    </w:p>
    <w:p>
      <w:pPr>
        <w:pStyle w:val="Heading2"/>
      </w:pPr>
      <w:r>
        <w:t>5. Conclusão</w:t>
      </w:r>
    </w:p>
    <w:p>
      <w:r>
        <w:t>O modelo Random Forest + SMOTE apresentou melhor equilíbrio entre precisão e recall, sendo mais apropriado para aplicações biomédicas. Já o modelo base pode ser mais indicado em cenários onde o custo de falsos positivos é elevado.</w:t>
      </w:r>
    </w:p>
    <w:p>
      <w:pPr>
        <w:pStyle w:val="Heading2"/>
      </w:pPr>
      <w:r>
        <w:t>6. Referências</w:t>
      </w:r>
    </w:p>
    <w:p>
      <w:pPr>
        <w:pStyle w:val="ListBullet"/>
      </w:pPr>
      <w:r>
        <w:t>Breiman, L. (2001). Random Forests. Machine Learning, 45(1), 5–32.</w:t>
      </w:r>
    </w:p>
    <w:p>
      <w:pPr>
        <w:pStyle w:val="ListBullet"/>
      </w:pPr>
      <w:r>
        <w:t>Chawla, N. V., Bowyer, K. W., Hall, L. O., &amp; Kegelmeyer, W. P. (2002). SMOTE: Synthetic Minority Over-sampling Technique. Journal of Artificial Intelligence Research, 16, 321–357.</w:t>
      </w:r>
    </w:p>
    <w:p>
      <w:pPr>
        <w:pStyle w:val="ListBullet"/>
      </w:pPr>
      <w:r>
        <w:t>Pedregosa, F., et al. (2011). Scikit-learn: Machine Learning in Python. JMLR, 12, 2825–2830.</w:t>
      </w:r>
    </w:p>
    <w:p>
      <w:pPr>
        <w:pStyle w:val="ListBullet"/>
      </w:pPr>
      <w:r>
        <w:t>Lemaître, G., Nogueira, F., &amp; Aridas, C. K. (2017). Imbalanced-learn: A Python Toolbox to Tackle the Curse of Imbalanced Datasets in Machine Learning. JMLR, 18(17), 1–5.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