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5.png" ContentType="image/png"/>
  <Override PartName="/word/media/rId46.png" ContentType="image/png"/>
  <Override PartName="/word/media/rId47.png" ContentType="image/png"/>
  <Override PartName="/word/media/rId38.png" ContentType="image/png"/>
  <Override PartName="/word/media/rId37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34.png" ContentType="image/png"/>
  <Override PartName="/word/media/rId32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50.png" ContentType="image/png"/>
  <Override PartName="/word/media/rId23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building-microflow-actions-using-the-mendix-connector-kit"/>
      <w:bookmarkEnd w:id="21"/>
      <w:r>
        <w:t xml:space="preserve">Building Microflow actions using the Mendix Connector Kit</w:t>
      </w:r>
    </w:p>
    <w:p>
      <w:pPr>
        <w:pStyle w:val="FirstParagraph"/>
      </w:pPr>
      <w:r>
        <w:t xml:space="preserve">Last year with Mendix 6.6 we introduced</w:t>
      </w:r>
      <w:r>
        <w:t xml:space="preserve"> </w:t>
      </w:r>
      <w:hyperlink r:id="rId22">
        <w:r>
          <w:rPr>
            <w:rStyle w:val="Hyperlink"/>
          </w:rPr>
          <w:t xml:space="preserve">the Connector Kit</w:t>
        </w:r>
      </w:hyperlink>
      <w:r>
        <w:t xml:space="preserve">. The goal of this</w:t>
      </w:r>
      <w:r>
        <w:t xml:space="preserve"> </w:t>
      </w:r>
      <w:r>
        <w:t xml:space="preserve">enhancement is to enable Java developers to easily add powerful and robust new</w:t>
      </w:r>
      <w:r>
        <w:t xml:space="preserve"> </w:t>
      </w:r>
      <w:r>
        <w:t xml:space="preserve">Microflow actions to their Mendix toolbox. These Microflow actions can be shared</w:t>
      </w:r>
      <w:r>
        <w:t xml:space="preserve"> </w:t>
      </w:r>
      <w:r>
        <w:t xml:space="preserve">in the Mendix AppStore so anyone can benefit from these Microflow actions without having</w:t>
      </w:r>
      <w:r>
        <w:t xml:space="preserve"> </w:t>
      </w:r>
      <w:r>
        <w:t xml:space="preserve">to know Java.</w:t>
      </w:r>
    </w:p>
    <w:p>
      <w:pPr>
        <w:pStyle w:val="BodyText"/>
      </w:pPr>
      <w:r>
        <w:t xml:space="preserve">To illustrate the power of the Connector Kit, here's a high-level design diagram</w:t>
      </w:r>
      <w:r>
        <w:t xml:space="preserve"> </w:t>
      </w:r>
      <w:r>
        <w:t xml:space="preserve">for an application we recently built: a Slack bot which enables users to</w:t>
      </w:r>
      <w:r>
        <w:t xml:space="preserve"> </w:t>
      </w:r>
      <w:r>
        <w:t xml:space="preserve">determine things and people in pictures taken with a mobile Slack app.</w:t>
      </w:r>
    </w:p>
    <w:p>
      <w:pPr>
        <w:pStyle w:val="FigureWithCaption"/>
      </w:pPr>
      <w:r>
        <w:drawing>
          <wp:inline>
            <wp:extent cx="5334000" cy="2895458"/>
            <wp:effectExtent b="0" l="0" r="0" t="0"/>
            <wp:docPr descr="Slack Rekognition Bot design" id="1" name="Picture"/>
            <a:graphic>
              <a:graphicData uri="http://schemas.openxmlformats.org/drawingml/2006/picture">
                <pic:pic>
                  <pic:nvPicPr>
                    <pic:cNvPr descr="docs/images/slack-rekogition-bot-architectu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Slack Rekognition Bot design</w:t>
      </w:r>
    </w:p>
    <w:p>
      <w:pPr>
        <w:pStyle w:val="BodyText"/>
      </w:pPr>
      <w:r>
        <w:t xml:space="preserve">The Mendix application consists of a small number of microflows that use Mendix</w:t>
      </w:r>
      <w:r>
        <w:t xml:space="preserve"> </w:t>
      </w:r>
      <w:r>
        <w:t xml:space="preserve">Microflow actions to offer a conversational user interface using</w:t>
      </w:r>
      <w:r>
        <w:t xml:space="preserve"> </w:t>
      </w:r>
      <w:hyperlink r:id="rId24">
        <w:r>
          <w:rPr>
            <w:rStyle w:val="Hyperlink"/>
          </w:rPr>
          <w:t xml:space="preserve">Slack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different Amazon services:</w:t>
      </w:r>
      <w:r>
        <w:t xml:space="preserve"> </w:t>
      </w:r>
      <w:hyperlink r:id="rId25">
        <w:r>
          <w:rPr>
            <w:rStyle w:val="Hyperlink"/>
          </w:rPr>
          <w:t xml:space="preserve">S3</w:t>
        </w:r>
      </w:hyperlink>
      <w:r>
        <w:t xml:space="preserve">,</w:t>
      </w:r>
      <w:r>
        <w:t xml:space="preserve"> </w:t>
      </w:r>
      <w:hyperlink r:id="rId26">
        <w:r>
          <w:rPr>
            <w:rStyle w:val="Hyperlink"/>
          </w:rPr>
          <w:t xml:space="preserve">Rekognition</w:t>
        </w:r>
      </w:hyperlink>
      <w:r>
        <w:t xml:space="preserve"> </w:t>
      </w:r>
      <w:r>
        <w:t xml:space="preserve">and</w:t>
      </w:r>
      <w:r>
        <w:t xml:space="preserve"> </w:t>
      </w:r>
      <w:hyperlink r:id="rId27">
        <w:r>
          <w:rPr>
            <w:rStyle w:val="Hyperlink"/>
          </w:rPr>
          <w:t xml:space="preserve">Lex</w:t>
        </w:r>
      </w:hyperlink>
      <w:r>
        <w:t xml:space="preserve">.</w:t>
      </w:r>
    </w:p>
    <w:p>
      <w:pPr>
        <w:pStyle w:val="BodyText"/>
      </w:pPr>
      <w:r>
        <w:t xml:space="preserve">The following screenshot shows what the microflow toolbox looks like after</w:t>
      </w:r>
      <w:r>
        <w:t xml:space="preserve"> </w:t>
      </w:r>
      <w:r>
        <w:t xml:space="preserve">including all the modules providing connectors to the services used.</w:t>
      </w:r>
    </w:p>
    <w:p>
      <w:pPr>
        <w:pStyle w:val="FigureWithCaption"/>
      </w:pPr>
      <w:r>
        <w:drawing>
          <wp:inline>
            <wp:extent cx="5334000" cy="12096750"/>
            <wp:effectExtent b="0" l="0" r="0" t="0"/>
            <wp:docPr descr="Slack Rekognition bot toolbox" id="1" name="Picture"/>
            <a:graphic>
              <a:graphicData uri="http://schemas.openxmlformats.org/drawingml/2006/picture">
                <pic:pic>
                  <pic:nvPicPr>
                    <pic:cNvPr descr="docs/images/slack-rekogition-bot-toolk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9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Slack Rekognition bot toolbox</w:t>
      </w:r>
    </w:p>
    <w:p>
      <w:pPr>
        <w:pStyle w:val="BodyText"/>
      </w:pPr>
      <w:r>
        <w:t xml:space="preserve">For the basics of building toolbox actions you can read the</w:t>
      </w:r>
      <w:r>
        <w:t xml:space="preserve"> </w:t>
      </w:r>
      <w:hyperlink r:id="rId22">
        <w:r>
          <w:rPr>
            <w:rStyle w:val="Hyperlink"/>
          </w:rPr>
          <w:t xml:space="preserve">Connector Kit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introduction blogpost</w:t>
        </w:r>
      </w:hyperlink>
      <w:r>
        <w:t xml:space="preserve">. In this post I will explain some of the more advanced</w:t>
      </w:r>
      <w:r>
        <w:t xml:space="preserve"> </w:t>
      </w:r>
      <w:r>
        <w:t xml:space="preserve">features that you can use when creating your own Microflow actions. We will</w:t>
      </w:r>
      <w:r>
        <w:t xml:space="preserve"> </w:t>
      </w:r>
      <w:r>
        <w:t xml:space="preserve">also publish a blogpost shortly to discuss the details of the Slack bot created</w:t>
      </w:r>
      <w:r>
        <w:t xml:space="preserve"> </w:t>
      </w:r>
      <w:r>
        <w:t xml:space="preserve">using the Connector Kit.</w:t>
      </w:r>
    </w:p>
    <w:p>
      <w:pPr>
        <w:pStyle w:val="FigureWithCaption"/>
      </w:pPr>
      <w:r>
        <w:drawing>
          <wp:inline>
            <wp:extent cx="2005935" cy="3810797"/>
            <wp:effectExtent b="0" l="0" r="0" t="0"/>
            <wp:docPr descr="Connectorkit demo toolbox" id="1" name="Picture"/>
            <a:graphic>
              <a:graphicData uri="http://schemas.openxmlformats.org/drawingml/2006/picture">
                <pic:pic>
                  <pic:nvPicPr>
                    <pic:cNvPr descr="docs/images/toolkit-connector-kit-dem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35" cy="381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Connectorkit demo toolbox</w:t>
      </w:r>
    </w:p>
    <w:p>
      <w:pPr>
        <w:pStyle w:val="Heading2"/>
      </w:pPr>
      <w:bookmarkStart w:id="30" w:name="creating-generic-actions-using-type-parameter"/>
      <w:bookmarkEnd w:id="30"/>
      <w:r>
        <w:t xml:space="preserve">Creating generic actions using Type Parameter</w:t>
      </w:r>
    </w:p>
    <w:p>
      <w:pPr>
        <w:pStyle w:val="FirstParagraph"/>
      </w:pPr>
      <w:r>
        <w:t xml:space="preserve">Lets start with</w:t>
      </w:r>
      <w:r>
        <w:t xml:space="preserve"> </w:t>
      </w:r>
      <w:r>
        <w:rPr>
          <w:i/>
        </w:rPr>
        <w:t xml:space="preserve">Type Parameters</w:t>
      </w:r>
      <w:r>
        <w:t xml:space="preserve">. Mendix 6.6 introduced a new type parameters</w:t>
      </w:r>
      <w:r>
        <w:t xml:space="preserve"> </w:t>
      </w:r>
      <w:r>
        <w:t xml:space="preserve">tab in the java action definition dialog, as illustrated below. You can use a</w:t>
      </w:r>
      <w:r>
        <w:t xml:space="preserve"> </w:t>
      </w:r>
      <w:r>
        <w:t xml:space="preserve">type parameter if you want to ensure that certain parameters of your action</w:t>
      </w:r>
      <w:r>
        <w:t xml:space="preserve"> </w:t>
      </w:r>
      <w:r>
        <w:t xml:space="preserve">share the same entity, but you do not know the name of this entity when defining</w:t>
      </w:r>
      <w:r>
        <w:t xml:space="preserve"> </w:t>
      </w:r>
      <w:r>
        <w:t xml:space="preserve">the actions.</w:t>
      </w:r>
    </w:p>
    <w:p>
      <w:pPr>
        <w:pStyle w:val="BodyText"/>
      </w:pPr>
      <w:r>
        <w:t xml:space="preserve">For example: suppose you want to create an action that takes two objects of the</w:t>
      </w:r>
      <w:r>
        <w:t xml:space="preserve"> </w:t>
      </w:r>
      <w:r>
        <w:t xml:space="preserve">same entity and returns a list containing both objects. You can use a type</w:t>
      </w:r>
      <w:r>
        <w:t xml:space="preserve"> </w:t>
      </w:r>
      <w:r>
        <w:t xml:space="preserve">parameter to guarantuee that both the input parameters for specifying the</w:t>
      </w:r>
      <w:r>
        <w:t xml:space="preserve"> </w:t>
      </w:r>
      <w:r>
        <w:t xml:space="preserve">objects, and the resulting list all use the same entity.</w:t>
      </w:r>
    </w:p>
    <w:p>
      <w:pPr>
        <w:pStyle w:val="BodyText"/>
      </w:pPr>
      <w:r>
        <w:t xml:space="preserve">First you define the type parameter to hold the entity used by all the parameters.</w:t>
      </w:r>
    </w:p>
    <w:p>
      <w:pPr>
        <w:pStyle w:val="FigureWithCaption"/>
      </w:pPr>
      <w:r>
        <w:drawing>
          <wp:inline>
            <wp:extent cx="5334000" cy="2802152"/>
            <wp:effectExtent b="0" l="0" r="0" t="0"/>
            <wp:docPr descr="Type parameter tab" id="1" name="Picture"/>
            <a:graphic>
              <a:graphicData uri="http://schemas.openxmlformats.org/drawingml/2006/picture">
                <pic:pic>
                  <pic:nvPicPr>
                    <pic:cNvPr descr="docs/images/join_objects_type_p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Type parameter tab</w:t>
      </w:r>
    </w:p>
    <w:p>
      <w:pPr>
        <w:pStyle w:val="BodyText"/>
      </w:pPr>
      <w:r>
        <w:t xml:space="preserve">Next you can create parameters using the previously defined type parameter</w:t>
      </w:r>
      <w:r>
        <w:t xml:space="preserve"> </w:t>
      </w:r>
      <w:r>
        <w:rPr>
          <w:i/>
        </w:rPr>
        <w:t xml:space="preserve">EntityToJoin</w:t>
      </w:r>
      <w:r>
        <w:t xml:space="preserve">.</w:t>
      </w:r>
    </w:p>
    <w:p>
      <w:pPr>
        <w:pStyle w:val="FigureWithCaption"/>
      </w:pPr>
      <w:r>
        <w:drawing>
          <wp:inline>
            <wp:extent cx="5334000" cy="3770741"/>
            <wp:effectExtent b="0" l="0" r="0" t="0"/>
            <wp:docPr descr="Type parameter use" id="1" name="Picture"/>
            <a:graphic>
              <a:graphicData uri="http://schemas.openxmlformats.org/drawingml/2006/picture">
                <pic:pic>
                  <pic:nvPicPr>
                    <pic:cNvPr descr="docs/images/join_objects_pa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Type parameter use</w:t>
      </w:r>
    </w:p>
    <w:p>
      <w:pPr>
        <w:pStyle w:val="BodyText"/>
      </w:pPr>
      <w:r>
        <w:t xml:space="preserve">The action needs the following parameters: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Entity</w:t>
      </w:r>
      <w:r>
        <w:t xml:space="preserve"> </w:t>
      </w:r>
      <w:r>
        <w:t xml:space="preserve">- This is used to specify the entity of the objects to join. The entity</w:t>
      </w:r>
      <w:r>
        <w:t xml:space="preserve"> </w:t>
      </w:r>
      <w:r>
        <w:t xml:space="preserve">selected by the user will be stored in the type parameter</w:t>
      </w:r>
      <w:r>
        <w:t xml:space="preserve"> </w:t>
      </w:r>
      <w:r>
        <w:rPr>
          <w:i/>
        </w:rPr>
        <w:t xml:space="preserve">EntityToJoin</w:t>
      </w:r>
      <w:r>
        <w:t xml:space="preserve">.</w:t>
      </w:r>
    </w:p>
    <w:p>
      <w:pPr>
        <w:pStyle w:val="FigureWithCaption"/>
      </w:pPr>
      <w:r>
        <w:drawing>
          <wp:inline>
            <wp:extent cx="4031019" cy="1972423"/>
            <wp:effectExtent b="0" l="0" r="0" t="0"/>
            <wp:docPr descr="Type parameter use definition" id="1" name="Picture"/>
            <a:graphic>
              <a:graphicData uri="http://schemas.openxmlformats.org/drawingml/2006/picture">
                <pic:pic>
                  <pic:nvPicPr>
                    <pic:cNvPr descr="docs/images/join_objects_type_par_de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19" cy="1972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Type parameter use definition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Object1</w:t>
      </w:r>
      <w:r>
        <w:t xml:space="preserve"> </w:t>
      </w:r>
      <w:r>
        <w:t xml:space="preserve">- The first object to be added to the new list. It needs to be an</w:t>
      </w:r>
      <w:r>
        <w:t xml:space="preserve"> </w:t>
      </w:r>
      <w:r>
        <w:t xml:space="preserve">object of entity EntityToJoin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Object2</w:t>
      </w:r>
      <w:r>
        <w:t xml:space="preserve"> </w:t>
      </w:r>
      <w:r>
        <w:t xml:space="preserve">- The second object to be added to the new list.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Return type</w:t>
      </w:r>
      <w:r>
        <w:t xml:space="preserve"> </w:t>
      </w:r>
      <w:r>
        <w:t xml:space="preserve">- the result of the action will be a list of</w:t>
      </w:r>
      <w:r>
        <w:t xml:space="preserve"> </w:t>
      </w:r>
      <w:r>
        <w:rPr>
          <w:i/>
        </w:rPr>
        <w:t xml:space="preserve">EntityToJoin</w:t>
      </w:r>
      <w:r>
        <w:t xml:space="preserve"> </w:t>
      </w:r>
      <w:r>
        <w:t xml:space="preserve">objects.</w:t>
      </w:r>
    </w:p>
    <w:p>
      <w:pPr>
        <w:pStyle w:val="FirstParagraph"/>
      </w:pPr>
      <w:r>
        <w:t xml:space="preserve">The java implementation still uses strings to specify the name of an entity,</w:t>
      </w:r>
      <w:r>
        <w:t xml:space="preserve"> </w:t>
      </w:r>
      <w:r>
        <w:t xml:space="preserve">which means that you can upgrade your existing java actions to use these new</w:t>
      </w:r>
      <w:r>
        <w:t xml:space="preserve"> </w:t>
      </w:r>
      <w:r>
        <w:t xml:space="preserve">parameter types without having to refactor your existing code.</w:t>
      </w:r>
    </w:p>
    <w:p>
      <w:pPr>
        <w:pStyle w:val="BodyText"/>
      </w:pPr>
      <w:r>
        <w:t xml:space="preserve">For completeness sake, here's the implementation of the action defined:</w:t>
      </w:r>
    </w:p>
    <w:p>
      <w:pPr>
        <w:pStyle w:val="FigureWithCaption"/>
      </w:pPr>
      <w:r>
        <w:drawing>
          <wp:inline>
            <wp:extent cx="5334000" cy="3282185"/>
            <wp:effectExtent b="0" l="0" r="0" t="0"/>
            <wp:docPr descr="Java implementation join object" id="1" name="Picture"/>
            <a:graphic>
              <a:graphicData uri="http://schemas.openxmlformats.org/drawingml/2006/picture">
                <pic:pic>
                  <pic:nvPicPr>
                    <pic:cNvPr descr="docs/images/join_objects_javaco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Java implementation join object</w:t>
      </w:r>
    </w:p>
    <w:p>
      <w:pPr>
        <w:pStyle w:val="BodyText"/>
      </w:pPr>
      <w:r>
        <w:t xml:space="preserve">You now have a reusable action in your toolbox that will join two objects into a</w:t>
      </w:r>
      <w:r>
        <w:t xml:space="preserve"> </w:t>
      </w:r>
      <w:r>
        <w:t xml:space="preserve">list, as illustrated by the following example.</w:t>
      </w:r>
    </w:p>
    <w:p>
      <w:pPr>
        <w:pStyle w:val="FigureWithCaption"/>
      </w:pPr>
      <w:r>
        <w:drawing>
          <wp:inline>
            <wp:extent cx="5334000" cy="2618051"/>
            <wp:effectExtent b="0" l="0" r="0" t="0"/>
            <wp:docPr descr="Join objects use" id="1" name="Picture"/>
            <a:graphic>
              <a:graphicData uri="http://schemas.openxmlformats.org/drawingml/2006/picture">
                <pic:pic>
                  <pic:nvPicPr>
                    <pic:cNvPr descr="docs/images/join_objects_u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8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Join objects use</w:t>
      </w:r>
    </w:p>
    <w:p>
      <w:pPr>
        <w:pStyle w:val="BodyText"/>
      </w:pPr>
      <w:r>
        <w:t xml:space="preserve">As you can see,</w:t>
      </w:r>
      <w:r>
        <w:t xml:space="preserve"> </w:t>
      </w:r>
      <w:r>
        <w:rPr>
          <w:i/>
        </w:rPr>
        <w:t xml:space="preserve">type parameters</w:t>
      </w:r>
      <w:r>
        <w:t xml:space="preserve"> </w:t>
      </w:r>
      <w:r>
        <w:t xml:space="preserve">enable you to create typesafe generic actions.</w:t>
      </w:r>
    </w:p>
    <w:p>
      <w:pPr>
        <w:pStyle w:val="Heading2"/>
      </w:pPr>
      <w:bookmarkStart w:id="36" w:name="executing-microflows"/>
      <w:bookmarkEnd w:id="36"/>
      <w:r>
        <w:t xml:space="preserve">Executing microflows</w:t>
      </w:r>
    </w:p>
    <w:p>
      <w:pPr>
        <w:pStyle w:val="FirstParagraph"/>
      </w:pPr>
      <w:r>
        <w:t xml:space="preserve">The following example illustrates how you can use microflow parameters. The</w:t>
      </w:r>
      <w:r>
        <w:t xml:space="preserve"> </w:t>
      </w:r>
      <w:r>
        <w:t xml:space="preserve">microflow below creates a list of Product objects and calls a microflow for</w:t>
      </w:r>
      <w:r>
        <w:t xml:space="preserve"> </w:t>
      </w:r>
      <w:r>
        <w:t xml:space="preserve">every project object to initialize it.</w:t>
      </w:r>
    </w:p>
    <w:p>
      <w:pPr>
        <w:pStyle w:val="FigureWithCaption"/>
      </w:pPr>
      <w:r>
        <w:drawing>
          <wp:inline>
            <wp:extent cx="5334000" cy="2367225"/>
            <wp:effectExtent b="0" l="0" r="0" t="0"/>
            <wp:docPr descr="Init loop" id="1" name="Picture"/>
            <a:graphic>
              <a:graphicData uri="http://schemas.openxmlformats.org/drawingml/2006/picture">
                <pic:pic>
                  <pic:nvPicPr>
                    <pic:cNvPr descr="docs/images/init-loo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Init loop</w:t>
      </w:r>
    </w:p>
    <w:p>
      <w:pPr>
        <w:pStyle w:val="BodyText"/>
      </w:pPr>
      <w:r>
        <w:t xml:space="preserve">Lets see if we can create a custom reusable Microflow action to make this</w:t>
      </w:r>
      <w:r>
        <w:t xml:space="preserve"> </w:t>
      </w:r>
      <w:r>
        <w:t xml:space="preserve">Microflow more concise.</w:t>
      </w:r>
    </w:p>
    <w:p>
      <w:pPr>
        <w:pStyle w:val="BodyText"/>
      </w:pPr>
      <w:r>
        <w:t xml:space="preserve">Here's a alternative to the Microflow above, but now using a custom java action</w:t>
      </w:r>
      <w:r>
        <w:t xml:space="preserve"> </w:t>
      </w:r>
      <w:r>
        <w:t xml:space="preserve">to replace the loop and instantiation and initialization of the objects with a</w:t>
      </w:r>
      <w:r>
        <w:t xml:space="preserve"> </w:t>
      </w:r>
      <w:r>
        <w:t xml:space="preserve">java action:</w:t>
      </w:r>
    </w:p>
    <w:p>
      <w:pPr>
        <w:pStyle w:val="FigureWithCaption"/>
      </w:pPr>
      <w:r>
        <w:drawing>
          <wp:inline>
            <wp:extent cx="5334000" cy="2595756"/>
            <wp:effectExtent b="0" l="0" r="0" t="0"/>
            <wp:docPr descr="Init list loop with action" id="1" name="Picture"/>
            <a:graphic>
              <a:graphicData uri="http://schemas.openxmlformats.org/drawingml/2006/picture">
                <pic:pic>
                  <pic:nvPicPr>
                    <pic:cNvPr descr="docs/images/init-list-u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5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Init list loop with action</w:t>
      </w:r>
    </w:p>
    <w:p>
      <w:pPr>
        <w:pStyle w:val="BodyText"/>
      </w:pPr>
      <w:r>
        <w:t xml:space="preserve">The action uses the following parameters: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ResultEntity</w:t>
      </w:r>
      <w:r>
        <w:t xml:space="preserve"> </w:t>
      </w:r>
      <w:r>
        <w:t xml:space="preserve">- entity used for the default object, and the result list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DefaultObject</w:t>
      </w:r>
      <w:r>
        <w:t xml:space="preserve"> </w:t>
      </w:r>
      <w:r>
        <w:t xml:space="preserve">- default value for the objects to be instantiated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InitializationMicroflow</w:t>
      </w:r>
      <w:r>
        <w:t xml:space="preserve"> </w:t>
      </w:r>
      <w:r>
        <w:t xml:space="preserve">- a Microflow that will be called for every new</w:t>
      </w:r>
      <w:r>
        <w:t xml:space="preserve"> </w:t>
      </w:r>
      <w:r>
        <w:t xml:space="preserve">object to initialize it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ListSize</w:t>
      </w:r>
      <w:r>
        <w:t xml:space="preserve"> </w:t>
      </w:r>
      <w:r>
        <w:t xml:space="preserve">- the number of objects to be created in the list</w:t>
      </w:r>
    </w:p>
    <w:p>
      <w:pPr>
        <w:pStyle w:val="FirstParagraph"/>
      </w:pPr>
      <w:r>
        <w:t xml:space="preserve">The return type is a list of new initialized objects.</w:t>
      </w:r>
    </w:p>
    <w:p>
      <w:pPr>
        <w:pStyle w:val="BodyText"/>
      </w:pPr>
      <w:r>
        <w:t xml:space="preserve">As you can see below, this action uses a new parameter type, Microflow, to</w:t>
      </w:r>
      <w:r>
        <w:t xml:space="preserve"> </w:t>
      </w:r>
      <w:r>
        <w:t xml:space="preserve">indicate that the user needs to specify a Microflow. When using the action, the</w:t>
      </w:r>
      <w:r>
        <w:t xml:space="preserve"> </w:t>
      </w:r>
      <w:r>
        <w:t xml:space="preserve">modeler will show a list of Microflows to make this as easy to use as possible.</w:t>
      </w:r>
    </w:p>
    <w:p>
      <w:pPr>
        <w:pStyle w:val="FigureWithCaption"/>
      </w:pPr>
      <w:r>
        <w:drawing>
          <wp:inline>
            <wp:extent cx="5334000" cy="3730195"/>
            <wp:effectExtent b="0" l="0" r="0" t="0"/>
            <wp:docPr descr="Initialize list using microflow action parameters" id="1" name="Picture"/>
            <a:graphic>
              <a:graphicData uri="http://schemas.openxmlformats.org/drawingml/2006/picture">
                <pic:pic>
                  <pic:nvPicPr>
                    <pic:cNvPr descr="docs/images/initialize_list_mf_pa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Initialize list using microflow action parameters</w:t>
      </w:r>
    </w:p>
    <w:p>
      <w:pPr>
        <w:pStyle w:val="BodyText"/>
      </w:pPr>
      <w:r>
        <w:t xml:space="preserve">In the java implementation for this action you'll see the following for the parameters: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ResultEntity</w:t>
      </w:r>
      <w:r>
        <w:t xml:space="preserve"> </w:t>
      </w:r>
      <w:r>
        <w:t xml:space="preserve">- a string with the entity name used for the default object and the result list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DefaultObject</w:t>
      </w:r>
      <w:r>
        <w:t xml:space="preserve"> </w:t>
      </w:r>
      <w:r>
        <w:t xml:space="preserve">- a IMendixObject instance containing the default object.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InitializationMicroflow</w:t>
      </w:r>
      <w:r>
        <w:t xml:space="preserve"> </w:t>
      </w:r>
      <w:r>
        <w:t xml:space="preserve">- a string containing the name of the initializing microflow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ListSize</w:t>
      </w:r>
      <w:r>
        <w:t xml:space="preserve"> </w:t>
      </w:r>
      <w:r>
        <w:t xml:space="preserve">- a long containing the number of objects desired in the list</w:t>
      </w:r>
    </w:p>
    <w:p>
      <w:pPr>
        <w:pStyle w:val="FigureWithCaption"/>
      </w:pPr>
      <w:r>
        <w:drawing>
          <wp:inline>
            <wp:extent cx="5334000" cy="1772628"/>
            <wp:effectExtent b="0" l="0" r="0" t="0"/>
            <wp:docPr descr="Initialize list java implementation 1" id="1" name="Picture"/>
            <a:graphic>
              <a:graphicData uri="http://schemas.openxmlformats.org/drawingml/2006/picture">
                <pic:pic>
                  <pic:nvPicPr>
                    <pic:cNvPr descr="docs/images/initilialize_list_java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Initialize list java implementation 1</w:t>
      </w:r>
    </w:p>
    <w:p>
      <w:pPr>
        <w:pStyle w:val="BodyText"/>
      </w:pPr>
      <w:r>
        <w:t xml:space="preserve">The executeAction method is where all the magic happens:</w:t>
      </w:r>
    </w:p>
    <w:p>
      <w:pPr>
        <w:pStyle w:val="Compact"/>
        <w:numPr>
          <w:numId w:val="1005"/>
          <w:ilvl w:val="0"/>
        </w:numPr>
      </w:pPr>
      <w:r>
        <w:t xml:space="preserve">It first initializes an ArrayList for the result.</w:t>
      </w:r>
    </w:p>
    <w:p>
      <w:pPr>
        <w:pStyle w:val="Compact"/>
        <w:numPr>
          <w:numId w:val="1005"/>
          <w:ilvl w:val="0"/>
        </w:numPr>
      </w:pPr>
      <w:r>
        <w:t xml:space="preserve">Then it has a for loop to create the desired number of objects.</w:t>
      </w:r>
    </w:p>
    <w:p>
      <w:pPr>
        <w:pStyle w:val="Compact"/>
        <w:numPr>
          <w:numId w:val="1005"/>
          <w:ilvl w:val="0"/>
        </w:numPr>
      </w:pPr>
      <w:r>
        <w:t xml:space="preserve">The objects are created using</w:t>
      </w:r>
      <w:r>
        <w:t xml:space="preserve"> </w:t>
      </w:r>
      <w:r>
        <w:rPr>
          <w:i/>
        </w:rPr>
        <w:t xml:space="preserve">Core.instantiate()</w:t>
      </w:r>
      <w:r>
        <w:t xml:space="preserve">. The entity name specified</w:t>
      </w:r>
      <w:r>
        <w:t xml:space="preserve"> </w:t>
      </w:r>
      <w:r>
        <w:t xml:space="preserve">in the action is used as input to specify what entity to instantiate.</w:t>
      </w:r>
    </w:p>
    <w:p>
      <w:pPr>
        <w:pStyle w:val="Compact"/>
        <w:numPr>
          <w:numId w:val="1005"/>
          <w:ilvl w:val="0"/>
        </w:numPr>
      </w:pPr>
      <w:r>
        <w:t xml:space="preserve">Next determine if a default object was specified. If so, copy all attribute</w:t>
      </w:r>
      <w:r>
        <w:t xml:space="preserve"> </w:t>
      </w:r>
      <w:r>
        <w:t xml:space="preserve">values to the new object.</w:t>
      </w:r>
    </w:p>
    <w:p>
      <w:pPr>
        <w:pStyle w:val="Compact"/>
        <w:numPr>
          <w:numId w:val="1005"/>
          <w:ilvl w:val="0"/>
        </w:numPr>
      </w:pPr>
      <w:r>
        <w:t xml:space="preserve">Execute the initialization microflow using</w:t>
      </w:r>
      <w:r>
        <w:t xml:space="preserve"> </w:t>
      </w:r>
      <w:r>
        <w:rPr>
          <w:i/>
        </w:rPr>
        <w:t xml:space="preserve">Core.execute()</w:t>
      </w:r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Add the newly instantiated and initialized object to the result list.</w:t>
      </w:r>
    </w:p>
    <w:p>
      <w:pPr>
        <w:pStyle w:val="Compact"/>
        <w:numPr>
          <w:numId w:val="1005"/>
          <w:ilvl w:val="0"/>
        </w:numPr>
      </w:pPr>
      <w:r>
        <w:t xml:space="preserve">Finally return the list of new objects.</w:t>
      </w:r>
    </w:p>
    <w:p>
      <w:pPr>
        <w:pStyle w:val="FigureWithCaption"/>
      </w:pPr>
      <w:r>
        <w:drawing>
          <wp:inline>
            <wp:extent cx="5334000" cy="3108668"/>
            <wp:effectExtent b="0" l="0" r="0" t="0"/>
            <wp:docPr descr="Initialize list java implementation 2" id="1" name="Picture"/>
            <a:graphic>
              <a:graphicData uri="http://schemas.openxmlformats.org/drawingml/2006/picture">
                <pic:pic>
                  <pic:nvPicPr>
                    <pic:cNvPr descr="docs/images/initilialize_list_java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Initialize list java implementation 2</w:t>
      </w:r>
    </w:p>
    <w:p>
      <w:pPr>
        <w:pStyle w:val="BodyText"/>
      </w:pPr>
      <w:r>
        <w:t xml:space="preserve">Microflow parameters are especially usefull for handling events. For example,</w:t>
      </w:r>
      <w:r>
        <w:t xml:space="preserve"> </w:t>
      </w: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MQTT connector</w:t>
        </w:r>
      </w:hyperlink>
      <w:r>
        <w:t xml:space="preserve"> </w:t>
      </w:r>
      <w:r>
        <w:t xml:space="preserve">(</w:t>
      </w:r>
      <w:hyperlink r:id="rId43">
        <w:r>
          <w:rPr>
            <w:rStyle w:val="Hyperlink"/>
          </w:rPr>
          <w:t xml:space="preserve">GitHub MQTT Connector project</w:t>
        </w:r>
      </w:hyperlink>
      <w:r>
        <w:t xml:space="preserve">) will execute a</w:t>
      </w:r>
      <w:r>
        <w:t xml:space="preserve"> </w:t>
      </w:r>
      <w:r>
        <w:t xml:space="preserve">Microflow when receiving an IoT sensor event so it can be handled using a user</w:t>
      </w:r>
      <w:r>
        <w:t xml:space="preserve"> </w:t>
      </w:r>
      <w:r>
        <w:t xml:space="preserve">specified Microflow.</w:t>
      </w:r>
    </w:p>
    <w:p>
      <w:pPr>
        <w:pStyle w:val="Heading2"/>
      </w:pPr>
      <w:bookmarkStart w:id="44" w:name="using-import-and-export-mappings"/>
      <w:bookmarkEnd w:id="44"/>
      <w:r>
        <w:t xml:space="preserve">Using import and export mappings</w:t>
      </w:r>
    </w:p>
    <w:p>
      <w:pPr>
        <w:pStyle w:val="FirstParagraph"/>
      </w:pPr>
      <w:r>
        <w:t xml:space="preserve">Finally an example how you can use Mappings in your Java actions. In this</w:t>
      </w:r>
      <w:r>
        <w:t xml:space="preserve"> </w:t>
      </w:r>
      <w:r>
        <w:t xml:space="preserve">example we'll create an action to import a string using an import mapping. This</w:t>
      </w:r>
      <w:r>
        <w:t xml:space="preserve"> </w:t>
      </w:r>
      <w:r>
        <w:t xml:space="preserve">is not particulairly useful, seeing there is a default action in your toolbox</w:t>
      </w:r>
      <w:r>
        <w:t xml:space="preserve"> </w:t>
      </w:r>
      <w:r>
        <w:t xml:space="preserve">already that provides this functionality,</w:t>
      </w:r>
      <w:r>
        <w:t xml:space="preserve"> </w:t>
      </w:r>
      <w:r>
        <w:rPr>
          <w:i/>
        </w:rPr>
        <w:t xml:space="preserve">Import with mapping</w:t>
      </w:r>
      <w:r>
        <w:t xml:space="preserve">. However, as an</w:t>
      </w:r>
      <w:r>
        <w:t xml:space="preserve"> </w:t>
      </w:r>
      <w:r>
        <w:t xml:space="preserve">example it illustrates how to use mappings.</w:t>
      </w:r>
    </w:p>
    <w:p>
      <w:pPr>
        <w:pStyle w:val="BodyText"/>
      </w:pPr>
      <w:r>
        <w:t xml:space="preserve">First a screenshot of what we are building: an action to import JSON</w:t>
      </w:r>
      <w:r>
        <w:t xml:space="preserve"> </w:t>
      </w:r>
      <w:r>
        <w:t xml:space="preserve">strings. The action requires the user to provide a string with the JSON to</w:t>
      </w:r>
      <w:r>
        <w:t xml:space="preserve"> </w:t>
      </w:r>
      <w:r>
        <w:t xml:space="preserve">import, select an import mapping, and define the entity of the result. Finally a</w:t>
      </w:r>
      <w:r>
        <w:t xml:space="preserve"> </w:t>
      </w:r>
      <w:r>
        <w:t xml:space="preserve">name needs to be provided for the result of the import mapping.</w:t>
      </w:r>
    </w:p>
    <w:p>
      <w:pPr>
        <w:pStyle w:val="FigureWithCaption"/>
      </w:pPr>
      <w:r>
        <w:drawing>
          <wp:inline>
            <wp:extent cx="5334000" cy="5282482"/>
            <wp:effectExtent b="0" l="0" r="0" t="0"/>
            <wp:docPr descr="Example import string use" id="1" name="Picture"/>
            <a:graphic>
              <a:graphicData uri="http://schemas.openxmlformats.org/drawingml/2006/picture">
                <pic:pic>
                  <pic:nvPicPr>
                    <pic:cNvPr descr="docs/images/example_import_string_u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Example import string use</w:t>
      </w:r>
    </w:p>
    <w:p>
      <w:pPr>
        <w:pStyle w:val="BodyText"/>
      </w:pPr>
      <w:r>
        <w:t xml:space="preserve">The action is defined as follows:</w:t>
      </w:r>
    </w:p>
    <w:p>
      <w:pPr>
        <w:pStyle w:val="Compact"/>
        <w:numPr>
          <w:numId w:val="1006"/>
          <w:ilvl w:val="0"/>
        </w:numPr>
      </w:pPr>
      <w:r>
        <w:rPr>
          <w:b/>
        </w:rPr>
        <w:t xml:space="preserve">InputString</w:t>
      </w:r>
      <w:r>
        <w:t xml:space="preserve"> </w:t>
      </w:r>
      <w:r>
        <w:t xml:space="preserve">- A string parameter containing the JSON to be imported.</w:t>
      </w:r>
    </w:p>
    <w:p>
      <w:pPr>
        <w:pStyle w:val="Compact"/>
        <w:numPr>
          <w:numId w:val="1006"/>
          <w:ilvl w:val="0"/>
        </w:numPr>
      </w:pPr>
      <w:r>
        <w:rPr>
          <w:b/>
        </w:rPr>
        <w:t xml:space="preserve">ImportMapping</w:t>
      </w:r>
      <w:r>
        <w:t xml:space="preserve"> </w:t>
      </w:r>
      <w:r>
        <w:t xml:space="preserve">- The name of the mapping to be used for importing the JSON.</w:t>
      </w:r>
    </w:p>
    <w:p>
      <w:pPr>
        <w:pStyle w:val="Compact"/>
        <w:numPr>
          <w:numId w:val="1006"/>
          <w:ilvl w:val="0"/>
        </w:numPr>
      </w:pPr>
      <w:r>
        <w:rPr>
          <w:b/>
        </w:rPr>
        <w:t xml:space="preserve">ResultEntity</w:t>
      </w:r>
      <w:r>
        <w:t xml:space="preserve"> </w:t>
      </w:r>
      <w:r>
        <w:t xml:space="preserve">- Type of the object that will be the result of the import.</w:t>
      </w:r>
    </w:p>
    <w:p>
      <w:pPr>
        <w:pStyle w:val="Compact"/>
        <w:numPr>
          <w:numId w:val="1006"/>
          <w:ilvl w:val="0"/>
        </w:numPr>
      </w:pPr>
      <w:r>
        <w:rPr>
          <w:b/>
        </w:rPr>
        <w:t xml:space="preserve">Return type</w:t>
      </w:r>
      <w:r>
        <w:t xml:space="preserve"> </w:t>
      </w:r>
      <w:r>
        <w:t xml:space="preserve">- An object of the type specified with ResultEntity.</w:t>
      </w:r>
    </w:p>
    <w:p>
      <w:pPr>
        <w:pStyle w:val="FigureWithCaption"/>
      </w:pPr>
      <w:r>
        <w:drawing>
          <wp:inline>
            <wp:extent cx="5334000" cy="3617569"/>
            <wp:effectExtent b="0" l="0" r="0" t="0"/>
            <wp:docPr descr="Import String with mapping java action parameters" id="1" name="Picture"/>
            <a:graphic>
              <a:graphicData uri="http://schemas.openxmlformats.org/drawingml/2006/picture">
                <pic:pic>
                  <pic:nvPicPr>
                    <pic:cNvPr descr="docs/images/import_string_action_pa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Import String with mapping java action parameters</w:t>
      </w:r>
    </w:p>
    <w:p>
      <w:pPr>
        <w:pStyle w:val="BodyText"/>
      </w:pPr>
      <w:r>
        <w:t xml:space="preserve">The actions is implemented in java as follows:</w:t>
      </w:r>
    </w:p>
    <w:p>
      <w:pPr>
        <w:pStyle w:val="Compact"/>
        <w:numPr>
          <w:numId w:val="1007"/>
          <w:ilvl w:val="0"/>
        </w:numPr>
      </w:pPr>
      <w:r>
        <w:t xml:space="preserve">Create an InputStream from the the JSON input so it can be read by the import mapping.</w:t>
      </w:r>
    </w:p>
    <w:p>
      <w:pPr>
        <w:pStyle w:val="Compact"/>
        <w:numPr>
          <w:numId w:val="1007"/>
          <w:ilvl w:val="0"/>
        </w:numPr>
      </w:pPr>
      <w:r>
        <w:t xml:space="preserve">Use</w:t>
      </w:r>
      <w:r>
        <w:t xml:space="preserve"> </w:t>
      </w:r>
      <w:r>
        <w:rPr>
          <w:i/>
        </w:rPr>
        <w:t xml:space="preserve">Core.integration().importStream()</w:t>
      </w:r>
      <w:r>
        <w:t xml:space="preserve"> </w:t>
      </w:r>
      <w:r>
        <w:t xml:space="preserve">to import the JSON with the specified mapping.</w:t>
      </w:r>
    </w:p>
    <w:p>
      <w:pPr>
        <w:pStyle w:val="Compact"/>
        <w:numPr>
          <w:numId w:val="1007"/>
          <w:ilvl w:val="0"/>
        </w:numPr>
      </w:pPr>
      <w:r>
        <w:t xml:space="preserve">Return the first object imported.</w:t>
      </w:r>
    </w:p>
    <w:p>
      <w:pPr>
        <w:pStyle w:val="FigureWithCaption"/>
      </w:pPr>
      <w:r>
        <w:drawing>
          <wp:inline>
            <wp:extent cx="5334000" cy="2608619"/>
            <wp:effectExtent b="0" l="0" r="0" t="0"/>
            <wp:docPr descr="Import String java action" id="1" name="Picture"/>
            <a:graphic>
              <a:graphicData uri="http://schemas.openxmlformats.org/drawingml/2006/picture">
                <pic:pic>
                  <pic:nvPicPr>
                    <pic:cNvPr descr="docs/images/import_string_jav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Import String java action</w:t>
      </w:r>
    </w:p>
    <w:p>
      <w:pPr>
        <w:pStyle w:val="Heading2"/>
      </w:pPr>
      <w:bookmarkStart w:id="48" w:name="some-development-tips"/>
      <w:bookmarkEnd w:id="48"/>
      <w:r>
        <w:t xml:space="preserve">Some development tips</w:t>
      </w:r>
    </w:p>
    <w:p>
      <w:pPr>
        <w:pStyle w:val="Heading3"/>
      </w:pPr>
      <w:bookmarkStart w:id="49" w:name="unit-testing"/>
      <w:bookmarkEnd w:id="49"/>
      <w:r>
        <w:t xml:space="preserve">Unit testing</w:t>
      </w:r>
    </w:p>
    <w:p>
      <w:pPr>
        <w:pStyle w:val="FirstParagraph"/>
      </w:pPr>
      <w:r>
        <w:t xml:space="preserve">When developing connector modules you can use the unit test module to test the actions</w:t>
      </w:r>
      <w:r>
        <w:t xml:space="preserve"> </w:t>
      </w:r>
      <w:r>
        <w:t xml:space="preserve">you are implementing.</w:t>
      </w:r>
    </w:p>
    <w:p>
      <w:pPr>
        <w:pStyle w:val="BodyText"/>
      </w:pPr>
      <w:r>
        <w:t xml:space="preserve">If you want to publish your module with custom microflow actions to the AppStore</w:t>
      </w:r>
      <w:r>
        <w:t xml:space="preserve"> </w:t>
      </w:r>
      <w:r>
        <w:t xml:space="preserve">for easy reuse it's best to have a module containing only the reusable part. Add</w:t>
      </w:r>
      <w:r>
        <w:t xml:space="preserve"> </w:t>
      </w:r>
      <w:r>
        <w:t xml:space="preserve">another module to your project with all the test Microflows, and anything else you need</w:t>
      </w:r>
      <w:r>
        <w:t xml:space="preserve"> </w:t>
      </w:r>
      <w:r>
        <w:t xml:space="preserve">while developing your application.</w:t>
      </w:r>
    </w:p>
    <w:p>
      <w:pPr>
        <w:pStyle w:val="BodyText"/>
      </w:pPr>
      <w:r>
        <w:t xml:space="preserve">The screenshot below illustrates this:</w:t>
      </w:r>
    </w:p>
    <w:p>
      <w:pPr>
        <w:pStyle w:val="Compact"/>
        <w:numPr>
          <w:numId w:val="1008"/>
          <w:ilvl w:val="0"/>
        </w:numPr>
      </w:pPr>
      <w:r>
        <w:t xml:space="preserve">The</w:t>
      </w:r>
      <w:r>
        <w:t xml:space="preserve"> </w:t>
      </w:r>
      <w:r>
        <w:rPr>
          <w:i/>
        </w:rPr>
        <w:t xml:space="preserve">ConnectorKitDemo</w:t>
      </w:r>
      <w:r>
        <w:t xml:space="preserve"> </w:t>
      </w:r>
      <w:r>
        <w:t xml:space="preserve">module only contains the actions you want to publish to</w:t>
      </w:r>
      <w:r>
        <w:t xml:space="preserve"> </w:t>
      </w:r>
      <w:r>
        <w:t xml:space="preserve">the appstore. You can do this by selecting</w:t>
      </w:r>
      <w:r>
        <w:t xml:space="preserve"> </w:t>
      </w:r>
      <w:r>
        <w:rPr>
          <w:i/>
        </w:rPr>
        <w:t xml:space="preserve">export module package...</w:t>
      </w:r>
      <w:r>
        <w:t xml:space="preserve"> </w:t>
      </w:r>
      <w:r>
        <w:t xml:space="preserve">from the</w:t>
      </w:r>
      <w:r>
        <w:t xml:space="preserve"> </w:t>
      </w:r>
      <w:r>
        <w:t xml:space="preserve">context menu.</w:t>
      </w:r>
    </w:p>
    <w:p>
      <w:pPr>
        <w:pStyle w:val="Compact"/>
        <w:numPr>
          <w:numId w:val="1008"/>
          <w:ilvl w:val="0"/>
        </w:numPr>
      </w:pPr>
      <w:r>
        <w:t xml:space="preserve">The</w:t>
      </w:r>
      <w:r>
        <w:t xml:space="preserve"> </w:t>
      </w:r>
      <w:r>
        <w:rPr>
          <w:i/>
        </w:rPr>
        <w:t xml:space="preserve">ConnectorKitDemoTests</w:t>
      </w:r>
      <w:r>
        <w:t xml:space="preserve"> </w:t>
      </w:r>
      <w:r>
        <w:t xml:space="preserve">module contains all functionality you need while</w:t>
      </w:r>
      <w:r>
        <w:t xml:space="preserve"> </w:t>
      </w:r>
      <w:r>
        <w:t xml:space="preserve">developing the reusable module: a small domain model with some sample data and</w:t>
      </w:r>
      <w:r>
        <w:t xml:space="preserve"> </w:t>
      </w:r>
      <w:r>
        <w:t xml:space="preserve">some test pages. It also contains one unit test microflow that will be called by</w:t>
      </w:r>
      <w:r>
        <w:t xml:space="preserve"> </w:t>
      </w:r>
      <w:r>
        <w:t xml:space="preserve">the unit test module:</w:t>
      </w:r>
      <w:r>
        <w:t xml:space="preserve"> </w:t>
      </w:r>
      <w:r>
        <w:rPr>
          <w:i/>
        </w:rPr>
        <w:t xml:space="preserve">Test_InitProduct</w:t>
      </w:r>
      <w:r>
        <w:t xml:space="preserve">.</w:t>
      </w:r>
    </w:p>
    <w:p>
      <w:pPr>
        <w:pStyle w:val="FigureWithCaption"/>
      </w:pPr>
      <w:r>
        <w:drawing>
          <wp:inline>
            <wp:extent cx="2154345" cy="4500188"/>
            <wp:effectExtent b="0" l="0" r="0" t="0"/>
            <wp:docPr descr="Mendix Connector kit module project with tests" id="1" name="Picture"/>
            <a:graphic>
              <a:graphicData uri="http://schemas.openxmlformats.org/drawingml/2006/picture">
                <pic:pic>
                  <pic:nvPicPr>
                    <pic:cNvPr descr="docs/images/project_t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345" cy="4500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Mendix Connector kit module project with tests</w:t>
      </w:r>
    </w:p>
    <w:p>
      <w:pPr>
        <w:pStyle w:val="Heading3"/>
      </w:pPr>
      <w:bookmarkStart w:id="51" w:name="managing-libraries"/>
      <w:bookmarkEnd w:id="51"/>
      <w:r>
        <w:t xml:space="preserve">Managing libraries</w:t>
      </w:r>
    </w:p>
    <w:p>
      <w:pPr>
        <w:pStyle w:val="FirstParagraph"/>
      </w:pPr>
      <w:r>
        <w:t xml:space="preserve">When you export the module package for publishing in the AppStore you only want</w:t>
      </w:r>
      <w:r>
        <w:t xml:space="preserve"> </w:t>
      </w:r>
      <w:r>
        <w:t xml:space="preserve">to include the relevant Java libraries. The easiest way to manage this is to use</w:t>
      </w:r>
      <w:r>
        <w:t xml:space="preserve"> </w:t>
      </w:r>
      <w:r>
        <w:t xml:space="preserve">a build tool to specify and download the relevant dependencies.</w:t>
      </w:r>
    </w:p>
    <w:p>
      <w:pPr>
        <w:pStyle w:val="BodyText"/>
      </w:pPr>
      <w:r>
        <w:t xml:space="preserve">The</w:t>
      </w:r>
      <w:r>
        <w:t xml:space="preserve"> </w:t>
      </w:r>
      <w:hyperlink r:id="rId52">
        <w:r>
          <w:rPr>
            <w:rStyle w:val="Hyperlink"/>
          </w:rPr>
          <w:t xml:space="preserve">ConnectorKitDemo</w:t>
        </w:r>
      </w:hyperlink>
      <w:r>
        <w:t xml:space="preserve"> </w:t>
      </w:r>
      <w:r>
        <w:t xml:space="preserve">project on Github contains 2 examples how to do this:</w:t>
      </w:r>
    </w:p>
    <w:p>
      <w:pPr>
        <w:pStyle w:val="Compact"/>
        <w:numPr>
          <w:numId w:val="1009"/>
          <w:ilvl w:val="0"/>
        </w:numPr>
      </w:pPr>
      <w:r>
        <w:rPr>
          <w:b/>
        </w:rPr>
        <w:t xml:space="preserve">Ivy</w:t>
      </w:r>
      <w:r>
        <w:t xml:space="preserve"> </w:t>
      </w:r>
      <w:r>
        <w:t xml:space="preserve">-</w:t>
      </w:r>
      <w:r>
        <w:t xml:space="preserve"> </w:t>
      </w:r>
      <w:hyperlink r:id="rId53">
        <w:r>
          <w:rPr>
            <w:rStyle w:val="Hyperlink"/>
          </w:rPr>
          <w:t xml:space="preserve">Apache Ivy</w:t>
        </w:r>
      </w:hyperlink>
      <w:r>
        <w:t xml:space="preserve"> </w:t>
      </w:r>
      <w:r>
        <w:t xml:space="preserve">is a java library specifically created for managing</w:t>
      </w:r>
      <w:r>
        <w:t xml:space="preserve"> </w:t>
      </w:r>
      <w:r>
        <w:t xml:space="preserve">dependencies. Ivy is small enough that you can include it in your Mendix</w:t>
      </w:r>
      <w:r>
        <w:t xml:space="preserve"> </w:t>
      </w:r>
      <w:r>
        <w:t xml:space="preserve">project. You can create two configurations in an ivy.xml configuration file. One</w:t>
      </w:r>
      <w:r>
        <w:t xml:space="preserve"> </w:t>
      </w:r>
      <w:r>
        <w:t xml:space="preserve">to specify all jars needed to run the project and execute the tests. One to just</w:t>
      </w:r>
      <w:r>
        <w:t xml:space="preserve"> </w:t>
      </w:r>
      <w:r>
        <w:t xml:space="preserve">specify the libraries that should be included when publishing the module for</w:t>
      </w:r>
      <w:r>
        <w:t xml:space="preserve"> </w:t>
      </w:r>
      <w:r>
        <w:t xml:space="preserve">reuse in the AppStore. The demo project contains two configurations called</w:t>
      </w:r>
      <w:r>
        <w:t xml:space="preserve"> </w:t>
      </w:r>
      <w:r>
        <w:rPr>
          <w:i/>
        </w:rPr>
        <w:t xml:space="preserve">default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export</w:t>
      </w:r>
      <w:r>
        <w:t xml:space="preserve"> </w:t>
      </w:r>
      <w:r>
        <w:t xml:space="preserve">in the</w:t>
      </w:r>
      <w:r>
        <w:t xml:space="preserve"> </w:t>
      </w:r>
      <w:hyperlink r:id="rId54">
        <w:r>
          <w:rPr>
            <w:rStyle w:val="Hyperlink"/>
          </w:rPr>
          <w:t xml:space="preserve">ivy.xml</w:t>
        </w:r>
      </w:hyperlink>
      <w:r>
        <w:t xml:space="preserve"> </w:t>
      </w:r>
      <w:r>
        <w:t xml:space="preserve">configuration file.</w:t>
      </w:r>
    </w:p>
    <w:p>
      <w:pPr>
        <w:pStyle w:val="Compact"/>
        <w:numPr>
          <w:numId w:val="1009"/>
          <w:ilvl w:val="0"/>
        </w:numPr>
      </w:pPr>
      <w:r>
        <w:rPr>
          <w:b/>
        </w:rPr>
        <w:t xml:space="preserve">Gradle</w:t>
      </w:r>
      <w:r>
        <w:t xml:space="preserve"> </w:t>
      </w:r>
      <w:r>
        <w:t xml:space="preserve">-</w:t>
      </w:r>
      <w:r>
        <w:t xml:space="preserve"> </w:t>
      </w:r>
      <w:hyperlink r:id="rId55">
        <w:r>
          <w:rPr>
            <w:rStyle w:val="Hyperlink"/>
          </w:rPr>
          <w:t xml:space="preserve">Gradle</w:t>
        </w:r>
      </w:hyperlink>
      <w:r>
        <w:t xml:space="preserve"> </w:t>
      </w:r>
      <w:r>
        <w:t xml:space="preserve">is a full fledged build tool where you can define tasks</w:t>
      </w:r>
      <w:r>
        <w:t xml:space="preserve"> </w:t>
      </w:r>
      <w:r>
        <w:t xml:space="preserve">to build your project. The example in the demo project uses gradle only to</w:t>
      </w:r>
      <w:r>
        <w:t xml:space="preserve"> </w:t>
      </w:r>
      <w:r>
        <w:t xml:space="preserve">manage the dependencies. Again it defines</w:t>
      </w:r>
      <w:r>
        <w:t xml:space="preserve"> </w:t>
      </w:r>
      <w:hyperlink r:id="rId56">
        <w:r>
          <w:rPr>
            <w:rStyle w:val="Hyperlink"/>
          </w:rPr>
          <w:t xml:space="preserve">two build configurations</w:t>
        </w:r>
      </w:hyperlink>
      <w:r>
        <w:t xml:space="preserve">, one</w:t>
      </w:r>
      <w:r>
        <w:t xml:space="preserve"> </w:t>
      </w:r>
      <w:r>
        <w:t xml:space="preserve">requiring all dependencies, one just the libraries needed for exporting the</w:t>
      </w:r>
      <w:r>
        <w:t xml:space="preserve"> </w:t>
      </w:r>
      <w:r>
        <w:t xml:space="preserve">module (in this case just a library to call Slack).</w:t>
      </w:r>
    </w:p>
    <w:p>
      <w:pPr>
        <w:pStyle w:val="FirstParagraph"/>
      </w:pPr>
      <w:r>
        <w:t xml:space="preserve">Before developing custom java actions you can run the build tool to download all</w:t>
      </w:r>
      <w:r>
        <w:t xml:space="preserve"> </w:t>
      </w:r>
      <w:r>
        <w:t xml:space="preserve">dependencies. When you are done, you run the build tool to delete all libraries</w:t>
      </w:r>
      <w:r>
        <w:t xml:space="preserve"> </w:t>
      </w:r>
      <w:r>
        <w:t xml:space="preserve">in your userlibs folder and download only the jars to be included in the</w:t>
      </w:r>
      <w:r>
        <w:t xml:space="preserve"> </w:t>
      </w:r>
      <w:r>
        <w:t xml:space="preserve">published module. Next you export the module and upload it to the AppStore.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f105f9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694f3d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1f5d2b32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50" Target="media/rId50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53" Target="http://ant.apache.org/ivy/" TargetMode="External" /><Relationship Type="http://schemas.openxmlformats.org/officeDocument/2006/relationships/hyperlink" Id="rId42" Target="https://appstore.home.mendix.com/link/app/3066/Mendix/MQTT-Client" TargetMode="External" /><Relationship Type="http://schemas.openxmlformats.org/officeDocument/2006/relationships/hyperlink" Id="rId27" Target="https://aws.amazon.com/lex/" TargetMode="External" /><Relationship Type="http://schemas.openxmlformats.org/officeDocument/2006/relationships/hyperlink" Id="rId26" Target="https://aws.amazon.com/rekognition/" TargetMode="External" /><Relationship Type="http://schemas.openxmlformats.org/officeDocument/2006/relationships/hyperlink" Id="rId25" Target="https://aws.amazon.com/s3/" TargetMode="External" /><Relationship Type="http://schemas.openxmlformats.org/officeDocument/2006/relationships/hyperlink" Id="rId52" Target="https://github.com/ako/ConnectorKitDemo" TargetMode="External" /><Relationship Type="http://schemas.openxmlformats.org/officeDocument/2006/relationships/hyperlink" Id="rId56" Target="https://github.com/ako/ConnectorKitDemo/blob/master/build.gradle" TargetMode="External" /><Relationship Type="http://schemas.openxmlformats.org/officeDocument/2006/relationships/hyperlink" Id="rId54" Target="https://github.com/ako/ConnectorKitDemo/blob/master/ivy.xml" TargetMode="External" /><Relationship Type="http://schemas.openxmlformats.org/officeDocument/2006/relationships/hyperlink" Id="rId43" Target="https://github.com/ako/MqttClient" TargetMode="External" /><Relationship Type="http://schemas.openxmlformats.org/officeDocument/2006/relationships/hyperlink" Id="rId55" Target="https://gradle.org/" TargetMode="External" /><Relationship Type="http://schemas.openxmlformats.org/officeDocument/2006/relationships/hyperlink" Id="rId24" Target="https://slack.com/" TargetMode="External" /><Relationship Type="http://schemas.openxmlformats.org/officeDocument/2006/relationships/hyperlink" Id="rId22" Target="https://www.mendix.com/blog/introducing-mendix-connector-kit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3" Target="http://ant.apache.org/ivy/" TargetMode="External" /><Relationship Type="http://schemas.openxmlformats.org/officeDocument/2006/relationships/hyperlink" Id="rId42" Target="https://appstore.home.mendix.com/link/app/3066/Mendix/MQTT-Client" TargetMode="External" /><Relationship Type="http://schemas.openxmlformats.org/officeDocument/2006/relationships/hyperlink" Id="rId27" Target="https://aws.amazon.com/lex/" TargetMode="External" /><Relationship Type="http://schemas.openxmlformats.org/officeDocument/2006/relationships/hyperlink" Id="rId26" Target="https://aws.amazon.com/rekognition/" TargetMode="External" /><Relationship Type="http://schemas.openxmlformats.org/officeDocument/2006/relationships/hyperlink" Id="rId25" Target="https://aws.amazon.com/s3/" TargetMode="External" /><Relationship Type="http://schemas.openxmlformats.org/officeDocument/2006/relationships/hyperlink" Id="rId52" Target="https://github.com/ako/ConnectorKitDemo" TargetMode="External" /><Relationship Type="http://schemas.openxmlformats.org/officeDocument/2006/relationships/hyperlink" Id="rId56" Target="https://github.com/ako/ConnectorKitDemo/blob/master/build.gradle" TargetMode="External" /><Relationship Type="http://schemas.openxmlformats.org/officeDocument/2006/relationships/hyperlink" Id="rId54" Target="https://github.com/ako/ConnectorKitDemo/blob/master/ivy.xml" TargetMode="External" /><Relationship Type="http://schemas.openxmlformats.org/officeDocument/2006/relationships/hyperlink" Id="rId43" Target="https://github.com/ako/MqttClient" TargetMode="External" /><Relationship Type="http://schemas.openxmlformats.org/officeDocument/2006/relationships/hyperlink" Id="rId55" Target="https://gradle.org/" TargetMode="External" /><Relationship Type="http://schemas.openxmlformats.org/officeDocument/2006/relationships/hyperlink" Id="rId24" Target="https://slack.com/" TargetMode="External" /><Relationship Type="http://schemas.openxmlformats.org/officeDocument/2006/relationships/hyperlink" Id="rId22" Target="https://www.mendix.com/blog/introducing-mendix-connector-ki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2017-07-04T09:54:21Z</dcterms:created>
  <dcterms:modified xsi:type="dcterms:W3CDTF">2017-07-04T09:54:21Z</dcterms:modified>
</cp:coreProperties>
</file>