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A0FF67">
      <w:pPr>
        <w:pStyle w:val="2"/>
        <w:keepNext w:val="0"/>
        <w:keepLines w:val="0"/>
        <w:widowControl/>
        <w:suppressLineNumbers w:val="0"/>
      </w:pPr>
      <w:r>
        <w:t>Details of RichmeCofe</w:t>
      </w:r>
    </w:p>
    <w:p w14:paraId="0B86C3A0">
      <w:pPr>
        <w:keepNext w:val="0"/>
        <w:keepLines w:val="0"/>
        <w:widowControl/>
        <w:suppressLineNumbers w:val="0"/>
        <w:jc w:val="left"/>
      </w:pPr>
      <w:r>
        <w:rPr>
          <w:rFonts w:ascii="SimSun" w:hAnsi="SimSun" w:eastAsia="SimSun" w:cs="SimSun"/>
          <w:kern w:val="0"/>
          <w:sz w:val="24"/>
          <w:szCs w:val="24"/>
          <w:lang w:val="en-US" w:eastAsia="zh-CN" w:bidi="ar"/>
        </w:rPr>
        <w:t>The following details RichmeCofe from multiple dimensions, including its development history, core businesses and brand matrix, management and employee scale, financial performance, key annual progress, and ESG performance:</w:t>
      </w:r>
    </w:p>
    <w:p w14:paraId="54848013">
      <w:pPr>
        <w:pStyle w:val="3"/>
        <w:keepNext w:val="0"/>
        <w:keepLines w:val="0"/>
        <w:widowControl/>
        <w:suppressLineNumbers w:val="0"/>
      </w:pPr>
      <w:r>
        <w:t>I. Development History</w:t>
      </w:r>
    </w:p>
    <w:p w14:paraId="09C36B0B">
      <w:pPr>
        <w:pStyle w:val="4"/>
        <w:keepNext w:val="0"/>
        <w:keepLines w:val="0"/>
        <w:widowControl/>
        <w:suppressLineNumbers w:val="0"/>
      </w:pPr>
      <w:r>
        <w:t>1. Founding and Merger (1982 - 2005)</w:t>
      </w:r>
    </w:p>
    <w:p w14:paraId="7DE8B567">
      <w:pPr>
        <w:keepNext w:val="0"/>
        <w:keepLines w:val="0"/>
        <w:widowControl/>
        <w:suppressLineNumbers w:val="0"/>
        <w:jc w:val="left"/>
      </w:pPr>
      <w:r>
        <w:rPr>
          <w:rFonts w:ascii="SimSun" w:hAnsi="SimSun" w:eastAsia="SimSun" w:cs="SimSun"/>
          <w:kern w:val="0"/>
          <w:sz w:val="24"/>
          <w:szCs w:val="24"/>
          <w:lang w:val="en-US" w:eastAsia="zh-CN" w:bidi="ar"/>
        </w:rPr>
        <w:t>In 1982, founder Eliot Cole established the RichmeCofe brand in Vancouver, Canada, initially focusing on high-end handcrafted coffee and supporting pastries as core products. In 1988, it merged with Maple Food, a company specializing in home baking ingredients, expanding its product range to baking powder, syrup, etc. In 1995, it launched its first premium instant coffee, breaking the taste limitations of traditional instant coffee and quickly penetrating the North American market. In 2001, it acquired Herbal Leaf, a European organic tea brand, extending its business to non-coffee fields for the first time. In 2005, it merged with Savoria, a producer of high-end condiments, and renamed itself RichmeCofe &amp; Savoria Group.</w:t>
      </w:r>
    </w:p>
    <w:p w14:paraId="79F86E13">
      <w:pPr>
        <w:pStyle w:val="4"/>
        <w:keepNext w:val="0"/>
        <w:keepLines w:val="0"/>
        <w:widowControl/>
        <w:suppressLineNumbers w:val="0"/>
      </w:pPr>
      <w:r>
        <w:t>2. Diversified Expansion (2006 - 2019)</w:t>
      </w:r>
    </w:p>
    <w:p w14:paraId="23E25E23">
      <w:pPr>
        <w:keepNext w:val="0"/>
        <w:keepLines w:val="0"/>
        <w:widowControl/>
        <w:suppressLineNumbers w:val="0"/>
        <w:jc w:val="left"/>
      </w:pPr>
      <w:r>
        <w:rPr>
          <w:rFonts w:ascii="SimSun" w:hAnsi="SimSun" w:eastAsia="SimSun" w:cs="SimSun"/>
          <w:kern w:val="0"/>
          <w:sz w:val="24"/>
          <w:szCs w:val="24"/>
          <w:lang w:val="en-US" w:eastAsia="zh-CN" w:bidi="ar"/>
        </w:rPr>
        <w:t>In 2008, it entered the pet nutrition field and launched a series of special snacks for small dogs; in 2012, it renamed itself RichmeCofe Co., Ltd. and acquired Clear Vision, a brand of eye care accessories; in 2015, it acquired Coco Life, a well-known Southeast Asian coconut product enterprise, expanding its tropical healthy food business; in 2017, it acquired Aqua Blu, an Italian high-end mineral water brand, and Fizz Wave, a sparkling water brand, officially laying out the drinking water market; in 2019, it acquired Fresh Bite, an American frozen light meal brand, completing the transformation from a single food business to a full-category healthy diet provider.</w:t>
      </w:r>
    </w:p>
    <w:p w14:paraId="6D8F63E1">
      <w:pPr>
        <w:pStyle w:val="4"/>
        <w:keepNext w:val="0"/>
        <w:keepLines w:val="0"/>
        <w:widowControl/>
        <w:suppressLineNumbers w:val="0"/>
      </w:pPr>
      <w:r>
        <w:t>3. Focusing on Core Business and Deepening Globalization (2020 - Present)</w:t>
      </w:r>
    </w:p>
    <w:p w14:paraId="023CDA2F">
      <w:pPr>
        <w:keepNext w:val="0"/>
        <w:keepLines w:val="0"/>
        <w:widowControl/>
        <w:suppressLineNumbers w:val="0"/>
        <w:jc w:val="left"/>
      </w:pPr>
      <w:r>
        <w:rPr>
          <w:rFonts w:ascii="SimSun" w:hAnsi="SimSun" w:eastAsia="SimSun" w:cs="SimSun"/>
          <w:kern w:val="0"/>
          <w:sz w:val="24"/>
          <w:szCs w:val="24"/>
          <w:lang w:val="en-US" w:eastAsia="zh-CN" w:bidi="ar"/>
        </w:rPr>
        <w:t>In 2020, it acquired Pawsome, a world-renowned pet food brand, consolidating its position in the pet nutrition field; in 2022, it obtained the global sales rights for off-store products of Bake Lab, a chain baking brand, deepening its layout in the baking industry chain; in 2023, it successively acquired 3 healthy meal replacement companies, increasing its investment in the functional food track; in 2025, it continues to promote green transformation, achieving remarkable results in the construction of coffee bean traceability system and packaging plastic reduction, with its business covering 120 countries and regions around the world.</w:t>
      </w:r>
    </w:p>
    <w:p w14:paraId="5C7DD96A">
      <w:pPr>
        <w:pStyle w:val="3"/>
        <w:keepNext w:val="0"/>
        <w:keepLines w:val="0"/>
        <w:widowControl/>
        <w:suppressLineNumbers w:val="0"/>
      </w:pPr>
      <w:r>
        <w:t>II. Core Businesses and Brand Matrix</w:t>
      </w:r>
    </w:p>
    <w:p w14:paraId="48F975DB">
      <w:pPr>
        <w:pStyle w:val="4"/>
        <w:keepNext w:val="0"/>
        <w:keepLines w:val="0"/>
        <w:widowControl/>
        <w:suppressLineNumbers w:val="0"/>
      </w:pPr>
      <w:r>
        <w:t>1. Core Business Areas</w:t>
      </w:r>
    </w:p>
    <w:p w14:paraId="47EB350E">
      <w:pPr>
        <w:keepNext w:val="0"/>
        <w:keepLines w:val="0"/>
        <w:widowControl/>
        <w:suppressLineNumbers w:val="0"/>
        <w:jc w:val="left"/>
      </w:pPr>
      <w:r>
        <w:rPr>
          <w:rFonts w:ascii="SimSun" w:hAnsi="SimSun" w:eastAsia="SimSun" w:cs="SimSun"/>
          <w:kern w:val="0"/>
          <w:sz w:val="24"/>
          <w:szCs w:val="24"/>
          <w:lang w:val="en-US" w:eastAsia="zh-CN" w:bidi="ar"/>
        </w:rPr>
        <w:t>It covers 6 major product categories, with coffee and beverages as the core, extending to pet nutrition, baking ingredients, healthy light meals, organic tea, drinking water and other fields, forming a full-scenario catering service system. In 2024, premium coffee, pet snacks and frozen light meals are the three major growth drivers of the group. Among them, the premium coffee business contributes 35% of the total revenue, and the healthy light meal business has become a new growth engine with an 18% growth rate.</w:t>
      </w:r>
    </w:p>
    <w:p w14:paraId="6E71D0EF">
      <w:pPr>
        <w:pStyle w:val="4"/>
        <w:keepNext w:val="0"/>
        <w:keepLines w:val="0"/>
        <w:widowControl/>
        <w:suppressLineNumbers w:val="0"/>
      </w:pPr>
      <w:r>
        <w:t>2. Well-known Brand Cluster</w:t>
      </w:r>
    </w:p>
    <w:p w14:paraId="17FB01DC">
      <w:pPr>
        <w:keepNext w:val="0"/>
        <w:keepLines w:val="0"/>
        <w:widowControl/>
        <w:suppressLineNumbers w:val="0"/>
        <w:jc w:val="left"/>
      </w:pPr>
      <w:r>
        <w:rPr>
          <w:rFonts w:ascii="SimSun" w:hAnsi="SimSun" w:eastAsia="SimSun" w:cs="SimSun"/>
          <w:kern w:val="0"/>
          <w:sz w:val="24"/>
          <w:szCs w:val="24"/>
          <w:lang w:val="en-US" w:eastAsia="zh-CN" w:bidi="ar"/>
        </w:rPr>
        <w:t>It has more than 1,500 brands, among which 22 brands have sales exceeding 1 billion Canadian dollars. In the coffee field, it includes the core brand RichmeCofe, high-end capsule coffee Eliot's Choice, and convenient drip coffee Brew Now; in the pet nutrition field, there are Pawsome and Small Pup Treats; in the baking ingredients field, there are Maple Food and Bake Aid; in the drinking water field, it covers Aqua Blu and Fizz Wave; in the healthy light meal field, it is represented by Fresh Bite and Lean Meal, forming a multi-dimensional and full-category brand matrix.</w:t>
      </w:r>
    </w:p>
    <w:p w14:paraId="377B6C04">
      <w:pPr>
        <w:pStyle w:val="3"/>
        <w:keepNext w:val="0"/>
        <w:keepLines w:val="0"/>
        <w:widowControl/>
        <w:suppressLineNumbers w:val="0"/>
      </w:pPr>
      <w:r>
        <w:t>III. Management and Employee Scale</w:t>
      </w:r>
    </w:p>
    <w:p w14:paraId="721C299B">
      <w:pPr>
        <w:pStyle w:val="4"/>
        <w:keepNext w:val="0"/>
        <w:keepLines w:val="0"/>
        <w:widowControl/>
        <w:suppressLineNumbers w:val="0"/>
      </w:pPr>
      <w:r>
        <w:t>1. Core Management</w:t>
      </w:r>
    </w:p>
    <w:p w14:paraId="1136DF56">
      <w:pPr>
        <w:keepNext w:val="0"/>
        <w:keepLines w:val="0"/>
        <w:widowControl/>
        <w:suppressLineNumbers w:val="0"/>
        <w:jc w:val="left"/>
      </w:pPr>
      <w:r>
        <w:rPr>
          <w:rFonts w:ascii="SimSun" w:hAnsi="SimSun" w:eastAsia="SimSun" w:cs="SimSun"/>
          <w:kern w:val="0"/>
          <w:sz w:val="24"/>
          <w:szCs w:val="24"/>
          <w:lang w:val="en-US" w:eastAsia="zh-CN" w:bidi="ar"/>
        </w:rPr>
        <w:t>The current chairman of the group is Samuel White, who has 30 years of management experience in the food and beverage industry. He joined RichmeCofe in 2018 as Chief Strategy Officer and was promoted to Chairman in 2022. The Chief Executive Officer is Olivia Chen, who focuses on digital transformation and emerging market expansion and has led a number of key mergers and acquisitions. Lin Haoran, Chairman and CEO of Greater China, is responsible for the business in China, Japan and Southeast Asia, and promotes the localized innovation of the brand in China.</w:t>
      </w:r>
    </w:p>
    <w:p w14:paraId="4BB53F47">
      <w:pPr>
        <w:pStyle w:val="4"/>
        <w:keepNext w:val="0"/>
        <w:keepLines w:val="0"/>
        <w:widowControl/>
        <w:suppressLineNumbers w:val="0"/>
      </w:pPr>
      <w:r>
        <w:t>2. Employee Team</w:t>
      </w:r>
    </w:p>
    <w:p w14:paraId="522FDAAE">
      <w:pPr>
        <w:keepNext w:val="0"/>
        <w:keepLines w:val="0"/>
        <w:widowControl/>
        <w:suppressLineNumbers w:val="0"/>
        <w:jc w:val="left"/>
      </w:pPr>
      <w:r>
        <w:rPr>
          <w:rFonts w:ascii="SimSun" w:hAnsi="SimSun" w:eastAsia="SimSun" w:cs="SimSun"/>
          <w:kern w:val="0"/>
          <w:sz w:val="24"/>
          <w:szCs w:val="24"/>
          <w:lang w:val="en-US" w:eastAsia="zh-CN" w:bidi="ar"/>
        </w:rPr>
        <w:t>As of 2024, the total number of global employees is about 192,000, with a significant feature of team diversity. Among them, 92% of the members of the regional management committee are locally recruited employees, and 49.1% of the middle and senior managers are women, far exceeding the industry average. The group implements a flexible work system and child-rearing support policies in all branches around the world, including extending paid maternity leave to 16 weeks and providing child-rearing subsidies. Employee satisfaction has ranked among the top 10% in industry surveys for 5 consecutive years.</w:t>
      </w:r>
    </w:p>
    <w:p w14:paraId="5DAFDA85">
      <w:pPr>
        <w:pStyle w:val="3"/>
        <w:keepNext w:val="0"/>
        <w:keepLines w:val="0"/>
        <w:widowControl/>
        <w:suppressLineNumbers w:val="0"/>
      </w:pPr>
      <w:r>
        <w:t>IV. Financial Performance</w:t>
      </w:r>
    </w:p>
    <w:p w14:paraId="5672585C">
      <w:pPr>
        <w:pStyle w:val="4"/>
        <w:keepNext w:val="0"/>
        <w:keepLines w:val="0"/>
        <w:widowControl/>
        <w:suppressLineNumbers w:val="0"/>
      </w:pPr>
      <w:r>
        <w:t>1. Core Financial Data in 2024</w:t>
      </w:r>
    </w:p>
    <w:p w14:paraId="3B4DC27E">
      <w:pPr>
        <w:keepNext w:val="0"/>
        <w:keepLines w:val="0"/>
        <w:widowControl/>
        <w:suppressLineNumbers w:val="0"/>
        <w:jc w:val="left"/>
      </w:pPr>
      <w:r>
        <w:rPr>
          <w:rFonts w:ascii="SimSun" w:hAnsi="SimSun" w:eastAsia="SimSun" w:cs="SimSun"/>
          <w:kern w:val="0"/>
          <w:sz w:val="24"/>
          <w:szCs w:val="24"/>
          <w:lang w:val="en-US" w:eastAsia="zh-CN" w:bidi="ar"/>
        </w:rPr>
        <w:t>In 2024, the group's total operating revenue reached 38.65 billion Canadian dollars, a year-on-year increase of 4.2%; the net profit was 4.58 billion Canadian dollars, with a net profit margin of 11.8%; the total assets were 59.23 billion Canadian dollars, and the total liabilities were 38.76 billion Canadian dollars. The underlying trading operating profit margin was 16.5%, the gross profit margin was 48.2%, and the free cash flow increased to 4.23 billion Canadian dollars. The board of directors proposed a dividend of 1.2 Canadian dollars per share. The e-commerce channel performed outstandingly, with an organic sales growth rate of 14.7%, accounting for 21.3% of the group's total sales, far exceeding the growth rate of the retail channel.</w:t>
      </w:r>
    </w:p>
    <w:p w14:paraId="70220FF0">
      <w:pPr>
        <w:pStyle w:val="4"/>
        <w:keepNext w:val="0"/>
        <w:keepLines w:val="0"/>
        <w:widowControl/>
        <w:suppressLineNumbers w:val="0"/>
      </w:pPr>
      <w:r>
        <w:t>2. Performance in the First Three Quarters of 2025</w:t>
      </w:r>
    </w:p>
    <w:p w14:paraId="26A0531D">
      <w:pPr>
        <w:keepNext w:val="0"/>
        <w:keepLines w:val="0"/>
        <w:widowControl/>
        <w:suppressLineNumbers w:val="0"/>
        <w:jc w:val="left"/>
      </w:pPr>
      <w:r>
        <w:rPr>
          <w:rFonts w:ascii="SimSun" w:hAnsi="SimSun" w:eastAsia="SimSun" w:cs="SimSun"/>
          <w:kern w:val="0"/>
          <w:sz w:val="24"/>
          <w:szCs w:val="24"/>
          <w:lang w:val="en-US" w:eastAsia="zh-CN" w:bidi="ar"/>
        </w:rPr>
        <w:t>In the first three quarters of 2025, the sales volume reached 28.97 billion Canadian dollars, with an organic growth rate of 3.8%, and the organic growth rate in the third quarter rose to 5.1%, showing a quarterly upward trend. From a regional perspective, all regions have achieved positive growth, with emerging markets performing particularly brilliantly, with an organic growth rate of 6.3%; the organic growth rate of e-commerce sales was 15.4%, and its proportion in the group's total sales further increased to 23.1%, indicating remarkable results in the layout of digital channels.</w:t>
      </w:r>
    </w:p>
    <w:p w14:paraId="775D7C52">
      <w:pPr>
        <w:pStyle w:val="3"/>
        <w:keepNext w:val="0"/>
        <w:keepLines w:val="0"/>
        <w:widowControl/>
        <w:suppressLineNumbers w:val="0"/>
      </w:pPr>
      <w:r>
        <w:t>V. Key Progress in 2024 (Key Points of Annual Report)</w:t>
      </w:r>
    </w:p>
    <w:p w14:paraId="1EE0D32D">
      <w:pPr>
        <w:pStyle w:val="4"/>
        <w:keepNext w:val="0"/>
        <w:keepLines w:val="0"/>
        <w:widowControl/>
        <w:suppressLineNumbers w:val="0"/>
      </w:pPr>
      <w:r>
        <w:t>1. Growth Trend</w:t>
      </w:r>
    </w:p>
    <w:p w14:paraId="025EEA93">
      <w:pPr>
        <w:keepNext w:val="0"/>
        <w:keepLines w:val="0"/>
        <w:widowControl/>
        <w:suppressLineNumbers w:val="0"/>
        <w:jc w:val="left"/>
      </w:pPr>
      <w:r>
        <w:rPr>
          <w:rFonts w:ascii="SimSun" w:hAnsi="SimSun" w:eastAsia="SimSun" w:cs="SimSun"/>
          <w:kern w:val="0"/>
          <w:sz w:val="24"/>
          <w:szCs w:val="24"/>
          <w:lang w:val="en-US" w:eastAsia="zh-CN" w:bidi="ar"/>
        </w:rPr>
        <w:t>The full-year organic growth rate in 2024 was 3.5%, and the growth momentum in the second half of the year was significantly better than that in the first half, increasing from 3.2% in the first half to 3.8% in the second half. By channel, the out-of-home channel (including catering, convenience stores, etc.) achieved an organic growth rate of 4.6%, significantly higher than the 2.9% of the retail channel, reflecting the enhanced competitiveness of the brand in the scenario-based consumption field.</w:t>
      </w:r>
    </w:p>
    <w:p w14:paraId="629A4E6F">
      <w:pPr>
        <w:pStyle w:val="4"/>
        <w:keepNext w:val="0"/>
        <w:keepLines w:val="0"/>
        <w:widowControl/>
        <w:suppressLineNumbers w:val="0"/>
      </w:pPr>
      <w:r>
        <w:t>2. Strategic Initiatives</w:t>
      </w:r>
    </w:p>
    <w:p w14:paraId="08EDDD72">
      <w:pPr>
        <w:keepNext w:val="0"/>
        <w:keepLines w:val="0"/>
        <w:widowControl/>
        <w:suppressLineNumbers w:val="0"/>
        <w:jc w:val="left"/>
      </w:pPr>
      <w:r>
        <w:rPr>
          <w:rFonts w:ascii="SimSun" w:hAnsi="SimSun" w:eastAsia="SimSun" w:cs="SimSun"/>
          <w:kern w:val="0"/>
          <w:sz w:val="24"/>
          <w:szCs w:val="24"/>
          <w:lang w:val="en-US" w:eastAsia="zh-CN" w:bidi="ar"/>
        </w:rPr>
        <w:t>It launched a four-year "Lean Growth" cost optimization plan, aiming to achieve annual cost savings of 1.2 billion Canadian dollars by the end of 2028, and is expected to complete the savings target of 350 million Canadian dollars in 2025; it optimized the organizational structure, streamlining the global reporting regions from 6 to 4, and upgrading the pet nutrition business to an independent global business unit to strengthen the strategic priority of this field; it increased R&amp;D investment, with R&amp;D expenses reaching 1.87 billion Canadian dollars in 2024, focusing on the R&amp;D of functional coffee and plant-based food.</w:t>
      </w:r>
    </w:p>
    <w:p w14:paraId="60C3442B">
      <w:pPr>
        <w:pStyle w:val="3"/>
        <w:keepNext w:val="0"/>
        <w:keepLines w:val="0"/>
        <w:widowControl/>
        <w:suppressLineNumbers w:val="0"/>
      </w:pPr>
      <w:r>
        <w:t>VI. ESG Performance</w:t>
      </w:r>
    </w:p>
    <w:p w14:paraId="674BFB8D">
      <w:pPr>
        <w:pStyle w:val="4"/>
        <w:keepNext w:val="0"/>
        <w:keepLines w:val="0"/>
        <w:widowControl/>
        <w:suppressLineNumbers w:val="0"/>
      </w:pPr>
      <w:r>
        <w:t>1. Carbon Emission and Emission Reduction Achievements</w:t>
      </w:r>
    </w:p>
    <w:p w14:paraId="673AB768">
      <w:pPr>
        <w:keepNext w:val="0"/>
        <w:keepLines w:val="0"/>
        <w:widowControl/>
        <w:suppressLineNumbers w:val="0"/>
        <w:jc w:val="left"/>
      </w:pPr>
      <w:r>
        <w:rPr>
          <w:rFonts w:ascii="SimSun" w:hAnsi="SimSun" w:eastAsia="SimSun" w:cs="SimSun"/>
          <w:kern w:val="0"/>
          <w:sz w:val="24"/>
          <w:szCs w:val="24"/>
          <w:lang w:val="en-US" w:eastAsia="zh-CN" w:bidi="ar"/>
        </w:rPr>
        <w:t>In 2020, the group officially put forward the goal of "net-zero carbon emissions by 2050" with an intermediate target of reducing emissions by 45% by 2030. In 2024, the full-value chain carbon emissions have been reduced by 22.7% compared with the 2019 baseline, completing the phased target of 20% emission reduction by 2025 two years in advance. Through initiatives such as promoting new energy vehicle distribution and building photovoltaic power stations, RichmeCofe China increased the renewable energy utilization rate of its production bases to 68% in 2025, an increase of 42 percentage points compared with 2019.</w:t>
      </w:r>
    </w:p>
    <w:p w14:paraId="535036BF">
      <w:pPr>
        <w:pStyle w:val="4"/>
        <w:keepNext w:val="0"/>
        <w:keepLines w:val="0"/>
        <w:widowControl/>
        <w:suppressLineNumbers w:val="0"/>
      </w:pPr>
      <w:r>
        <w:t>2. Sustainable Packaging Innovation and Supply Chain Responsibility</w:t>
      </w:r>
    </w:p>
    <w:p w14:paraId="5BADA8C9">
      <w:pPr>
        <w:keepNext w:val="0"/>
        <w:keepLines w:val="0"/>
        <w:widowControl/>
        <w:suppressLineNumbers w:val="0"/>
        <w:jc w:val="left"/>
      </w:pPr>
      <w:r>
        <w:rPr>
          <w:rFonts w:ascii="SimSun" w:hAnsi="SimSun" w:eastAsia="SimSun" w:cs="SimSun"/>
          <w:kern w:val="0"/>
          <w:sz w:val="24"/>
          <w:szCs w:val="24"/>
          <w:lang w:val="en-US" w:eastAsia="zh-CN" w:bidi="ar"/>
        </w:rPr>
        <w:t>In the packaging field, RichmeCofe China changed the outer packaging of coffee capsules from composite film to single recyclable PP material, reducing the use of virgin plastic by 42 tons per year. This technology has been promoted to 18 production bases around the world. As of 2024, 86.2% of the group's plastic packaging has achieved recyclable design, and 100% of the paper packaging uses FSC-certified wood. In terms of supply chain, it has established a coffee bean "traceability plan" and signed fair trade agreements with more than 2,000 farmers in producing areas such as Colombia and Ethiopia, ensuring farmers' income while improving the quality of raw materials.</w:t>
      </w:r>
    </w:p>
    <w:p w14:paraId="77E05904">
      <w:pPr>
        <w:pStyle w:val="4"/>
        <w:keepNext w:val="0"/>
        <w:keepLines w:val="0"/>
        <w:widowControl/>
        <w:suppressLineNumbers w:val="0"/>
      </w:pPr>
      <w:r>
        <w:t>3. ESG Authority Ratings</w:t>
      </w:r>
    </w:p>
    <w:p w14:paraId="7733AD68">
      <w:pPr>
        <w:keepNext w:val="0"/>
        <w:keepLines w:val="0"/>
        <w:widowControl/>
        <w:suppressLineNumbers w:val="0"/>
        <w:jc w:val="left"/>
      </w:pPr>
      <w:r>
        <w:rPr>
          <w:rFonts w:ascii="SimSun" w:hAnsi="SimSun" w:eastAsia="SimSun" w:cs="SimSun"/>
          <w:kern w:val="0"/>
          <w:sz w:val="24"/>
          <w:szCs w:val="24"/>
          <w:lang w:val="en-US" w:eastAsia="zh-CN" w:bidi="ar"/>
        </w:rPr>
        <w:t>In 2025, the group's MSCI ESG rating was upgraded to AA, an increase of one level compared with the previous year; Sustainalytics ESG risk assessment was "low risk", ranking 5th among more than 200 enterprises in the global coffee and beverage industry; it has been included in the FTSE4Good Index for 12 consecutive years, with a rating of 4.5 points (out of 5) in 2025. It received a Grade A in the CDP climate field rating and ranked 7th in the 2024 Global Food Industry Nutrition Transparency Index, with its comprehensive ESG performance leading the industry.</w:t>
      </w:r>
    </w:p>
    <w:p w14:paraId="567C21D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E263E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2025-12-05T09:03:54Z</dcterms:created>
  <dc:creator>mengk</dc:creator>
  <cp:lastModifiedBy>是哈尼哟～</cp:lastModifiedBy>
  <dcterms:modified xsi:type="dcterms:W3CDTF">2025-12-05T09:04:19Z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eyJoZGlkIjoiZGZlNjdjMDMyNzllZGE4YzhjZGI4YjY3YjFkNGUwOWMiLCJ1c2VySWQiOiI3MTQ2NzIwNDEifQ==</vt:lpwstr>
  </property>
  <property fmtid="{D5CDD505-2E9C-101B-9397-08002B2CF9AE}" pid="4" name="ICV">
    <vt:lpwstr>6681263B68854AD6A788546EB92515DA_12</vt:lpwstr>
  </property>
</Properties>
</file>