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96A76">
      <w:pPr>
        <w:pStyle w:val="2"/>
        <w:keepNext w:val="0"/>
        <w:keepLines w:val="0"/>
        <w:widowControl/>
        <w:suppressLineNumbers w:val="0"/>
      </w:pPr>
      <w:r>
        <w:t>RichmeCofe公司详情</w:t>
      </w:r>
    </w:p>
    <w:p w14:paraId="5A9BD6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以下从发展历程、核心业务与品牌、管理层与员工、财务表现、年度关键进展、ESG相关情况等维度，为你详细介绍RichmeCofe公司的具体信息：</w:t>
      </w:r>
    </w:p>
    <w:p w14:paraId="179C299E">
      <w:pPr>
        <w:pStyle w:val="3"/>
        <w:keepNext w:val="0"/>
        <w:keepLines w:val="0"/>
        <w:widowControl/>
        <w:suppressLineNumbers w:val="0"/>
      </w:pPr>
      <w:r>
        <w:t>一、发展历程</w:t>
      </w:r>
      <w:bookmarkStart w:id="0" w:name="_GoBack"/>
      <w:bookmarkEnd w:id="0"/>
    </w:p>
    <w:p w14:paraId="3D84B909">
      <w:pPr>
        <w:pStyle w:val="4"/>
        <w:keepNext w:val="0"/>
        <w:keepLines w:val="0"/>
        <w:widowControl/>
        <w:suppressLineNumbers w:val="0"/>
      </w:pPr>
      <w:r>
        <w:t>1. 初创与合并（1982 - 2005年）</w:t>
      </w:r>
    </w:p>
    <w:p w14:paraId="6F7238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1982年，创始人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Kayla Xu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在加拿大温哥华创立RichmeCofe品牌，初期以高端手工咖啡及配套点心为核心产品。1988年，与专注家庭烘焙原料的Maple Food公司合并，拓展产品品类至烘焙粉、糖浆等。1995年，推出首款速溶精品咖啡，打破传统速溶咖啡口感局限，迅速打开北美市场。2001年，收购欧洲有机茶品牌Herbal Leaf，首次将业务延伸至非咖啡领域。2005年，与生产高端调味品的Savoria公司合并，更名为RichmeCofe &amp; Savoria集团。</w:t>
      </w:r>
    </w:p>
    <w:p w14:paraId="6DCF745F">
      <w:pPr>
        <w:pStyle w:val="4"/>
        <w:keepNext w:val="0"/>
        <w:keepLines w:val="0"/>
        <w:widowControl/>
        <w:suppressLineNumbers w:val="0"/>
      </w:pPr>
      <w:r>
        <w:t>2. 多元化扩张（2006 - 2019年）</w:t>
      </w:r>
    </w:p>
    <w:p w14:paraId="077544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2008年，进入宠物营养领域，推出针对小型犬的专用零食系列；2012年，更名为RichmeCofe股份有限公司，并收购眼部护理周边品牌Clear Vision；2015年，收购东南亚知名椰子制品企业Coco Life，拓展热带健康食品业务；2017年，收购意大利高端矿泉水品牌Aqua Blu和气泡水品牌Fizz Wave，正式布局饮用水市场；2019年，收购美国冷冻轻食品牌Fresh Bite，完成从单一食品向全品类健康饮食的转型。</w:t>
      </w:r>
    </w:p>
    <w:p w14:paraId="057A0BF3">
      <w:pPr>
        <w:pStyle w:val="4"/>
        <w:keepNext w:val="0"/>
        <w:keepLines w:val="0"/>
        <w:widowControl/>
        <w:suppressLineNumbers w:val="0"/>
      </w:pPr>
      <w:r>
        <w:t>3. 聚焦核心与全球化深化（2020年至今）</w:t>
      </w:r>
    </w:p>
    <w:p w14:paraId="4D77D1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2020年，收购全球知名宠物食品品牌Pawsome，巩固宠物营养领域地位；2022年，获得连锁烘焙品牌Bake Lab的店外产品全球销售权，深化烘焙产业链布局；2023年，连续收购3家健康代餐企业，加码功能性食品赛道；2025年，持续推进绿色转型，在咖啡豆溯源体系建设和包装减塑领域取得显著成果，业务已覆盖全球120个国家和地区。</w:t>
      </w:r>
    </w:p>
    <w:p w14:paraId="0A3C5B0C">
      <w:pPr>
        <w:pStyle w:val="3"/>
        <w:keepNext w:val="0"/>
        <w:keepLines w:val="0"/>
        <w:widowControl/>
        <w:suppressLineNumbers w:val="0"/>
      </w:pPr>
      <w:r>
        <w:t>二、核心业务与品牌矩阵</w:t>
      </w:r>
    </w:p>
    <w:p w14:paraId="30E1CB7F">
      <w:pPr>
        <w:pStyle w:val="4"/>
        <w:keepNext w:val="0"/>
        <w:keepLines w:val="0"/>
        <w:widowControl/>
        <w:suppressLineNumbers w:val="0"/>
      </w:pPr>
      <w:r>
        <w:t>1. 核心业务领域</w:t>
      </w:r>
    </w:p>
    <w:p w14:paraId="03C3E3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覆盖6大产品大类，以咖啡及饮品为核心，延伸至宠物营养、烘焙原料、健康轻食、有机茶、饮用水等领域，形成全场景饮食服务体系。2024年，精品咖啡、宠物零食和冷冻轻食是集团三大增长主力，其中精品咖啡业务贡献了总营收的35%，健康轻食业务以18%的增速成为新的增长引擎。</w:t>
      </w:r>
    </w:p>
    <w:p w14:paraId="3C9D0DEC">
      <w:pPr>
        <w:pStyle w:val="4"/>
        <w:keepNext w:val="0"/>
        <w:keepLines w:val="0"/>
        <w:widowControl/>
        <w:suppressLineNumbers w:val="0"/>
      </w:pPr>
      <w:r>
        <w:t>2. 知名品牌集群</w:t>
      </w:r>
    </w:p>
    <w:p w14:paraId="09A77B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拥有超1500个品牌，其中22个品牌销售额突破10亿加元。咖啡领域包括核心品牌RichmeCofe、高端胶囊咖啡Eliot's Choice、便捷挂耳咖啡Brew Now；宠物营养领域有Pawsome、Small Pup Treats；烘焙原料领域有Maple Food、Bake Aid；饮用水领域涵盖Aqua Blu、Fizz Wave；健康轻食领域则以Fresh Bite、Lean Meal为代表，形成多维度、全品类的品牌矩阵。</w:t>
      </w:r>
    </w:p>
    <w:p w14:paraId="4F681AA4">
      <w:pPr>
        <w:pStyle w:val="3"/>
        <w:keepNext w:val="0"/>
        <w:keepLines w:val="0"/>
        <w:widowControl/>
        <w:suppressLineNumbers w:val="0"/>
      </w:pPr>
      <w:r>
        <w:t>三、管理层与员工规模</w:t>
      </w:r>
    </w:p>
    <w:p w14:paraId="277FD1AB">
      <w:pPr>
        <w:pStyle w:val="4"/>
        <w:keepNext w:val="0"/>
        <w:keepLines w:val="0"/>
        <w:widowControl/>
        <w:suppressLineNumbers w:val="0"/>
      </w:pPr>
      <w:r>
        <w:t>1. 核心管理层</w:t>
      </w:r>
    </w:p>
    <w:p w14:paraId="74C1DA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集团现任董事长为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Mina xiao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，拥有30年食品饮料行业管理经验，2018年加入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Adma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并担任首席战略官，2022年升任董事长；首席执行官为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Lareina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，专注于数字化转型与新兴市场拓展，主导了多项关键并购案；大中华区董事长兼首席执行官为林浩然，负责中国、日本及东南亚地区业务，推动品牌在华本土化创新。</w:t>
      </w:r>
    </w:p>
    <w:p w14:paraId="531F453D">
      <w:pPr>
        <w:pStyle w:val="4"/>
        <w:keepNext w:val="0"/>
        <w:keepLines w:val="0"/>
        <w:widowControl/>
        <w:suppressLineNumbers w:val="0"/>
      </w:pPr>
      <w:r>
        <w:t>2. 员工团队</w:t>
      </w:r>
    </w:p>
    <w:p w14:paraId="459D1C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截至2024年，全球员工总数约19.2万人，团队多元化特征显著。其中，92%的区域管理委员会成员为当地招聘员工，49.1%的中、高层管理人员为女性，远超行业平均水平。集团在全球所有分支机构推行弹性工作制度及育儿支持政策，包括带薪产假延长至16周、育儿补贴等，员工满意度连续5年在行业调研中排名前10%。</w:t>
      </w:r>
    </w:p>
    <w:p w14:paraId="1DD9C972">
      <w:pPr>
        <w:pStyle w:val="3"/>
        <w:keepNext w:val="0"/>
        <w:keepLines w:val="0"/>
        <w:widowControl/>
        <w:suppressLineNumbers w:val="0"/>
      </w:pPr>
      <w:r>
        <w:t>四、财务表现</w:t>
      </w:r>
    </w:p>
    <w:p w14:paraId="60050986">
      <w:pPr>
        <w:pStyle w:val="4"/>
        <w:keepNext w:val="0"/>
        <w:keepLines w:val="0"/>
        <w:widowControl/>
        <w:suppressLineNumbers w:val="0"/>
      </w:pPr>
      <w:r>
        <w:t>1. 2024年核心财务数据</w:t>
      </w:r>
    </w:p>
    <w:p w14:paraId="56D19E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2024年，集团营业总收入达386.5亿加元，同比增长4.2%；净利润为45.8亿加元，净利润率11.8%；资产合计592.3亿加元，负债合计387.6亿加元。基础交易营业利润率16.5%，毛利率48.2%，自由现金流增至42.3亿加元，董事会拟定每股股息1.2加元。电商渠道表现突出，销售有机增长率14.7%，占集团总销售额的21.3%，远超零售渠道增速。</w:t>
      </w:r>
    </w:p>
    <w:p w14:paraId="4FEE2CA5">
      <w:pPr>
        <w:pStyle w:val="4"/>
        <w:keepNext w:val="0"/>
        <w:keepLines w:val="0"/>
        <w:widowControl/>
        <w:suppressLineNumbers w:val="0"/>
      </w:pPr>
      <w:r>
        <w:t>2. 2025年前三季度业绩</w:t>
      </w:r>
    </w:p>
    <w:p w14:paraId="01B954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2025年前三季度，销售额达289.7亿加元，有机增长率3.8%，其中第三季度有机增长率升至5.1%，呈现逐季提升态势。从区域来看，所有大区均实现正向增长，新兴市场表现尤为亮眼，有机增长率达6.3%；电商销售有机增长率15.4%，占集团总销售额比例进一步提升至23.1%，数字化渠道布局成效显著。</w:t>
      </w:r>
    </w:p>
    <w:p w14:paraId="1568CE48">
      <w:pPr>
        <w:pStyle w:val="3"/>
        <w:keepNext w:val="0"/>
        <w:keepLines w:val="0"/>
        <w:widowControl/>
        <w:suppressLineNumbers w:val="0"/>
      </w:pPr>
      <w:r>
        <w:t>五、2024年度关键进展（年度报告核心要点）</w:t>
      </w:r>
    </w:p>
    <w:p w14:paraId="098840B6">
      <w:pPr>
        <w:pStyle w:val="4"/>
        <w:keepNext w:val="0"/>
        <w:keepLines w:val="0"/>
        <w:widowControl/>
        <w:suppressLineNumbers w:val="0"/>
      </w:pPr>
      <w:r>
        <w:t>1. 增长态势</w:t>
      </w:r>
    </w:p>
    <w:p w14:paraId="0A4CE0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2024年全年有机增长率3.5%，下半年增长势头明显优于上半年，从上半年3.2%提升至下半年3.8%。按渠道划分，居家外渠道（包括餐饮、便利店等）有机增长率4.6%，显著高于零售渠道的2.9%，反映出品牌在场景化消费领域的竞争力提升。</w:t>
      </w:r>
    </w:p>
    <w:p w14:paraId="34A88288">
      <w:pPr>
        <w:pStyle w:val="4"/>
        <w:keepNext w:val="0"/>
        <w:keepLines w:val="0"/>
        <w:widowControl/>
        <w:suppressLineNumbers w:val="0"/>
      </w:pPr>
      <w:r>
        <w:t>2. 战略举措</w:t>
      </w:r>
    </w:p>
    <w:p w14:paraId="578824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启动为期四年的“精益增长”成本优化计划，目标2028年底前实现每年12亿加元的成本节约额，2025年预计完成3.5亿加元节约目标；优化组织架构，将全球汇报大区从6个精简至4个，同时将宠物营养业务升级为独立全球业务单元，强化该领域的战略优先级；加大研发投入，2024年研发费用达18.7亿加元，重点布局功能性咖啡和植物基食品研发。</w:t>
      </w:r>
    </w:p>
    <w:p w14:paraId="7B277DFE">
      <w:pPr>
        <w:pStyle w:val="3"/>
        <w:keepNext w:val="0"/>
        <w:keepLines w:val="0"/>
        <w:widowControl/>
        <w:suppressLineNumbers w:val="0"/>
      </w:pPr>
      <w:r>
        <w:t>六、ESG相关表现</w:t>
      </w:r>
    </w:p>
    <w:p w14:paraId="4CAEC98A">
      <w:pPr>
        <w:pStyle w:val="4"/>
        <w:keepNext w:val="0"/>
        <w:keepLines w:val="0"/>
        <w:widowControl/>
        <w:suppressLineNumbers w:val="0"/>
      </w:pPr>
      <w:r>
        <w:t>1. 碳排放与减排成果</w:t>
      </w:r>
    </w:p>
    <w:p w14:paraId="2FABF1A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2020年，集团正式提出“2050年净零碳排放”目标， intermediate target of reducing emissions by 45% by 2030. 2024年，全价值链碳排放已较2019年基线减少22.7%，提前两年完成2025年减排20%的阶段性目标。RichmeCofe中国通过推广新能源车配送、建设光伏电站等举措，2025年生产基地可再生能源使用率提升至68%，较2019年增长42个百分点。</w:t>
      </w:r>
    </w:p>
    <w:p w14:paraId="2342CDF6">
      <w:pPr>
        <w:pStyle w:val="4"/>
        <w:keepNext w:val="0"/>
        <w:keepLines w:val="0"/>
        <w:widowControl/>
        <w:suppressLineNumbers w:val="0"/>
      </w:pPr>
      <w:r>
        <w:t>2. 包装可持续创新与供应链责任</w:t>
      </w:r>
    </w:p>
    <w:p w14:paraId="735306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包装领域，RichmeCofe中国将咖啡胶囊外包装从复合膜改为单一可回收PP材料，每年减少原生塑料使用42吨，该技术已推广至全球18个生产基地。截至2024年，集团86.2%的塑料包装实现可回收再生设计，纸质包装100%采用FSC认证木材。供应链方面，建立咖啡豆“溯源计划”，与哥伦比亚、埃塞俄比亚等产区的2000余家农户签订公平贸易协议，保障农户收入的同时提升原料品质。</w:t>
      </w:r>
    </w:p>
    <w:p w14:paraId="58B52E01">
      <w:pPr>
        <w:pStyle w:val="4"/>
        <w:keepNext w:val="0"/>
        <w:keepLines w:val="0"/>
        <w:widowControl/>
        <w:suppressLineNumbers w:val="0"/>
      </w:pPr>
      <w:r>
        <w:t>3. ESG权威评级</w:t>
      </w:r>
    </w:p>
    <w:p w14:paraId="6C2D61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2025年，集团MSCI ESG评级提升至AA级，较上一年度提升一级；Sustainalytics ESG风险评估为“低风险”，在全球咖啡及饮品行业200余家企业中排名第5；连续12年入选FTSE4Good指数，2025年评级达4.5分（满分5分）。在CDP气候领域评分获得A级，在2024年全球食品行业营养透明度指数中位列第7，ESG综合表现处于行业领先水平。</w:t>
      </w:r>
    </w:p>
    <w:p w14:paraId="0D20E0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B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2025-12-05T08:59:26Z</dcterms:created>
  <dc:creator>mengk</dc:creator>
  <cp:lastModifiedBy>是哈尼哟～</cp:lastModifiedBy>
  <dcterms:modified xsi:type="dcterms:W3CDTF">2025-12-05T09:00:47Z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eyJoZGlkIjoiZGZlNjdjMDMyNzllZGE4YzhjZGI4YjY3YjFkNGUwOWMiLCJ1c2VySWQiOiI3MTQ2NzIwNDEifQ==</vt:lpwstr>
  </property>
  <property fmtid="{D5CDD505-2E9C-101B-9397-08002B2CF9AE}" pid="4" name="ICV">
    <vt:lpwstr>5CF16B38EE7A4E6A925EFA9F8A6F3638_12</vt:lpwstr>
  </property>
</Properties>
</file>