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0067" w:rsidRDefault="00413C9A">
      <w:r w:rsidRPr="00413C9A">
        <w:t>L'accès à aiWARE est fourni via des contrôles d'accès basés sur les rôles, qui sont appliqués à chaque application au sein d'une organisation aiWARE afin de fournir un contrôle affiné à chaque utilisateur. L'accès est rapidement révoqué à partir d'une interface d'administration suite à la réception par les administrateurs techniques de la sécurité d'une notification indiquant qu'un utilisateur a été arrêté ou n'a plus besoin d'accès.</w:t>
      </w:r>
      <w:bookmarkStart w:id="0" w:name="_GoBack"/>
      <w:bookmarkEnd w:id="0"/>
    </w:p>
    <w:sectPr w:rsidR="00840067" w:rsidSect="00A67F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C9A"/>
    <w:rsid w:val="00413C9A"/>
    <w:rsid w:val="00A67FD0"/>
    <w:rsid w:val="00B90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F935A935-06AE-0648-9BBC-01868039B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Ricciuti</dc:creator>
  <cp:keywords/>
  <dc:description/>
  <cp:lastModifiedBy>Chris Ricciuti</cp:lastModifiedBy>
  <cp:revision>1</cp:revision>
  <dcterms:created xsi:type="dcterms:W3CDTF">2019-07-03T01:10:00Z</dcterms:created>
  <dcterms:modified xsi:type="dcterms:W3CDTF">2019-07-03T01:10:00Z</dcterms:modified>
</cp:coreProperties>
</file>