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57"/>
          <w:sz w:val="60"/>
        </w:rPr>
        <w:t>Rent Convergence in England</w:t>
      </w:r>
    </w:p>
    <w:p>
      <w:pPr>
        <w:jc w:val="center"/>
      </w:pPr>
      <w:r>
        <w:rPr>
          <w:color w:val="2C6E9E"/>
          <w:sz w:val="30"/>
        </w:rPr>
        <w:t>A 1–3 Bed Affordable-Housing Investment Screen</w:t>
      </w:r>
    </w:p>
    <w:p>
      <w:pPr>
        <w:jc w:val="center"/>
      </w:pPr>
      <w:r>
        <w:rPr>
          <w:i/>
          <w:color w:val="606060"/>
          <w:sz w:val="24"/>
        </w:rPr>
        <w:t>Where market rent, LHA, Affordable Rent and social rent line up</w:t>
      </w:r>
    </w:p>
    <w:p/>
    <w:p/>
    <w:p/>
    <w:p/>
    <w:p/>
    <w:p/>
    <w:p>
      <w:pPr>
        <w:jc w:val="center"/>
      </w:pPr>
      <w:r>
        <w:rPr>
          <w:color w:val="1F3B57"/>
          <w:sz w:val="22"/>
        </w:rPr>
        <w:t>Measured from official open data — 97 local authorities scored</w:t>
      </w:r>
    </w:p>
    <w:p>
      <w:pPr>
        <w:jc w:val="center"/>
      </w:pPr>
      <w:r>
        <w:rPr>
          <w:color w:val="606060"/>
          <w:sz w:val="19"/>
        </w:rPr>
        <w:t>ONS Private Rental Market Statistics · DWP/VOA LHA · Regulator of Social Housing</w:t>
      </w:r>
    </w:p>
    <w:p>
      <w:pPr>
        <w:jc w:val="center"/>
      </w:pPr>
      <w:r>
        <w:rPr>
          <w:color w:val="606060"/>
          <w:sz w:val="20"/>
        </w:rPr>
        <w:t>July 2026</w:t>
      </w:r>
    </w:p>
    <w:p>
      <w:r>
        <w:br w:type="page"/>
      </w:r>
    </w:p>
    <w:p>
      <w:pPr>
        <w:pBdr>
          <w:bottom w:val="single" w:sz="6" w:space="2" w:color="2C6E9E"/>
        </w:pBdr>
      </w:pPr>
      <w:r>
        <w:rPr>
          <w:b/>
          <w:color w:val="1F3B57"/>
          <w:sz w:val="32"/>
        </w:rPr>
        <w:t>Executive summary</w:t>
      </w:r>
    </w:p>
    <w:p>
      <w:r>
        <w:rPr>
          <w:b/>
          <w:color w:val="2C6E9E"/>
          <w:sz w:val="24"/>
        </w:rPr>
        <w:t>What this is</w:t>
      </w:r>
    </w:p>
    <w:p>
      <w:pPr>
        <w:pStyle w:val="ListBullet"/>
        <w:spacing w:after="40"/>
      </w:pPr>
      <w:r>
        <w:rPr>
          <w:sz w:val="21"/>
        </w:rPr>
        <w:t>A screen for English areas where all four rent levels for 1–3 bed homes sit close together — lower rent risk, and housing benefit that covers more of the rent.</w:t>
      </w:r>
    </w:p>
    <w:p>
      <w:pPr>
        <w:pStyle w:val="ListBullet"/>
        <w:spacing w:after="40"/>
      </w:pPr>
      <w:r>
        <w:rPr>
          <w:sz w:val="21"/>
        </w:rPr>
        <w:t>Four rent levels compared: market rent; LHA (the most housing benefit / Universal Credit pays towards rent); Affordable Rent (up to 80% of market); and social rent.</w:t>
      </w:r>
    </w:p>
    <w:p>
      <w:pPr>
        <w:pStyle w:val="ListBullet"/>
        <w:spacing w:after="40"/>
      </w:pPr>
      <w:r>
        <w:rPr>
          <w:sz w:val="21"/>
        </w:rPr>
        <w:t>97 local authorities scored from official open data; studios and shared housing excluded.</w:t>
      </w:r>
    </w:p>
    <w:p>
      <w:r>
        <w:rPr>
          <w:b/>
          <w:color w:val="2C6E9E"/>
          <w:sz w:val="24"/>
        </w:rPr>
        <w:t>Headline finding</w:t>
      </w:r>
    </w:p>
    <w:p>
      <w:pPr>
        <w:pStyle w:val="ListBullet"/>
        <w:spacing w:after="40"/>
      </w:pPr>
      <w:r>
        <w:rPr>
          <w:b/>
          <w:sz w:val="21"/>
        </w:rPr>
        <w:t xml:space="preserve">Geography: </w:t>
      </w:r>
      <w:r>
        <w:rPr>
          <w:sz w:val="21"/>
        </w:rPr>
        <w:t>Convergence is concentrated in the low-cost North &amp; Midlands; the least-converged areas are all in the higher-rent South.</w:t>
      </w:r>
    </w:p>
    <w:p>
      <w:pPr>
        <w:pStyle w:val="ListBullet"/>
        <w:spacing w:after="40"/>
      </w:pPr>
      <w:r>
        <w:rPr>
          <w:sz w:val="21"/>
        </w:rPr>
        <w:t>Every one of the top 25 areas is northern or Midlands; the bottom five are Cambridge, Brighton, Bristol, Exeter, Oxford.</w:t>
      </w:r>
    </w:p>
    <w:p>
      <w:pPr>
        <w:pStyle w:val="ListBullet"/>
        <w:spacing w:after="40"/>
      </w:pPr>
      <w:r>
        <w:rPr>
          <w:b/>
          <w:sz w:val="21"/>
        </w:rPr>
        <w:t xml:space="preserve">Why: </w:t>
      </w:r>
      <w:r>
        <w:rPr>
          <w:sz w:val="21"/>
        </w:rPr>
        <w:t>Social rents barely vary across England, so they only sit close to market rents where market rents are low.</w:t>
      </w:r>
    </w:p>
    <w:p>
      <w:r>
        <w:rPr>
          <w:b/>
          <w:color w:val="2C6E9E"/>
          <w:sz w:val="24"/>
        </w:rPr>
        <w:t>Top 5 investment picks (convergence + demand)</w:t>
      </w:r>
    </w:p>
    <w:p>
      <w:pPr>
        <w:pStyle w:val="ListBullet"/>
        <w:spacing w:after="40"/>
      </w:pPr>
      <w:r>
        <w:rPr>
          <w:sz w:val="21"/>
        </w:rPr>
        <w:t>Teesside (Hartlepool / Redcar / Middlesbrough) · Kingston upon Hull · Doncaster · Sunderland · Stoke-on-Trent.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67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op_are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sz="6" w:space="2" w:color="2C6E9E"/>
        </w:pBdr>
      </w:pPr>
      <w:r>
        <w:rPr>
          <w:b/>
          <w:color w:val="1F3B57"/>
          <w:sz w:val="32"/>
        </w:rPr>
        <w:t>The convergence idea</w:t>
      </w:r>
    </w:p>
    <w:p>
      <w:pPr>
        <w:pStyle w:val="ListBullet"/>
        <w:spacing w:after="40"/>
      </w:pPr>
      <w:r>
        <w:rPr>
          <w:b/>
          <w:sz w:val="21"/>
        </w:rPr>
        <w:t xml:space="preserve">Aligned when: </w:t>
      </w:r>
      <w:r>
        <w:rPr>
          <w:sz w:val="21"/>
        </w:rPr>
        <w:t>LHA is close to market rent — so housing-benefit demand is well supported.</w:t>
      </w:r>
    </w:p>
    <w:p>
      <w:pPr>
        <w:pStyle w:val="ListBullet"/>
        <w:spacing w:after="40"/>
      </w:pPr>
      <w:r>
        <w:rPr>
          <w:sz w:val="21"/>
        </w:rPr>
        <w:t>Affordable Rent (up to 80% of market) sits near or below LHA — so a tenant on housing benefit / Universal Credit can cover it.</w:t>
      </w:r>
    </w:p>
    <w:p>
      <w:pPr>
        <w:pStyle w:val="ListBullet"/>
        <w:spacing w:after="40"/>
      </w:pPr>
      <w:r>
        <w:rPr>
          <w:sz w:val="21"/>
        </w:rPr>
        <w:t>Social rent not far below market rent.</w:t>
      </w:r>
    </w:p>
    <w:p>
      <w:pPr>
        <w:pStyle w:val="ListBullet"/>
        <w:spacing w:after="40"/>
      </w:pPr>
      <w:r>
        <w:rPr>
          <w:sz w:val="21"/>
        </w:rPr>
        <w:t>The 1/2/3-bed rents are fairly consistent (low variation).</w:t>
      </w:r>
    </w:p>
    <w:p>
      <w:r>
        <w:rPr>
          <w:i/>
          <w:color w:val="606060"/>
          <w:sz w:val="19"/>
        </w:rPr>
        <w:t>Score (0–1, higher = tighter): 40% how close LHA is to market rent, 30% how close social rent is to market rent, 30% how consistent the 1–3 bed rents are.</w:t>
      </w:r>
    </w:p>
    <w:p>
      <w:r>
        <w:rPr>
          <w:b/>
          <w:color w:val="2C6E9E"/>
          <w:sz w:val="24"/>
        </w:rPr>
        <w:t>The pattern the data reveals</w:t>
      </w:r>
    </w:p>
    <w:p>
      <w:pPr>
        <w:pStyle w:val="ListBullet"/>
        <w:spacing w:after="40"/>
      </w:pPr>
      <w:r>
        <w:rPr>
          <w:sz w:val="21"/>
        </w:rPr>
        <w:t>LHA sits close to market rent almost everywhere — it is set at the 30th percentile of local rents, so even Cambridge and Guildford score well on this alone.</w:t>
      </w:r>
    </w:p>
    <w:p>
      <w:pPr>
        <w:pStyle w:val="ListBullet"/>
        <w:spacing w:after="40"/>
      </w:pPr>
      <w:r>
        <w:rPr>
          <w:sz w:val="21"/>
        </w:rPr>
        <w:t>Social rent barely varies nationally (~£380–£490/mo here), while market rent ranges from ~£475 to ~£1,400.</w:t>
      </w:r>
    </w:p>
    <w:p>
      <w:pPr>
        <w:pStyle w:val="ListBullet"/>
        <w:spacing w:after="40"/>
      </w:pPr>
      <w:r>
        <w:rPr>
          <w:b/>
          <w:sz w:val="21"/>
        </w:rPr>
        <w:t xml:space="preserve">Result: </w:t>
      </w:r>
      <w:r>
        <w:rPr>
          <w:sz w:val="21"/>
        </w:rPr>
        <w:t>So all four rent levels only line up where market rents are low — the northern signature.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7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sz="6" w:space="2" w:color="2C6E9E"/>
        </w:pBdr>
      </w:pPr>
      <w:r>
        <w:rPr>
          <w:b/>
          <w:color w:val="1F3B57"/>
          <w:sz w:val="32"/>
        </w:rPr>
        <w:t>Measured results — Top 20 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432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52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944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10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Mkt 2-bed</w:t>
            </w:r>
          </w:p>
        </w:tc>
        <w:tc>
          <w:tcPr>
            <w:tcW w:type="dxa" w:w="108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LHA 2-bed</w:t>
            </w:r>
          </w:p>
        </w:tc>
        <w:tc>
          <w:tcPr>
            <w:tcW w:type="dxa" w:w="1224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Social 2-bed</w:t>
            </w:r>
          </w:p>
        </w:tc>
        <w:tc>
          <w:tcPr>
            <w:tcW w:type="dxa" w:w="864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Score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Burnley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£425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0.928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Hartlepool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£500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£441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0.921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Redcar and Cleveland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£461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0.906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Hyndburn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£495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£403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0.889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Middlesbrough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£450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0.888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Barrow-in-Furness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£550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£499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£493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0.886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South Tyneside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£549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£396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0.883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NE Lincs (Grimsby)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Yorks &amp; Humber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£525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£479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£426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0.883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 Lincs (Scunthorpe)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Yorks &amp; Humber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0.879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Pendle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£520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£404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0.879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County Durham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£399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£390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0.875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Kingston upon Hull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Yorks &amp; Humber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£495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£407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0.875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Rotherham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Yorks &amp; Humber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£401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0.872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Scarborough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Yorks &amp; Humber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£600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£549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£493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0.871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Gateshead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£549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£406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0.869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Blackburn with Darwen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£524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£412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0.867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Blackpool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£540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£404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0.858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Preston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West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£600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£573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£422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0.850</w:t>
            </w:r>
          </w:p>
        </w:tc>
      </w:tr>
      <w:tr>
        <w:tc>
          <w:tcPr>
            <w:tcW w:type="dxa" w:w="432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Sunderland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North East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0.850</w:t>
            </w:r>
          </w:p>
        </w:tc>
      </w:tr>
      <w:tr>
        <w:tc>
          <w:tcPr>
            <w:tcW w:type="dxa" w:w="432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52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Stoke-on-Trent</w:t>
            </w:r>
          </w:p>
        </w:tc>
        <w:tc>
          <w:tcPr>
            <w:tcW w:type="dxa" w:w="194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West Midlands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£515</w:t>
            </w:r>
          </w:p>
        </w:tc>
        <w:tc>
          <w:tcPr>
            <w:tcW w:type="dxa" w:w="108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£479</w:t>
            </w:r>
          </w:p>
        </w:tc>
        <w:tc>
          <w:tcPr>
            <w:tcW w:type="dxa" w:w="122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£380</w:t>
            </w:r>
          </w:p>
        </w:tc>
        <w:tc>
          <w:tcPr>
            <w:tcW w:type="dxa" w:w="86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0.846</w:t>
            </w:r>
          </w:p>
        </w:tc>
      </w:tr>
    </w:tbl>
    <w:p>
      <w:r>
        <w:rPr>
          <w:i/>
          <w:color w:val="606060"/>
          <w:sz w:val="17"/>
        </w:rPr>
        <w:t>Market rents are from the same period the frozen LHA is based on (Oct 2022–Sep 2023), so this shows how closely the layers are designed to sit — today's gap between market rent and LHA is wider. Full 97-area table in the accompanying spreadsheet/CSV.</w:t>
      </w:r>
    </w:p>
    <w:p/>
    <w:p>
      <w:r>
        <w:rPr>
          <w:b/>
          <w:color w:val="2C6E9E"/>
          <w:sz w:val="24"/>
        </w:rPr>
        <w:t>Regional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889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gio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88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sz="6" w:space="2" w:color="2C6E9E"/>
        </w:pBdr>
      </w:pPr>
      <w:r>
        <w:rPr>
          <w:b/>
          <w:color w:val="1F3B57"/>
          <w:sz w:val="32"/>
        </w:rPr>
        <w:t>Top 5 investment picks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0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ur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0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2C6E9E"/>
          <w:sz w:val="24"/>
        </w:rPr>
        <w:t>1 · Teesside — Hartlepool / Redcar / Middlesbrough</w:t>
      </w:r>
    </w:p>
    <w:p>
      <w:pPr>
        <w:pStyle w:val="ListBullet"/>
        <w:spacing w:after="40"/>
      </w:pPr>
      <w:r>
        <w:rPr>
          <w:b/>
          <w:sz w:val="21"/>
        </w:rPr>
        <w:t xml:space="preserve">Why: </w:t>
      </w:r>
      <w:r>
        <w:rPr>
          <w:sz w:val="21"/>
        </w:rPr>
        <w:t>Elite convergence (Hartlepool #2, Redcar #3, Middlesbrough #5) with the clearest new-demand story: Teesworks / Freeport and energy investment.</w:t>
      </w:r>
    </w:p>
    <w:p>
      <w:pPr>
        <w:pStyle w:val="ListBullet"/>
        <w:spacing w:after="40"/>
      </w:pPr>
      <w:r>
        <w:rPr>
          <w:b/>
          <w:sz w:val="21"/>
        </w:rPr>
        <w:t xml:space="preserve">Watch: </w:t>
      </w:r>
      <w:r>
        <w:rPr>
          <w:sz w:val="21"/>
        </w:rPr>
        <w:t>Keep to the regeneration footprint; avoid deprived peripheral estates.</w:t>
      </w:r>
    </w:p>
    <w:p>
      <w:r>
        <w:rPr>
          <w:b/>
          <w:color w:val="2C6E9E"/>
          <w:sz w:val="24"/>
        </w:rPr>
        <w:t>2 · Kingston upon Hull  (#12)</w:t>
      </w:r>
    </w:p>
    <w:p>
      <w:pPr>
        <w:pStyle w:val="ListBullet"/>
        <w:spacing w:after="40"/>
      </w:pPr>
      <w:r>
        <w:rPr>
          <w:b/>
          <w:sz w:val="21"/>
        </w:rPr>
        <w:t xml:space="preserve">Why: </w:t>
      </w:r>
      <w:r>
        <w:rPr>
          <w:sz w:val="21"/>
        </w:rPr>
        <w:t>Top-tier convergence, a large deep market, and a real demand engine — Humber energy cluster, port, university.</w:t>
      </w:r>
    </w:p>
    <w:p>
      <w:pPr>
        <w:pStyle w:val="ListBullet"/>
        <w:spacing w:after="40"/>
      </w:pPr>
      <w:r>
        <w:rPr>
          <w:b/>
          <w:sz w:val="21"/>
        </w:rPr>
        <w:t xml:space="preserve">Watch: </w:t>
      </w:r>
      <w:r>
        <w:rPr>
          <w:sz w:val="21"/>
        </w:rPr>
        <w:t>Flood-zone and older-stock demand pockets; social rents unusually low.</w:t>
      </w:r>
    </w:p>
    <w:p>
      <w:r>
        <w:rPr>
          <w:b/>
          <w:color w:val="2C6E9E"/>
          <w:sz w:val="24"/>
        </w:rPr>
        <w:t>3 · Doncaster  (#22)</w:t>
      </w:r>
    </w:p>
    <w:p>
      <w:pPr>
        <w:pStyle w:val="ListBullet"/>
        <w:spacing w:after="40"/>
      </w:pPr>
      <w:r>
        <w:rPr>
          <w:b/>
          <w:sz w:val="21"/>
        </w:rPr>
        <w:t xml:space="preserve">Why: </w:t>
      </w:r>
      <w:r>
        <w:rPr>
          <w:sz w:val="21"/>
        </w:rPr>
        <w:t>Strong convergence with a genuine logistics / rail employment base and Sheffield city-region pull.</w:t>
      </w:r>
    </w:p>
    <w:p>
      <w:pPr>
        <w:pStyle w:val="ListBullet"/>
        <w:spacing w:after="40"/>
      </w:pPr>
      <w:r>
        <w:rPr>
          <w:b/>
          <w:sz w:val="21"/>
        </w:rPr>
        <w:t xml:space="preserve">Watch: </w:t>
      </w:r>
      <w:r>
        <w:rPr>
          <w:sz w:val="21"/>
        </w:rPr>
        <w:t>Post-industrial low-demand micro-markets.</w:t>
      </w:r>
    </w:p>
    <w:p>
      <w:r>
        <w:rPr>
          <w:b/>
          <w:color w:val="2C6E9E"/>
          <w:sz w:val="24"/>
        </w:rPr>
        <w:t>4 · Sunderland  (#19)</w:t>
      </w:r>
    </w:p>
    <w:p>
      <w:pPr>
        <w:pStyle w:val="ListBullet"/>
        <w:spacing w:after="40"/>
      </w:pPr>
      <w:r>
        <w:rPr>
          <w:b/>
          <w:sz w:val="21"/>
        </w:rPr>
        <w:t xml:space="preserve">Why: </w:t>
      </w:r>
      <w:r>
        <w:rPr>
          <w:sz w:val="21"/>
        </w:rPr>
        <w:t>Strong convergence plus the Riverside Sunderland regeneration and automotive employment.</w:t>
      </w:r>
    </w:p>
    <w:p>
      <w:pPr>
        <w:pStyle w:val="ListBullet"/>
        <w:spacing w:after="40"/>
      </w:pPr>
      <w:r>
        <w:rPr>
          <w:b/>
          <w:sz w:val="21"/>
        </w:rPr>
        <w:t xml:space="preserve">Watch: </w:t>
      </w:r>
      <w:r>
        <w:rPr>
          <w:sz w:val="21"/>
        </w:rPr>
        <w:t>Peripheral estates weaker; single-employer exposure.</w:t>
      </w:r>
    </w:p>
    <w:p>
      <w:r>
        <w:rPr>
          <w:b/>
          <w:color w:val="2C6E9E"/>
          <w:sz w:val="24"/>
        </w:rPr>
        <w:t>5 · Stoke-on-Trent  (#20)</w:t>
      </w:r>
    </w:p>
    <w:p>
      <w:pPr>
        <w:pStyle w:val="ListBullet"/>
        <w:spacing w:after="40"/>
      </w:pPr>
      <w:r>
        <w:rPr>
          <w:b/>
          <w:sz w:val="21"/>
        </w:rPr>
        <w:t xml:space="preserve">Why: </w:t>
      </w:r>
      <w:r>
        <w:rPr>
          <w:sz w:val="21"/>
        </w:rPr>
        <w:t>Strong convergence with regeneration and affordability-led in-migration.</w:t>
      </w:r>
    </w:p>
    <w:p>
      <w:pPr>
        <w:pStyle w:val="ListBullet"/>
        <w:spacing w:after="40"/>
      </w:pPr>
      <w:r>
        <w:rPr>
          <w:b/>
          <w:sz w:val="21"/>
        </w:rPr>
        <w:t xml:space="preserve">Watch: </w:t>
      </w:r>
      <w:r>
        <w:rPr>
          <w:sz w:val="21"/>
        </w:rPr>
        <w:t>Pockets of low-demand terraced stock; buy in sound sub-markets.</w:t>
      </w:r>
    </w:p>
    <w:p>
      <w:r>
        <w:rPr>
          <w:i/>
          <w:color w:val="606060"/>
          <w:sz w:val="19"/>
        </w:rPr>
        <w:t>Highest pure convergence but thinner demand: Burnley / Hyndburn / Pendle / Blackburn (East Lancs), Grimsby, Scunthorpe, Rotherham. Blackpool scores well but stays a watch (weak demand, poor stock).</w:t>
      </w:r>
    </w:p>
    <w:p>
      <w:r>
        <w:br w:type="page"/>
      </w:r>
    </w:p>
    <w:p>
      <w:pPr>
        <w:pBdr>
          <w:bottom w:val="single" w:sz="6" w:space="2" w:color="2C6E9E"/>
        </w:pBdr>
      </w:pPr>
      <w:r>
        <w:rPr>
          <w:b/>
          <w:color w:val="1F3B57"/>
          <w:sz w:val="32"/>
        </w:rPr>
        <w:t>Operators active in the stream</w:t>
      </w:r>
    </w:p>
    <w:p>
      <w:r>
        <w:rPr>
          <w:i/>
          <w:color w:val="606060"/>
          <w:sz w:val="19"/>
        </w:rPr>
        <w:t>Registered providers (RP) and council ALMOs already delivering social &amp; affordable rent in each pick. RSH grades: G=governance, V=viability, C=consumer (1 = strongest). * = widely-reported figure.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4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Organisation</w:t>
            </w:r>
          </w:p>
        </w:tc>
        <w:tc>
          <w:tcPr>
            <w:tcW w:type="dxa" w:w="936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Homes</w:t>
            </w:r>
          </w:p>
        </w:tc>
        <w:tc>
          <w:tcPr>
            <w:tcW w:type="dxa" w:w="1872"/>
            <w:shd w:val="clear" w:fill="1F3B5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RSH (G/V/C)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Teesside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Thirteen Group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~34,000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V1 / C1</w:t>
            </w:r>
          </w:p>
        </w:tc>
      </w:tr>
      <w:tr>
        <w:tc>
          <w:tcPr>
            <w:tcW w:type="dxa" w:w="1440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Teesside</w:t>
            </w:r>
          </w:p>
        </w:tc>
        <w:tc>
          <w:tcPr>
            <w:tcW w:type="dxa" w:w="338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Beyond Housing</w:t>
            </w:r>
          </w:p>
        </w:tc>
        <w:tc>
          <w:tcPr>
            <w:tcW w:type="dxa" w:w="936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~15,350</w:t>
            </w:r>
          </w:p>
        </w:tc>
        <w:tc>
          <w:tcPr>
            <w:tcW w:type="dxa" w:w="1872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V1 / 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Teesside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North Star Housing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~4,000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V1 / —</w:t>
            </w:r>
          </w:p>
        </w:tc>
      </w:tr>
      <w:tr>
        <w:tc>
          <w:tcPr>
            <w:tcW w:type="dxa" w:w="1440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Hull</w:t>
            </w:r>
          </w:p>
        </w:tc>
        <w:tc>
          <w:tcPr>
            <w:tcW w:type="dxa" w:w="338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Riverside</w:t>
            </w:r>
          </w:p>
        </w:tc>
        <w:tc>
          <w:tcPr>
            <w:tcW w:type="dxa" w:w="936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~75,000*</w:t>
            </w:r>
          </w:p>
        </w:tc>
        <w:tc>
          <w:tcPr>
            <w:tcW w:type="dxa" w:w="1872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V2 / 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Hull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Sanctuary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~120,000*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V2 / C2</w:t>
            </w:r>
          </w:p>
        </w:tc>
      </w:tr>
      <w:tr>
        <w:tc>
          <w:tcPr>
            <w:tcW w:type="dxa" w:w="1440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Hull</w:t>
            </w:r>
          </w:p>
        </w:tc>
        <w:tc>
          <w:tcPr>
            <w:tcW w:type="dxa" w:w="338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Pickering &amp; Ferens Homes</w:t>
            </w:r>
          </w:p>
        </w:tc>
        <w:tc>
          <w:tcPr>
            <w:tcW w:type="dxa" w:w="936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~1,400</w:t>
            </w:r>
          </w:p>
        </w:tc>
        <w:tc>
          <w:tcPr>
            <w:tcW w:type="dxa" w:w="1872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n/v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Doncaster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St Leger Homes of Doncaster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ALMO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~20,000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(council-held)</w:t>
            </w:r>
          </w:p>
        </w:tc>
      </w:tr>
      <w:tr>
        <w:tc>
          <w:tcPr>
            <w:tcW w:type="dxa" w:w="1440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Doncaster</w:t>
            </w:r>
          </w:p>
        </w:tc>
        <w:tc>
          <w:tcPr>
            <w:tcW w:type="dxa" w:w="338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Together Housing</w:t>
            </w:r>
          </w:p>
        </w:tc>
        <w:tc>
          <w:tcPr>
            <w:tcW w:type="dxa" w:w="936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~36,000</w:t>
            </w:r>
          </w:p>
        </w:tc>
        <w:tc>
          <w:tcPr>
            <w:tcW w:type="dxa" w:w="1872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V2 / —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Doncaster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Housing 21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~23,300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V1 / C1</w:t>
            </w:r>
          </w:p>
        </w:tc>
      </w:tr>
      <w:tr>
        <w:tc>
          <w:tcPr>
            <w:tcW w:type="dxa" w:w="1440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Sunderland</w:t>
            </w:r>
          </w:p>
        </w:tc>
        <w:tc>
          <w:tcPr>
            <w:tcW w:type="dxa" w:w="338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Gentoo Group</w:t>
            </w:r>
          </w:p>
        </w:tc>
        <w:tc>
          <w:tcPr>
            <w:tcW w:type="dxa" w:w="936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~29,000</w:t>
            </w:r>
          </w:p>
        </w:tc>
        <w:tc>
          <w:tcPr>
            <w:tcW w:type="dxa" w:w="1872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V2 / C1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Stoke-on-Trent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Aspire Housing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~9,300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G1 / V2 / C1</w:t>
            </w:r>
          </w:p>
        </w:tc>
      </w:tr>
      <w:tr>
        <w:tc>
          <w:tcPr>
            <w:tcW w:type="dxa" w:w="1440"/>
            <w:shd w:val="clear" w:fill="EEF3F7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Stoke-on-Trent</w:t>
            </w:r>
          </w:p>
        </w:tc>
        <w:tc>
          <w:tcPr>
            <w:tcW w:type="dxa" w:w="3384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Honeycomb Group (Staffs Housing)</w:t>
            </w:r>
          </w:p>
        </w:tc>
        <w:tc>
          <w:tcPr>
            <w:tcW w:type="dxa" w:w="936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~3,118</w:t>
            </w:r>
          </w:p>
        </w:tc>
        <w:tc>
          <w:tcPr>
            <w:tcW w:type="dxa" w:w="1872"/>
            <w:shd w:val="clear" w:fill="EEF3F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n/v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Stoke-on-Trent</w:t>
            </w:r>
          </w:p>
        </w:tc>
        <w:tc>
          <w:tcPr>
            <w:tcW w:type="dxa" w:w="338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EPIC Housing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RP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~1,400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n/v</w:t>
            </w:r>
          </w:p>
        </w:tc>
      </w:tr>
    </w:tbl>
    <w:p>
      <w:r>
        <w:rPr>
          <w:i/>
          <w:color w:val="606060"/>
          <w:sz w:val="17"/>
        </w:rPr>
        <w:t>Maps who is active — not an endorsement or a claim of current tenders. Verify current pipeline/JV appetite and re-check RSH judgements before acting.</w:t>
      </w:r>
    </w:p>
    <w:p>
      <w:r>
        <w:br w:type="page"/>
      </w:r>
    </w:p>
    <w:p>
      <w:pPr>
        <w:pBdr>
          <w:bottom w:val="single" w:sz="6" w:space="2" w:color="2C6E9E"/>
        </w:pBdr>
      </w:pPr>
      <w:r>
        <w:rPr>
          <w:b/>
          <w:color w:val="1F3B57"/>
          <w:sz w:val="32"/>
        </w:rPr>
        <w:t>Method, data &amp; caveats</w:t>
      </w:r>
    </w:p>
    <w:p>
      <w:r>
        <w:rPr>
          <w:b/>
          <w:color w:val="2C6E9E"/>
          <w:sz w:val="24"/>
        </w:rPr>
        <w:t>Data sources (official, open)</w:t>
      </w:r>
    </w:p>
    <w:p>
      <w:pPr>
        <w:pStyle w:val="ListBullet"/>
        <w:spacing w:after="40"/>
      </w:pPr>
      <w:r>
        <w:rPr>
          <w:sz w:val="21"/>
        </w:rPr>
        <w:t>Market rent — ONS/VOA Private Rental Market Statistics: median monthly rent by bedroom, by local authority (Oct 2022–Sep 2023).</w:t>
      </w:r>
    </w:p>
    <w:p>
      <w:pPr>
        <w:pStyle w:val="ListBullet"/>
        <w:spacing w:after="40"/>
      </w:pPr>
      <w:r>
        <w:rPr>
          <w:sz w:val="21"/>
        </w:rPr>
        <w:t>LHA — DWP/VOA rates set in April 2024 and frozen since (carried forward to 2026/27), 1/2/3-bed, by Broad Rental Market Area.</w:t>
      </w:r>
    </w:p>
    <w:p>
      <w:pPr>
        <w:pStyle w:val="ListBullet"/>
        <w:spacing w:after="40"/>
      </w:pPr>
      <w:r>
        <w:rPr>
          <w:sz w:val="21"/>
        </w:rPr>
        <w:t>Social rent — Regulator of Social Housing 2024/25: per-local-authority, per-bed-size general-needs rent.</w:t>
      </w:r>
    </w:p>
    <w:p>
      <w:pPr>
        <w:pStyle w:val="ListBullet"/>
        <w:spacing w:after="40"/>
      </w:pPr>
      <w:r>
        <w:rPr>
          <w:sz w:val="21"/>
        </w:rPr>
        <w:t>Affordable Rent — estimated at 80% of market (the policy ceiling is 'up to 80%').</w:t>
      </w:r>
    </w:p>
    <w:p>
      <w:r>
        <w:rPr>
          <w:b/>
          <w:color w:val="2C6E9E"/>
          <w:sz w:val="24"/>
        </w:rPr>
        <w:t>How it was built</w:t>
      </w:r>
    </w:p>
    <w:p>
      <w:pPr>
        <w:pStyle w:val="ListBullet"/>
        <w:spacing w:after="40"/>
      </w:pPr>
      <w:r>
        <w:rPr>
          <w:sz w:val="21"/>
        </w:rPr>
        <w:t>Three layers joined per area; convergence score computed and ranked (see score formula).</w:t>
      </w:r>
    </w:p>
    <w:p>
      <w:pPr>
        <w:pStyle w:val="ListBullet"/>
        <w:spacing w:after="40"/>
      </w:pPr>
      <w:r>
        <w:rPr>
          <w:sz w:val="21"/>
        </w:rPr>
        <w:t>92 of 97 areas use local social rent; 5 use the England average as fallback.</w:t>
      </w:r>
    </w:p>
    <w:p>
      <w:pPr>
        <w:pStyle w:val="ListBullet"/>
        <w:spacing w:after="40"/>
      </w:pPr>
      <w:r>
        <w:rPr>
          <w:sz w:val="21"/>
        </w:rPr>
        <w:t>LA→BRMA geography: 56 exact matches + 37 web-verified + 4 genuinely multi-BRMA (flagged).</w:t>
      </w:r>
    </w:p>
    <w:p>
      <w:r>
        <w:rPr>
          <w:b/>
          <w:color w:val="2C6E9E"/>
          <w:sz w:val="24"/>
        </w:rPr>
        <w:t>Caveats</w:t>
      </w:r>
    </w:p>
    <w:p>
      <w:pPr>
        <w:pStyle w:val="ListBullet"/>
        <w:spacing w:after="40"/>
      </w:pPr>
      <w:r>
        <w:rPr>
          <w:sz w:val="21"/>
        </w:rPr>
        <w:t>Shows the designed alignment, not the current gap — rents are from the period the frozen LHA is based on; today's market-vs-LHA gap is wider.</w:t>
      </w:r>
    </w:p>
    <w:p>
      <w:pPr>
        <w:pStyle w:val="ListBullet"/>
        <w:spacing w:after="40"/>
      </w:pPr>
      <w:r>
        <w:rPr>
          <w:sz w:val="21"/>
        </w:rPr>
        <w:t>A rent-alignment screen, not a demand, yield or building-quality model — pair with local demand work.</w:t>
      </w:r>
    </w:p>
    <w:p>
      <w:pPr>
        <w:pStyle w:val="ListBullet"/>
        <w:spacing w:after="40"/>
      </w:pPr>
      <w:r>
        <w:rPr>
          <w:sz w:val="21"/>
        </w:rPr>
        <w:t>Small-sample areas are flagged in the data; treat cautiously.</w:t>
      </w:r>
    </w:p>
    <w:p>
      <w:pPr>
        <w:pStyle w:val="ListBullet"/>
        <w:spacing w:after="40"/>
      </w:pPr>
      <w:r>
        <w:rPr>
          <w:sz w:val="21"/>
        </w:rPr>
        <w:t>97 areas scored (not all ~300) — full national coverage needs the official local-authority-to-BRMA lookup.</w:t>
      </w:r>
    </w:p>
    <w:p>
      <w:r>
        <w:rPr>
          <w:b/>
          <w:color w:val="2C6E9E"/>
          <w:sz w:val="24"/>
        </w:rPr>
        <w:t>Sources</w:t>
      </w:r>
    </w:p>
    <w:p>
      <w:r>
        <w:rPr>
          <w:i w:val="0"/>
          <w:color w:val="606060"/>
          <w:sz w:val="18"/>
        </w:rPr>
        <w:t>ONS Private Rental Market Statistics · DWP/VOA Local Housing Allowance rates · Regulator of Social Housing, Registered provider social housing stock and rents 2024/25 · RSH regulatory judgements (provider grades). All Open Government Licence. Reproducible via run_measured_ranking.py.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