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jc w:val="center"/>
        <w:rPr/>
      </w:pPr>
      <w:r>
        <w:rPr>
          <w:rFonts w:eastAsia="Arial" w:cs="Arial"/>
          <w:b/>
          <w:bCs/>
          <w:color w:val="1F4E79"/>
          <w:sz w:val="24"/>
          <w:szCs w:val="24"/>
        </w:rPr>
        <w:t>Introduction à la Sécurité Informatique et des Réseaux</w:t>
      </w:r>
    </w:p>
    <w:p>
      <w:pPr>
        <w:pStyle w:val="Normal"/>
        <w:pBdr>
          <w:bottom w:val="single" w:sz="8" w:space="0" w:color="2E75B6"/>
        </w:pBdr>
        <w:spacing w:before="60" w:after="60"/>
        <w:jc w:val="center"/>
        <w:rPr/>
      </w:pPr>
      <w:r>
        <w:rPr>
          <w:rFonts w:eastAsia="Arial" w:cs="Arial"/>
          <w:b/>
          <w:bCs/>
          <w:color w:val="2E75B6"/>
          <w:sz w:val="28"/>
          <w:szCs w:val="28"/>
        </w:rPr>
        <w:t>Labo 1 — Modélisation des Menaces — Trilogie CIA</w:t>
      </w:r>
    </w:p>
    <w:p>
      <w:pPr>
        <w:pStyle w:val="Normal"/>
        <w:spacing w:before="80" w:after="80"/>
        <w:jc w:val="center"/>
        <w:rPr/>
      </w:pPr>
      <w:r>
        <w:rPr>
          <w:rFonts w:eastAsia="Arial" w:cs="Arial"/>
          <w:i/>
          <w:iCs/>
          <w:color w:val="555555"/>
          <w:sz w:val="22"/>
          <w:szCs w:val="22"/>
        </w:rPr>
        <w:t>Scénario : Hôpital National du Wakanda (HNW)</w:t>
      </w:r>
    </w:p>
    <w:p>
      <w:pPr>
        <w:pStyle w:val="Normal"/>
        <w:spacing w:before="80" w:after="80"/>
        <w:rPr/>
      </w:pPr>
      <w:r>
        <w:rPr/>
      </w:r>
    </w:p>
    <w:p>
      <w:pPr>
        <w:pStyle w:val="Heading1"/>
        <w:pBdr>
          <w:bottom w:val="single" w:sz="6" w:space="0" w:color="2E75B6"/>
        </w:pBdr>
        <w:spacing w:before="300" w:after="150"/>
        <w:rPr/>
      </w:pPr>
      <w:r>
        <w:rPr>
          <w:rFonts w:eastAsia="Arial" w:cs="Arial" w:ascii="Arial" w:hAnsi="Arial"/>
          <w:b/>
          <w:bCs/>
          <w:color w:val="1F4E79"/>
          <w:sz w:val="28"/>
          <w:szCs w:val="28"/>
        </w:rPr>
        <w:t xml:space="preserve">Groupe : </w:t>
        <w:br/>
        <w:t xml:space="preserve">Membre du groupe : </w:t>
        <w:br/>
        <w:t>-Ibrahima Watt</w:t>
        <w:br/>
        <w:t>-Sekou Diao</w:t>
        <w:br/>
        <w:t>-Bassirou Diao</w:t>
        <w:br/>
        <w:t>-Adama Seck</w:t>
      </w:r>
    </w:p>
    <w:p>
      <w:pPr>
        <w:pStyle w:val="Heading1"/>
        <w:pBdr>
          <w:bottom w:val="single" w:sz="6" w:space="0" w:color="2E75B6"/>
        </w:pBdr>
        <w:spacing w:before="300" w:after="150"/>
        <w:rPr/>
      </w:pPr>
      <w:r>
        <w:rPr>
          <w:rFonts w:eastAsia="Arial" w:cs="Arial" w:ascii="Arial" w:hAnsi="Arial"/>
          <w:b/>
          <w:bCs/>
          <w:color w:val="1F4E79"/>
          <w:sz w:val="28"/>
          <w:szCs w:val="28"/>
        </w:rPr>
        <w:t>Partie A — Analyse de la Trilogie CIA</w:t>
      </w:r>
    </w:p>
    <w:p>
      <w:pPr>
        <w:pStyle w:val="Normal"/>
        <w:spacing w:before="80" w:after="80"/>
        <w:rPr/>
      </w:pPr>
      <w:r>
        <w:rPr>
          <w:rFonts w:eastAsia="Arial" w:cs="Arial"/>
          <w:sz w:val="20"/>
          <w:szCs w:val="20"/>
        </w:rPr>
        <w:t>Pour chaque scénario, nous identifions si la Confidentialité (C), l'Intégrité (I) et/ou la Disponibilité (D) sont affectées, avec justification.</w:t>
      </w:r>
    </w:p>
    <w:p>
      <w:pPr>
        <w:pStyle w:val="Normal"/>
        <w:spacing w:before="80" w:after="80"/>
        <w:rPr/>
      </w:pPr>
      <w:r>
        <w:rPr/>
      </w:r>
    </w:p>
    <w:tbl>
      <w:tblPr>
        <w:tblW w:w="9360" w:type="dxa"/>
        <w:jc w:val="left"/>
        <w:tblInd w:w="0" w:type="dxa"/>
        <w:tblLayout w:type="fixed"/>
        <w:tblCellMar>
          <w:top w:w="100" w:type="dxa"/>
          <w:left w:w="120" w:type="dxa"/>
          <w:bottom w:w="100" w:type="dxa"/>
          <w:right w:w="120" w:type="dxa"/>
        </w:tblCellMar>
      </w:tblPr>
      <w:tblGrid>
        <w:gridCol w:w="2500"/>
        <w:gridCol w:w="2199"/>
        <w:gridCol w:w="2202"/>
        <w:gridCol w:w="2458"/>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pPr>
            <w:r>
              <w:rPr>
                <w:rFonts w:eastAsia="Arial" w:cs="Arial"/>
                <w:b/>
                <w:bCs/>
                <w:color w:val="FFFFFF"/>
                <w:sz w:val="20"/>
                <w:szCs w:val="20"/>
              </w:rPr>
              <w:t>Scénario</w:t>
            </w:r>
          </w:p>
        </w:tc>
        <w:tc>
          <w:tcPr>
            <w:tcW w:w="2199"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pPr>
            <w:r>
              <w:rPr>
                <w:rFonts w:eastAsia="Arial" w:cs="Arial"/>
                <w:b/>
                <w:bCs/>
                <w:color w:val="FFFFFF"/>
                <w:sz w:val="20"/>
                <w:szCs w:val="20"/>
              </w:rPr>
              <w:t>C — Confidentialité</w:t>
            </w:r>
          </w:p>
        </w:tc>
        <w:tc>
          <w:tcPr>
            <w:tcW w:w="2202"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pPr>
            <w:r>
              <w:rPr>
                <w:rFonts w:eastAsia="Arial" w:cs="Arial"/>
                <w:b/>
                <w:bCs/>
                <w:color w:val="FFFFFF"/>
                <w:sz w:val="20"/>
                <w:szCs w:val="20"/>
              </w:rPr>
              <w:t>I — Intégrité</w:t>
            </w:r>
          </w:p>
        </w:tc>
        <w:tc>
          <w:tcPr>
            <w:tcW w:w="2458"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pPr>
            <w:r>
              <w:rPr>
                <w:rFonts w:eastAsia="Arial" w:cs="Arial"/>
                <w:b/>
                <w:bCs/>
                <w:color w:val="FFFFFF"/>
                <w:sz w:val="20"/>
                <w:szCs w:val="20"/>
              </w:rPr>
              <w:t>D — Disponibilité</w:t>
            </w:r>
          </w:p>
        </w:tc>
      </w:tr>
      <w:tr>
        <w:trPr/>
        <w:tc>
          <w:tcPr>
            <w:tcW w:w="2500" w:type="dxa"/>
            <w:tcBorders>
              <w:top w:val="single" w:sz="2" w:space="0" w:color="CCCCCC"/>
              <w:left w:val="single" w:sz="2" w:space="0" w:color="CCCCCC"/>
              <w:bottom w:val="single" w:sz="2" w:space="0" w:color="CCCCCC"/>
              <w:right w:val="single" w:sz="2" w:space="0" w:color="CCCCCC"/>
            </w:tcBorders>
            <w:shd w:fill="F5F9FF" w:val="clear"/>
            <w:tcMar>
              <w:top w:w="80" w:type="dxa"/>
              <w:bottom w:w="80" w:type="dxa"/>
            </w:tcMar>
          </w:tcPr>
          <w:p>
            <w:pPr>
              <w:pStyle w:val="Normal"/>
              <w:rPr/>
            </w:pPr>
            <w:r>
              <w:rPr>
                <w:rFonts w:eastAsia="Arial" w:cs="Arial"/>
                <w:sz w:val="19"/>
                <w:szCs w:val="19"/>
              </w:rPr>
              <w:t>Un attaquant devine le mot de passe du Dr Seck et consulte des dossiers patients</w:t>
            </w:r>
          </w:p>
        </w:tc>
        <w:tc>
          <w:tcPr>
            <w:tcW w:w="2199" w:type="dxa"/>
            <w:tcBorders>
              <w:top w:val="single" w:sz="2" w:space="0" w:color="CCCCCC"/>
              <w:left w:val="single" w:sz="2" w:space="0" w:color="CCCCCC"/>
              <w:bottom w:val="single" w:sz="2" w:space="0" w:color="CCCCCC"/>
              <w:right w:val="single" w:sz="2" w:space="0" w:color="CCCCCC"/>
            </w:tcBorders>
            <w:shd w:fill="E8F5E9" w:val="clear"/>
            <w:tcMar>
              <w:top w:w="80" w:type="dxa"/>
              <w:bottom w:w="80" w:type="dxa"/>
            </w:tcMar>
          </w:tcPr>
          <w:p>
            <w:pPr>
              <w:pStyle w:val="Normal"/>
              <w:jc w:val="center"/>
              <w:rPr/>
            </w:pPr>
            <w:r>
              <w:rPr>
                <w:rFonts w:eastAsia="Arial" w:cs="Arial"/>
                <w:b/>
                <w:bCs/>
                <w:color w:val="1B5E20"/>
                <w:sz w:val="20"/>
                <w:szCs w:val="20"/>
              </w:rPr>
              <w:t>Affectée</w:t>
            </w:r>
          </w:p>
          <w:p>
            <w:pPr>
              <w:pStyle w:val="Normal"/>
              <w:rPr/>
            </w:pPr>
            <w:r>
              <w:rPr>
                <w:rFonts w:eastAsia="Arial" w:cs="Arial"/>
                <w:i/>
                <w:iCs/>
                <w:color w:val="424242"/>
                <w:sz w:val="18"/>
                <w:szCs w:val="18"/>
              </w:rPr>
              <w:t>Des données patients confidentielles sont lues par un tiers non autorisé.</w:t>
            </w:r>
          </w:p>
        </w:tc>
        <w:tc>
          <w:tcPr>
            <w:tcW w:w="2202"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center"/>
              <w:rPr/>
            </w:pPr>
            <w:r>
              <w:rPr>
                <w:rFonts w:eastAsia="Arial" w:cs="Arial"/>
                <w:b w:val="false"/>
                <w:bCs w:val="false"/>
                <w:color w:val="757575"/>
                <w:sz w:val="20"/>
                <w:szCs w:val="20"/>
              </w:rPr>
              <w:t xml:space="preserve">☐ </w:t>
            </w:r>
            <w:r>
              <w:rPr>
                <w:rFonts w:eastAsia="Arial" w:cs="Arial"/>
                <w:b w:val="false"/>
                <w:bCs w:val="false"/>
                <w:color w:val="757575"/>
                <w:sz w:val="20"/>
                <w:szCs w:val="20"/>
              </w:rPr>
              <w:t>Non affectée</w:t>
            </w:r>
          </w:p>
          <w:p>
            <w:pPr>
              <w:pStyle w:val="Normal"/>
              <w:rPr/>
            </w:pPr>
            <w:r>
              <w:rPr>
                <w:rFonts w:eastAsia="Arial" w:cs="Arial"/>
                <w:i/>
                <w:iCs/>
                <w:color w:val="424242"/>
                <w:sz w:val="18"/>
                <w:szCs w:val="18"/>
              </w:rPr>
              <w:t>Les données ne sont pas modifiées, seulement consultées.</w:t>
            </w:r>
          </w:p>
        </w:tc>
        <w:tc>
          <w:tcPr>
            <w:tcW w:w="2458"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center"/>
              <w:rPr/>
            </w:pPr>
            <w:r>
              <w:rPr>
                <w:rFonts w:eastAsia="Arial" w:cs="Arial"/>
                <w:b w:val="false"/>
                <w:bCs w:val="false"/>
                <w:color w:val="757575"/>
                <w:sz w:val="20"/>
                <w:szCs w:val="20"/>
              </w:rPr>
              <w:t xml:space="preserve">☐ </w:t>
            </w:r>
            <w:r>
              <w:rPr>
                <w:rFonts w:eastAsia="Arial" w:cs="Arial"/>
                <w:b w:val="false"/>
                <w:bCs w:val="false"/>
                <w:color w:val="757575"/>
                <w:sz w:val="20"/>
                <w:szCs w:val="20"/>
              </w:rPr>
              <w:t>Non affectée</w:t>
            </w:r>
          </w:p>
          <w:p>
            <w:pPr>
              <w:pStyle w:val="Normal"/>
              <w:rPr/>
            </w:pPr>
            <w:r>
              <w:rPr>
                <w:rFonts w:eastAsia="Arial" w:cs="Arial"/>
                <w:i/>
                <w:iCs/>
                <w:color w:val="424242"/>
                <w:sz w:val="18"/>
                <w:szCs w:val="18"/>
              </w:rPr>
              <w:t>Le système reste disponible.</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Un employé mécontent modifie la liste d'allergies d'un patient dans SanteNum</w:t>
            </w:r>
          </w:p>
        </w:tc>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center"/>
              <w:rPr/>
            </w:pPr>
            <w:r>
              <w:rPr>
                <w:rFonts w:eastAsia="Arial" w:cs="Arial"/>
                <w:b w:val="false"/>
                <w:bCs w:val="false"/>
                <w:color w:val="757575"/>
                <w:sz w:val="20"/>
                <w:szCs w:val="20"/>
              </w:rPr>
              <w:t xml:space="preserve">☐ </w:t>
            </w:r>
            <w:r>
              <w:rPr>
                <w:rFonts w:eastAsia="Arial" w:cs="Arial"/>
                <w:b w:val="false"/>
                <w:bCs w:val="false"/>
                <w:color w:val="757575"/>
                <w:sz w:val="20"/>
                <w:szCs w:val="20"/>
              </w:rPr>
              <w:t>Non affectée</w:t>
            </w:r>
          </w:p>
          <w:p>
            <w:pPr>
              <w:pStyle w:val="Normal"/>
              <w:rPr/>
            </w:pPr>
            <w:r>
              <w:rPr>
                <w:rFonts w:eastAsia="Arial" w:cs="Arial"/>
                <w:i/>
                <w:iCs/>
                <w:color w:val="424242"/>
                <w:sz w:val="18"/>
                <w:szCs w:val="18"/>
              </w:rPr>
              <w:t>Pas de divulgation externe.</w:t>
            </w:r>
          </w:p>
        </w:tc>
        <w:tc>
          <w:tcPr>
            <w:tcW w:w="2202" w:type="dxa"/>
            <w:tcBorders>
              <w:top w:val="single" w:sz="2" w:space="0" w:color="CCCCCC"/>
              <w:left w:val="single" w:sz="2" w:space="0" w:color="CCCCCC"/>
              <w:bottom w:val="single" w:sz="2" w:space="0" w:color="CCCCCC"/>
              <w:right w:val="single" w:sz="2" w:space="0" w:color="CCCCCC"/>
            </w:tcBorders>
            <w:shd w:fill="E8F5E9" w:val="clear"/>
            <w:tcMar>
              <w:top w:w="80" w:type="dxa"/>
              <w:bottom w:w="80" w:type="dxa"/>
            </w:tcMar>
          </w:tcPr>
          <w:p>
            <w:pPr>
              <w:pStyle w:val="Normal"/>
              <w:jc w:val="center"/>
              <w:rPr/>
            </w:pPr>
            <w:r>
              <w:rPr>
                <w:rFonts w:eastAsia="Arial" w:cs="Arial"/>
                <w:b/>
                <w:bCs/>
                <w:color w:val="1B5E20"/>
                <w:sz w:val="20"/>
                <w:szCs w:val="20"/>
              </w:rPr>
              <w:t>Affectée</w:t>
            </w:r>
          </w:p>
          <w:p>
            <w:pPr>
              <w:pStyle w:val="Normal"/>
              <w:rPr/>
            </w:pPr>
            <w:r>
              <w:rPr>
                <w:rFonts w:eastAsia="Arial" w:cs="Arial"/>
                <w:i/>
                <w:iCs/>
                <w:color w:val="424242"/>
                <w:sz w:val="18"/>
                <w:szCs w:val="18"/>
              </w:rPr>
              <w:t>Les données médicales sont falsifiées, menaçant l'exactitude du dossier.</w:t>
            </w:r>
          </w:p>
        </w:tc>
        <w:tc>
          <w:tcPr>
            <w:tcW w:w="2458"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center"/>
              <w:rPr/>
            </w:pPr>
            <w:r>
              <w:rPr>
                <w:rFonts w:eastAsia="Arial" w:cs="Arial"/>
                <w:b w:val="false"/>
                <w:bCs w:val="false"/>
                <w:color w:val="757575"/>
                <w:sz w:val="20"/>
                <w:szCs w:val="20"/>
              </w:rPr>
              <w:t xml:space="preserve">☐ </w:t>
            </w:r>
            <w:r>
              <w:rPr>
                <w:rFonts w:eastAsia="Arial" w:cs="Arial"/>
                <w:b w:val="false"/>
                <w:bCs w:val="false"/>
                <w:color w:val="757575"/>
                <w:sz w:val="20"/>
                <w:szCs w:val="20"/>
              </w:rPr>
              <w:t>Non affectée</w:t>
            </w:r>
          </w:p>
          <w:p>
            <w:pPr>
              <w:pStyle w:val="Normal"/>
              <w:rPr/>
            </w:pPr>
            <w:r>
              <w:rPr>
                <w:rFonts w:eastAsia="Arial" w:cs="Arial"/>
                <w:i/>
                <w:iCs/>
                <w:color w:val="424242"/>
                <w:sz w:val="18"/>
                <w:szCs w:val="18"/>
              </w:rPr>
              <w:t>L'accès au système reste possible.</w:t>
            </w:r>
          </w:p>
        </w:tc>
      </w:tr>
      <w:tr>
        <w:trPr/>
        <w:tc>
          <w:tcPr>
            <w:tcW w:w="2500" w:type="dxa"/>
            <w:tcBorders>
              <w:top w:val="single" w:sz="2" w:space="0" w:color="CCCCCC"/>
              <w:left w:val="single" w:sz="2" w:space="0" w:color="CCCCCC"/>
              <w:bottom w:val="single" w:sz="2" w:space="0" w:color="CCCCCC"/>
              <w:right w:val="single" w:sz="2" w:space="0" w:color="CCCCCC"/>
            </w:tcBorders>
            <w:shd w:fill="F5F9FF" w:val="clear"/>
            <w:tcMar>
              <w:top w:w="80" w:type="dxa"/>
              <w:bottom w:w="80" w:type="dxa"/>
            </w:tcMar>
          </w:tcPr>
          <w:p>
            <w:pPr>
              <w:pStyle w:val="Normal"/>
              <w:rPr/>
            </w:pPr>
            <w:r>
              <w:rPr>
                <w:rFonts w:eastAsia="Arial" w:cs="Arial"/>
                <w:sz w:val="19"/>
                <w:szCs w:val="19"/>
              </w:rPr>
              <w:t>Un ransomware chiffre la base de données du DME, rendant les dossiers inaccessibles</w:t>
            </w:r>
          </w:p>
        </w:tc>
        <w:tc>
          <w:tcPr>
            <w:tcW w:w="2199" w:type="dxa"/>
            <w:tcBorders>
              <w:top w:val="single" w:sz="2" w:space="0" w:color="CCCCCC"/>
              <w:left w:val="single" w:sz="2" w:space="0" w:color="CCCCCC"/>
              <w:bottom w:val="single" w:sz="2" w:space="0" w:color="CCCCCC"/>
              <w:right w:val="single" w:sz="2" w:space="0" w:color="CCCCCC"/>
            </w:tcBorders>
            <w:shd w:fill="E8F5E9" w:val="clear"/>
            <w:tcMar>
              <w:top w:w="80" w:type="dxa"/>
              <w:bottom w:w="80" w:type="dxa"/>
            </w:tcMar>
          </w:tcPr>
          <w:p>
            <w:pPr>
              <w:pStyle w:val="Normal"/>
              <w:jc w:val="center"/>
              <w:rPr/>
            </w:pPr>
            <w:r>
              <w:rPr>
                <w:rFonts w:eastAsia="Arial" w:cs="Arial"/>
                <w:b/>
                <w:bCs/>
                <w:color w:val="1B5E20"/>
                <w:sz w:val="20"/>
                <w:szCs w:val="20"/>
              </w:rPr>
              <w:t>Affectée</w:t>
            </w:r>
          </w:p>
          <w:p>
            <w:pPr>
              <w:pStyle w:val="Normal"/>
              <w:rPr/>
            </w:pPr>
            <w:r>
              <w:rPr>
                <w:rFonts w:eastAsia="Arial" w:cs="Arial"/>
                <w:i/>
                <w:iCs/>
                <w:color w:val="424242"/>
                <w:sz w:val="18"/>
                <w:szCs w:val="18"/>
              </w:rPr>
              <w:t>L'attaquant accède aux données avant/pendant le chiffrement.</w:t>
            </w:r>
          </w:p>
        </w:tc>
        <w:tc>
          <w:tcPr>
            <w:tcW w:w="2202" w:type="dxa"/>
            <w:tcBorders>
              <w:top w:val="single" w:sz="2" w:space="0" w:color="CCCCCC"/>
              <w:left w:val="single" w:sz="2" w:space="0" w:color="CCCCCC"/>
              <w:bottom w:val="single" w:sz="2" w:space="0" w:color="CCCCCC"/>
              <w:right w:val="single" w:sz="2" w:space="0" w:color="CCCCCC"/>
            </w:tcBorders>
            <w:shd w:fill="E8F5E9" w:val="clear"/>
            <w:tcMar>
              <w:top w:w="80" w:type="dxa"/>
              <w:bottom w:w="80" w:type="dxa"/>
            </w:tcMar>
          </w:tcPr>
          <w:p>
            <w:pPr>
              <w:pStyle w:val="Normal"/>
              <w:jc w:val="center"/>
              <w:rPr/>
            </w:pPr>
            <w:r>
              <w:rPr>
                <w:rFonts w:eastAsia="Arial" w:cs="Arial"/>
                <w:b/>
                <w:bCs/>
                <w:color w:val="1B5E20"/>
                <w:sz w:val="20"/>
                <w:szCs w:val="20"/>
              </w:rPr>
              <w:t>Affectée</w:t>
            </w:r>
          </w:p>
          <w:p>
            <w:pPr>
              <w:pStyle w:val="Normal"/>
              <w:rPr/>
            </w:pPr>
            <w:r>
              <w:rPr>
                <w:rFonts w:eastAsia="Arial" w:cs="Arial"/>
                <w:i/>
                <w:iCs/>
                <w:color w:val="424242"/>
                <w:sz w:val="18"/>
                <w:szCs w:val="18"/>
              </w:rPr>
              <w:t>Le chiffrement altère l'intégrité des fichiers stockés.</w:t>
            </w:r>
          </w:p>
        </w:tc>
        <w:tc>
          <w:tcPr>
            <w:tcW w:w="2458" w:type="dxa"/>
            <w:tcBorders>
              <w:top w:val="single" w:sz="2" w:space="0" w:color="CCCCCC"/>
              <w:left w:val="single" w:sz="2" w:space="0" w:color="CCCCCC"/>
              <w:bottom w:val="single" w:sz="2" w:space="0" w:color="CCCCCC"/>
              <w:right w:val="single" w:sz="2" w:space="0" w:color="CCCCCC"/>
            </w:tcBorders>
            <w:shd w:fill="E8F5E9" w:val="clear"/>
            <w:tcMar>
              <w:top w:w="80" w:type="dxa"/>
              <w:bottom w:w="80" w:type="dxa"/>
            </w:tcMar>
          </w:tcPr>
          <w:p>
            <w:pPr>
              <w:pStyle w:val="Normal"/>
              <w:jc w:val="center"/>
              <w:rPr/>
            </w:pPr>
            <w:r>
              <w:rPr>
                <w:rFonts w:eastAsia="Arial" w:cs="Arial"/>
                <w:b/>
                <w:bCs/>
                <w:color w:val="1B5E20"/>
                <w:sz w:val="20"/>
                <w:szCs w:val="20"/>
              </w:rPr>
              <w:t>Affectée</w:t>
            </w:r>
          </w:p>
          <w:p>
            <w:pPr>
              <w:pStyle w:val="Normal"/>
              <w:rPr/>
            </w:pPr>
            <w:r>
              <w:rPr>
                <w:rFonts w:eastAsia="Arial" w:cs="Arial"/>
                <w:i/>
                <w:iCs/>
                <w:color w:val="424242"/>
                <w:sz w:val="18"/>
                <w:szCs w:val="18"/>
              </w:rPr>
              <w:t>Les dossiers deviennent inaccessibles au personnel soignant.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Le système de laboratoire est saturé de requêtes et devient indisponible pendant 6 heures (attaque DDoS)</w:t>
            </w:r>
          </w:p>
        </w:tc>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center"/>
              <w:rPr/>
            </w:pPr>
            <w:r>
              <w:rPr>
                <w:rFonts w:eastAsia="Arial" w:cs="Arial"/>
                <w:b w:val="false"/>
                <w:bCs w:val="false"/>
                <w:color w:val="757575"/>
                <w:sz w:val="20"/>
                <w:szCs w:val="20"/>
              </w:rPr>
              <w:t xml:space="preserve">☐ </w:t>
            </w:r>
            <w:r>
              <w:rPr>
                <w:rFonts w:eastAsia="Arial" w:cs="Arial"/>
                <w:b w:val="false"/>
                <w:bCs w:val="false"/>
                <w:color w:val="757575"/>
                <w:sz w:val="20"/>
                <w:szCs w:val="20"/>
              </w:rPr>
              <w:t>Non affectée</w:t>
            </w:r>
          </w:p>
          <w:p>
            <w:pPr>
              <w:pStyle w:val="Normal"/>
              <w:rPr/>
            </w:pPr>
            <w:r>
              <w:rPr>
                <w:rFonts w:eastAsia="Arial" w:cs="Arial"/>
                <w:i/>
                <w:iCs/>
                <w:color w:val="424242"/>
                <w:sz w:val="18"/>
                <w:szCs w:val="18"/>
              </w:rPr>
              <w:t>Aucune donnée n'est exposée.</w:t>
            </w:r>
          </w:p>
        </w:tc>
        <w:tc>
          <w:tcPr>
            <w:tcW w:w="2202"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center"/>
              <w:rPr/>
            </w:pPr>
            <w:r>
              <w:rPr>
                <w:rFonts w:eastAsia="Arial" w:cs="Arial"/>
                <w:b w:val="false"/>
                <w:bCs w:val="false"/>
                <w:color w:val="757575"/>
                <w:sz w:val="20"/>
                <w:szCs w:val="20"/>
              </w:rPr>
              <w:t xml:space="preserve">☐ </w:t>
            </w:r>
            <w:r>
              <w:rPr>
                <w:rFonts w:eastAsia="Arial" w:cs="Arial"/>
                <w:b w:val="false"/>
                <w:bCs w:val="false"/>
                <w:color w:val="757575"/>
                <w:sz w:val="20"/>
                <w:szCs w:val="20"/>
              </w:rPr>
              <w:t>Non affectée</w:t>
            </w:r>
          </w:p>
          <w:p>
            <w:pPr>
              <w:pStyle w:val="Normal"/>
              <w:rPr/>
            </w:pPr>
            <w:r>
              <w:rPr>
                <w:rFonts w:eastAsia="Arial" w:cs="Arial"/>
                <w:i/>
                <w:iCs/>
                <w:color w:val="424242"/>
                <w:sz w:val="18"/>
                <w:szCs w:val="18"/>
              </w:rPr>
              <w:t>Les données ne sont pas modifiées.</w:t>
            </w:r>
          </w:p>
        </w:tc>
        <w:tc>
          <w:tcPr>
            <w:tcW w:w="2458" w:type="dxa"/>
            <w:tcBorders>
              <w:top w:val="single" w:sz="2" w:space="0" w:color="CCCCCC"/>
              <w:left w:val="single" w:sz="2" w:space="0" w:color="CCCCCC"/>
              <w:bottom w:val="single" w:sz="2" w:space="0" w:color="CCCCCC"/>
              <w:right w:val="single" w:sz="2" w:space="0" w:color="CCCCCC"/>
            </w:tcBorders>
            <w:shd w:fill="E8F5E9" w:val="clear"/>
            <w:tcMar>
              <w:top w:w="80" w:type="dxa"/>
              <w:bottom w:w="80" w:type="dxa"/>
            </w:tcMar>
          </w:tcPr>
          <w:p>
            <w:pPr>
              <w:pStyle w:val="Normal"/>
              <w:jc w:val="center"/>
              <w:rPr/>
            </w:pPr>
            <w:r>
              <w:rPr>
                <w:rFonts w:eastAsia="Arial" w:cs="Arial"/>
                <w:b/>
                <w:bCs/>
                <w:color w:val="1B5E20"/>
                <w:sz w:val="20"/>
                <w:szCs w:val="20"/>
              </w:rPr>
              <w:t>Affectée</w:t>
            </w:r>
          </w:p>
          <w:p>
            <w:pPr>
              <w:pStyle w:val="Normal"/>
              <w:rPr/>
            </w:pPr>
            <w:r>
              <w:rPr>
                <w:rFonts w:eastAsia="Arial" w:cs="Arial"/>
                <w:i/>
                <w:iCs/>
                <w:color w:val="424242"/>
                <w:sz w:val="18"/>
                <w:szCs w:val="18"/>
              </w:rPr>
              <w:t>Le service est hors ligne pendant 6h, bloquant les analyses.</w:t>
            </w:r>
          </w:p>
        </w:tc>
      </w:tr>
      <w:tr>
        <w:trPr/>
        <w:tc>
          <w:tcPr>
            <w:tcW w:w="2500" w:type="dxa"/>
            <w:tcBorders>
              <w:top w:val="single" w:sz="2" w:space="0" w:color="CCCCCC"/>
              <w:left w:val="single" w:sz="2" w:space="0" w:color="CCCCCC"/>
              <w:bottom w:val="single" w:sz="2" w:space="0" w:color="CCCCCC"/>
              <w:right w:val="single" w:sz="2" w:space="0" w:color="CCCCCC"/>
            </w:tcBorders>
            <w:shd w:fill="F5F9FF" w:val="clear"/>
            <w:tcMar>
              <w:top w:w="80" w:type="dxa"/>
              <w:bottom w:w="80" w:type="dxa"/>
            </w:tcMar>
          </w:tcPr>
          <w:p>
            <w:pPr>
              <w:pStyle w:val="Normal"/>
              <w:rPr/>
            </w:pPr>
            <w:r>
              <w:rPr>
                <w:rFonts w:eastAsia="Arial" w:cs="Arial"/>
                <w:sz w:val="19"/>
                <w:szCs w:val="19"/>
              </w:rPr>
              <w:t>Un agent interne transmet des résultats de tests VIH à l'employeur d'un patient</w:t>
            </w:r>
          </w:p>
        </w:tc>
        <w:tc>
          <w:tcPr>
            <w:tcW w:w="2199" w:type="dxa"/>
            <w:tcBorders>
              <w:top w:val="single" w:sz="2" w:space="0" w:color="CCCCCC"/>
              <w:left w:val="single" w:sz="2" w:space="0" w:color="CCCCCC"/>
              <w:bottom w:val="single" w:sz="2" w:space="0" w:color="CCCCCC"/>
              <w:right w:val="single" w:sz="2" w:space="0" w:color="CCCCCC"/>
            </w:tcBorders>
            <w:shd w:fill="E8F5E9" w:val="clear"/>
            <w:tcMar>
              <w:top w:w="80" w:type="dxa"/>
              <w:bottom w:w="80" w:type="dxa"/>
            </w:tcMar>
          </w:tcPr>
          <w:p>
            <w:pPr>
              <w:pStyle w:val="Normal"/>
              <w:jc w:val="center"/>
              <w:rPr/>
            </w:pPr>
            <w:r>
              <w:rPr>
                <w:rFonts w:eastAsia="Arial" w:cs="Arial"/>
                <w:b/>
                <w:bCs/>
                <w:color w:val="1B5E20"/>
                <w:sz w:val="20"/>
                <w:szCs w:val="20"/>
              </w:rPr>
              <w:t>Affectée</w:t>
            </w:r>
          </w:p>
          <w:p>
            <w:pPr>
              <w:pStyle w:val="Normal"/>
              <w:rPr/>
            </w:pPr>
            <w:r>
              <w:rPr>
                <w:rFonts w:eastAsia="Arial" w:cs="Arial"/>
                <w:i/>
                <w:iCs/>
                <w:color w:val="424242"/>
                <w:sz w:val="18"/>
                <w:szCs w:val="18"/>
              </w:rPr>
              <w:t>Des données médicales ultra-sensibles sont divulguées sans consentement.</w:t>
            </w:r>
          </w:p>
        </w:tc>
        <w:tc>
          <w:tcPr>
            <w:tcW w:w="2202"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center"/>
              <w:rPr/>
            </w:pPr>
            <w:r>
              <w:rPr>
                <w:rFonts w:eastAsia="Arial" w:cs="Arial"/>
                <w:b w:val="false"/>
                <w:bCs w:val="false"/>
                <w:color w:val="757575"/>
                <w:sz w:val="20"/>
                <w:szCs w:val="20"/>
              </w:rPr>
              <w:t xml:space="preserve">☐ </w:t>
            </w:r>
            <w:r>
              <w:rPr>
                <w:rFonts w:eastAsia="Arial" w:cs="Arial"/>
                <w:b w:val="false"/>
                <w:bCs w:val="false"/>
                <w:color w:val="757575"/>
                <w:sz w:val="20"/>
                <w:szCs w:val="20"/>
              </w:rPr>
              <w:t>Non affectée</w:t>
            </w:r>
          </w:p>
          <w:p>
            <w:pPr>
              <w:pStyle w:val="Normal"/>
              <w:rPr/>
            </w:pPr>
            <w:r>
              <w:rPr>
                <w:rFonts w:eastAsia="Arial" w:cs="Arial"/>
                <w:i/>
                <w:iCs/>
                <w:color w:val="424242"/>
                <w:sz w:val="18"/>
                <w:szCs w:val="18"/>
              </w:rPr>
              <w:t>Les données transmises sont exactes, sans falsification.</w:t>
            </w:r>
          </w:p>
        </w:tc>
        <w:tc>
          <w:tcPr>
            <w:tcW w:w="2458"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center"/>
              <w:rPr/>
            </w:pPr>
            <w:r>
              <w:rPr>
                <w:rFonts w:eastAsia="Arial" w:cs="Arial"/>
                <w:b w:val="false"/>
                <w:bCs w:val="false"/>
                <w:color w:val="757575"/>
                <w:sz w:val="20"/>
                <w:szCs w:val="20"/>
              </w:rPr>
              <w:t xml:space="preserve">☐ </w:t>
            </w:r>
            <w:r>
              <w:rPr>
                <w:rFonts w:eastAsia="Arial" w:cs="Arial"/>
                <w:b w:val="false"/>
                <w:bCs w:val="false"/>
                <w:color w:val="757575"/>
                <w:sz w:val="20"/>
                <w:szCs w:val="20"/>
              </w:rPr>
              <w:t>Non affectée</w:t>
            </w:r>
          </w:p>
          <w:p>
            <w:pPr>
              <w:pStyle w:val="Normal"/>
              <w:rPr/>
            </w:pPr>
            <w:r>
              <w:rPr>
                <w:rFonts w:eastAsia="Arial" w:cs="Arial"/>
                <w:i/>
                <w:iCs/>
                <w:color w:val="424242"/>
                <w:sz w:val="18"/>
                <w:szCs w:val="18"/>
              </w:rPr>
              <w:t>Le système reste opérationnel.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Les dosages de médicaments sont altérés en transit par une attaque de l'homme du milieu (MitM)</w:t>
            </w:r>
          </w:p>
        </w:tc>
        <w:tc>
          <w:tcPr>
            <w:tcW w:w="2199" w:type="dxa"/>
            <w:tcBorders>
              <w:top w:val="single" w:sz="2" w:space="0" w:color="CCCCCC"/>
              <w:left w:val="single" w:sz="2" w:space="0" w:color="CCCCCC"/>
              <w:bottom w:val="single" w:sz="2" w:space="0" w:color="CCCCCC"/>
              <w:right w:val="single" w:sz="2" w:space="0" w:color="CCCCCC"/>
            </w:tcBorders>
            <w:shd w:fill="E8F5E9" w:val="clear"/>
            <w:tcMar>
              <w:top w:w="80" w:type="dxa"/>
              <w:bottom w:w="80" w:type="dxa"/>
            </w:tcMar>
          </w:tcPr>
          <w:p>
            <w:pPr>
              <w:pStyle w:val="Normal"/>
              <w:jc w:val="center"/>
              <w:rPr/>
            </w:pPr>
            <w:r>
              <w:rPr>
                <w:rFonts w:eastAsia="Arial" w:cs="Arial"/>
                <w:b/>
                <w:bCs/>
                <w:color w:val="1B5E20"/>
                <w:sz w:val="20"/>
                <w:szCs w:val="20"/>
              </w:rPr>
              <w:t>Affectée</w:t>
            </w:r>
          </w:p>
          <w:p>
            <w:pPr>
              <w:pStyle w:val="Normal"/>
              <w:rPr/>
            </w:pPr>
            <w:r>
              <w:rPr>
                <w:rFonts w:eastAsia="Arial" w:cs="Arial"/>
                <w:i/>
                <w:iCs/>
                <w:color w:val="424242"/>
                <w:sz w:val="18"/>
                <w:szCs w:val="18"/>
              </w:rPr>
              <w:t>L'attaquant intercepte les communications et peut lire les données.</w:t>
            </w:r>
          </w:p>
        </w:tc>
        <w:tc>
          <w:tcPr>
            <w:tcW w:w="2202" w:type="dxa"/>
            <w:tcBorders>
              <w:top w:val="single" w:sz="2" w:space="0" w:color="CCCCCC"/>
              <w:left w:val="single" w:sz="2" w:space="0" w:color="CCCCCC"/>
              <w:bottom w:val="single" w:sz="2" w:space="0" w:color="CCCCCC"/>
              <w:right w:val="single" w:sz="2" w:space="0" w:color="CCCCCC"/>
            </w:tcBorders>
            <w:shd w:fill="E8F5E9" w:val="clear"/>
            <w:tcMar>
              <w:top w:w="80" w:type="dxa"/>
              <w:bottom w:w="80" w:type="dxa"/>
            </w:tcMar>
          </w:tcPr>
          <w:p>
            <w:pPr>
              <w:pStyle w:val="Normal"/>
              <w:jc w:val="center"/>
              <w:rPr/>
            </w:pPr>
            <w:r>
              <w:rPr>
                <w:rFonts w:eastAsia="Arial" w:cs="Arial"/>
                <w:b/>
                <w:bCs/>
                <w:color w:val="1B5E20"/>
                <w:sz w:val="20"/>
                <w:szCs w:val="20"/>
              </w:rPr>
              <w:t>Affectée</w:t>
            </w:r>
          </w:p>
          <w:p>
            <w:pPr>
              <w:pStyle w:val="Normal"/>
              <w:rPr/>
            </w:pPr>
            <w:r>
              <w:rPr>
                <w:rFonts w:eastAsia="Arial" w:cs="Arial"/>
                <w:i/>
                <w:iCs/>
                <w:color w:val="424242"/>
                <w:sz w:val="18"/>
                <w:szCs w:val="18"/>
              </w:rPr>
              <w:t>Les valeurs de dosage sont modifiées lors de la transmission.</w:t>
            </w:r>
          </w:p>
        </w:tc>
        <w:tc>
          <w:tcPr>
            <w:tcW w:w="2458"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center"/>
              <w:rPr/>
            </w:pPr>
            <w:r>
              <w:rPr>
                <w:rFonts w:eastAsia="Arial" w:cs="Arial"/>
                <w:b w:val="false"/>
                <w:bCs w:val="false"/>
                <w:color w:val="757575"/>
                <w:sz w:val="20"/>
                <w:szCs w:val="20"/>
              </w:rPr>
              <w:t xml:space="preserve">☐ </w:t>
            </w:r>
            <w:r>
              <w:rPr>
                <w:rFonts w:eastAsia="Arial" w:cs="Arial"/>
                <w:b w:val="false"/>
                <w:bCs w:val="false"/>
                <w:color w:val="757575"/>
                <w:sz w:val="20"/>
                <w:szCs w:val="20"/>
              </w:rPr>
              <w:t>Non affectée</w:t>
            </w:r>
          </w:p>
          <w:p>
            <w:pPr>
              <w:pStyle w:val="Normal"/>
              <w:rPr/>
            </w:pPr>
            <w:r>
              <w:rPr>
                <w:rFonts w:eastAsia="Arial" w:cs="Arial"/>
                <w:i/>
                <w:iCs/>
                <w:color w:val="424242"/>
                <w:sz w:val="18"/>
                <w:szCs w:val="18"/>
              </w:rPr>
              <w:t>Le système continue de fonctionner, même avec des données altérées.</w:t>
            </w:r>
          </w:p>
        </w:tc>
      </w:tr>
      <w:tr>
        <w:trPr/>
        <w:tc>
          <w:tcPr>
            <w:tcW w:w="2500" w:type="dxa"/>
            <w:tcBorders>
              <w:top w:val="single" w:sz="2" w:space="0" w:color="CCCCCC"/>
              <w:left w:val="single" w:sz="2" w:space="0" w:color="CCCCCC"/>
              <w:bottom w:val="single" w:sz="2" w:space="0" w:color="CCCCCC"/>
              <w:right w:val="single" w:sz="2" w:space="0" w:color="CCCCCC"/>
            </w:tcBorders>
            <w:shd w:fill="F5F9FF" w:val="clear"/>
            <w:tcMar>
              <w:top w:w="80" w:type="dxa"/>
              <w:bottom w:w="80" w:type="dxa"/>
            </w:tcMar>
          </w:tcPr>
          <w:p>
            <w:pPr>
              <w:pStyle w:val="Normal"/>
              <w:rPr/>
            </w:pPr>
            <w:r>
              <w:rPr>
                <w:rFonts w:eastAsia="Arial" w:cs="Arial"/>
                <w:sz w:val="19"/>
                <w:szCs w:val="19"/>
              </w:rPr>
              <w:t>(Scénario libre) Un ancien employé utilise ses identifiants non révoqués pour exporter la base de données patients</w:t>
            </w:r>
          </w:p>
        </w:tc>
        <w:tc>
          <w:tcPr>
            <w:tcW w:w="2199" w:type="dxa"/>
            <w:tcBorders>
              <w:top w:val="single" w:sz="2" w:space="0" w:color="CCCCCC"/>
              <w:left w:val="single" w:sz="2" w:space="0" w:color="CCCCCC"/>
              <w:bottom w:val="single" w:sz="2" w:space="0" w:color="CCCCCC"/>
              <w:right w:val="single" w:sz="2" w:space="0" w:color="CCCCCC"/>
            </w:tcBorders>
            <w:shd w:fill="E8F5E9" w:val="clear"/>
            <w:tcMar>
              <w:top w:w="80" w:type="dxa"/>
              <w:bottom w:w="80" w:type="dxa"/>
            </w:tcMar>
          </w:tcPr>
          <w:p>
            <w:pPr>
              <w:pStyle w:val="Normal"/>
              <w:jc w:val="center"/>
              <w:rPr/>
            </w:pPr>
            <w:r>
              <w:rPr>
                <w:rFonts w:eastAsia="Arial" w:cs="Arial"/>
                <w:b/>
                <w:bCs/>
                <w:color w:val="1B5E20"/>
                <w:sz w:val="20"/>
                <w:szCs w:val="20"/>
              </w:rPr>
              <w:t>Affectée</w:t>
            </w:r>
          </w:p>
          <w:p>
            <w:pPr>
              <w:pStyle w:val="Normal"/>
              <w:rPr/>
            </w:pPr>
            <w:r>
              <w:rPr>
                <w:rFonts w:eastAsia="Arial" w:cs="Arial"/>
                <w:i/>
                <w:iCs/>
                <w:color w:val="424242"/>
                <w:sz w:val="18"/>
                <w:szCs w:val="18"/>
              </w:rPr>
              <w:t>Des milliers de dossiers patients sont extraits par une personne non autorisée.</w:t>
            </w:r>
          </w:p>
        </w:tc>
        <w:tc>
          <w:tcPr>
            <w:tcW w:w="2202"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center"/>
              <w:rPr/>
            </w:pPr>
            <w:r>
              <w:rPr>
                <w:rFonts w:eastAsia="Arial" w:cs="Arial"/>
                <w:b w:val="false"/>
                <w:bCs w:val="false"/>
                <w:color w:val="757575"/>
                <w:sz w:val="20"/>
                <w:szCs w:val="20"/>
              </w:rPr>
              <w:t xml:space="preserve">☐ </w:t>
            </w:r>
            <w:r>
              <w:rPr>
                <w:rFonts w:eastAsia="Arial" w:cs="Arial"/>
                <w:b w:val="false"/>
                <w:bCs w:val="false"/>
                <w:color w:val="757575"/>
                <w:sz w:val="20"/>
                <w:szCs w:val="20"/>
              </w:rPr>
              <w:t>Non affectée</w:t>
            </w:r>
          </w:p>
          <w:p>
            <w:pPr>
              <w:pStyle w:val="Normal"/>
              <w:rPr/>
            </w:pPr>
            <w:r>
              <w:rPr>
                <w:rFonts w:eastAsia="Arial" w:cs="Arial"/>
                <w:i/>
                <w:iCs/>
                <w:color w:val="424242"/>
                <w:sz w:val="18"/>
                <w:szCs w:val="18"/>
              </w:rPr>
              <w:t>Les données exportées ne sont pas modifiées.</w:t>
            </w:r>
          </w:p>
        </w:tc>
        <w:tc>
          <w:tcPr>
            <w:tcW w:w="2458"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center"/>
              <w:rPr/>
            </w:pPr>
            <w:r>
              <w:rPr>
                <w:rFonts w:eastAsia="Arial" w:cs="Arial"/>
                <w:b w:val="false"/>
                <w:bCs w:val="false"/>
                <w:color w:val="757575"/>
                <w:sz w:val="20"/>
                <w:szCs w:val="20"/>
              </w:rPr>
              <w:t xml:space="preserve">☐ </w:t>
            </w:r>
            <w:r>
              <w:rPr>
                <w:rFonts w:eastAsia="Arial" w:cs="Arial"/>
                <w:b w:val="false"/>
                <w:bCs w:val="false"/>
                <w:color w:val="757575"/>
                <w:sz w:val="20"/>
                <w:szCs w:val="20"/>
              </w:rPr>
              <w:t>Non affectée</w:t>
            </w:r>
          </w:p>
          <w:p>
            <w:pPr>
              <w:pStyle w:val="Normal"/>
              <w:rPr/>
            </w:pPr>
            <w:r>
              <w:rPr>
                <w:rFonts w:eastAsia="Arial" w:cs="Arial"/>
                <w:i/>
                <w:iCs/>
                <w:color w:val="424242"/>
                <w:sz w:val="18"/>
                <w:szCs w:val="18"/>
              </w:rPr>
              <w:t>Le système reste disponible pour les utilisateurs légitimes.</w:t>
            </w:r>
          </w:p>
        </w:tc>
      </w:tr>
    </w:tbl>
    <w:p>
      <w:pPr>
        <w:pStyle w:val="Normal"/>
        <w:spacing w:before="200" w:after="60"/>
        <w:rPr/>
      </w:pPr>
      <w:r>
        <w:rPr/>
      </w:r>
    </w:p>
    <w:p>
      <w:pPr>
        <w:pStyle w:val="Heading2"/>
        <w:spacing w:before="240" w:after="120"/>
        <w:rPr/>
      </w:pPr>
      <w:r>
        <w:rPr>
          <w:rFonts w:eastAsia="Arial" w:cs="Arial" w:ascii="Arial" w:hAnsi="Arial"/>
          <w:b/>
          <w:bCs/>
          <w:color w:val="2E75B6"/>
          <w:sz w:val="24"/>
          <w:szCs w:val="24"/>
        </w:rPr>
        <w:t>Q1 — Propriété CIA la plus souvent violée</w:t>
      </w:r>
    </w:p>
    <w:p>
      <w:pPr>
        <w:pStyle w:val="Normal"/>
        <w:spacing w:before="80" w:after="80"/>
        <w:rPr/>
      </w:pPr>
      <w:r>
        <w:rPr>
          <w:rFonts w:eastAsia="Arial" w:cs="Arial"/>
          <w:b/>
          <w:bCs/>
          <w:color w:val="1F4E79"/>
          <w:sz w:val="20"/>
          <w:szCs w:val="20"/>
        </w:rPr>
        <w:t xml:space="preserve">Réponse : </w:t>
      </w:r>
      <w:r>
        <w:rPr>
          <w:rFonts w:eastAsia="Arial" w:cs="Arial"/>
          <w:sz w:val="20"/>
          <w:szCs w:val="20"/>
        </w:rPr>
        <w:t>La Confidentialité est la propriété la plus fréquemment violée (4 scénarios sur 7 : accès non autorisé aux dossiers, transmission des résultats VIH, ransomware, MitM, et l'identifiant non révoqué).</w:t>
      </w:r>
    </w:p>
    <w:p>
      <w:pPr>
        <w:pStyle w:val="Normal"/>
        <w:spacing w:before="60" w:after="80"/>
        <w:rPr/>
      </w:pPr>
      <w:r>
        <w:rPr/>
      </w:r>
    </w:p>
    <w:p>
      <w:pPr>
        <w:pStyle w:val="Normal"/>
        <w:spacing w:before="80" w:after="80"/>
        <w:rPr/>
      </w:pPr>
      <w:r>
        <w:rPr>
          <w:rFonts w:eastAsia="Arial" w:cs="Arial"/>
          <w:b/>
          <w:bCs/>
          <w:sz w:val="20"/>
          <w:szCs w:val="20"/>
        </w:rPr>
        <w:t>Pourquoi ce système est-il particulièrement vulnérable dans le contexte d'un hôpital public africain ?</w:t>
      </w:r>
    </w:p>
    <w:p>
      <w:pPr>
        <w:pStyle w:val="ListParagraph"/>
        <w:numPr>
          <w:ilvl w:val="0"/>
          <w:numId w:val="4"/>
        </w:numPr>
        <w:spacing w:before="60" w:after="60"/>
        <w:rPr/>
      </w:pPr>
      <w:r>
        <w:rPr>
          <w:rFonts w:eastAsia="Arial" w:cs="Arial"/>
          <w:sz w:val="20"/>
          <w:szCs w:val="20"/>
        </w:rPr>
        <w:t>Ressources limitées : les hôpitaux publics africains disposent souvent de budgets informatiques insuffisants pour déployer des solutions de sécurité robustes (MFA, DLP, SIEM).</w:t>
      </w:r>
    </w:p>
    <w:p>
      <w:pPr>
        <w:pStyle w:val="ListParagraph"/>
        <w:numPr>
          <w:ilvl w:val="0"/>
          <w:numId w:val="5"/>
        </w:numPr>
        <w:spacing w:before="60" w:after="60"/>
        <w:rPr/>
      </w:pPr>
      <w:r>
        <w:rPr>
          <w:rFonts w:eastAsia="Arial" w:cs="Arial"/>
          <w:sz w:val="20"/>
          <w:szCs w:val="20"/>
        </w:rPr>
        <w:t>Faible culture de cybersécurité : le personnel médical est peu formé aux risques numériques ; les mots de passe faibles et le partage de comptes sont courants.</w:t>
      </w:r>
    </w:p>
    <w:p>
      <w:pPr>
        <w:pStyle w:val="ListParagraph"/>
        <w:numPr>
          <w:ilvl w:val="0"/>
          <w:numId w:val="6"/>
        </w:numPr>
        <w:spacing w:before="60" w:after="60"/>
        <w:rPr/>
      </w:pPr>
      <w:r>
        <w:rPr>
          <w:rFonts w:eastAsia="Arial" w:cs="Arial"/>
          <w:sz w:val="20"/>
          <w:szCs w:val="20"/>
        </w:rPr>
        <w:t>Dépendance à des fournisseurs cloud régionaux dont le niveau de sécurité peut être inférieur aux standards internationaux.</w:t>
      </w:r>
    </w:p>
    <w:p>
      <w:pPr>
        <w:pStyle w:val="ListParagraph"/>
        <w:numPr>
          <w:ilvl w:val="0"/>
          <w:numId w:val="7"/>
        </w:numPr>
        <w:spacing w:before="60" w:after="60"/>
        <w:rPr/>
      </w:pPr>
      <w:r>
        <w:rPr>
          <w:rFonts w:eastAsia="Arial" w:cs="Arial"/>
          <w:sz w:val="20"/>
          <w:szCs w:val="20"/>
        </w:rPr>
        <w:t>Infrastructure hybride vulnérable : la synchronisation nocturne non chiffrée via un ancien serveur on-site constitue un vecteur d'interception évident.</w:t>
      </w:r>
    </w:p>
    <w:p>
      <w:pPr>
        <w:pStyle w:val="ListParagraph"/>
        <w:numPr>
          <w:ilvl w:val="0"/>
          <w:numId w:val="8"/>
        </w:numPr>
        <w:spacing w:before="60" w:after="60"/>
        <w:rPr/>
      </w:pPr>
      <w:r>
        <w:rPr>
          <w:rFonts w:eastAsia="Arial" w:cs="Arial"/>
          <w:sz w:val="20"/>
          <w:szCs w:val="20"/>
        </w:rPr>
        <w:t>Valeur élevée des données de santé sur le marché noir (assurances, chantage, discrimination) — cible attractive pour les attaquants.</w:t>
      </w:r>
    </w:p>
    <w:p>
      <w:pPr>
        <w:pStyle w:val="Normal"/>
        <w:spacing w:before="120" w:after="60"/>
        <w:rPr/>
      </w:pPr>
      <w:r>
        <w:rPr/>
      </w:r>
    </w:p>
    <w:p>
      <w:pPr>
        <w:pStyle w:val="Heading2"/>
        <w:spacing w:before="240" w:after="120"/>
        <w:rPr/>
      </w:pPr>
      <w:r>
        <w:rPr>
          <w:rFonts w:eastAsia="Arial" w:cs="Arial" w:ascii="Arial" w:hAnsi="Arial"/>
          <w:b/>
          <w:bCs/>
          <w:color w:val="2E75B6"/>
          <w:sz w:val="24"/>
          <w:szCs w:val="24"/>
        </w:rPr>
        <w:t>Q2 — Scénario violant simultanément les trois propriétés CIA</w:t>
      </w:r>
    </w:p>
    <w:p>
      <w:pPr>
        <w:pStyle w:val="Normal"/>
        <w:spacing w:before="80" w:after="80"/>
        <w:rPr/>
      </w:pPr>
      <w:r>
        <w:rPr>
          <w:rFonts w:eastAsia="Arial" w:cs="Arial"/>
          <w:b/>
          <w:bCs/>
          <w:color w:val="1F4E79"/>
          <w:sz w:val="20"/>
          <w:szCs w:val="20"/>
        </w:rPr>
        <w:t xml:space="preserve">Scénario identifié : </w:t>
      </w:r>
      <w:r>
        <w:rPr>
          <w:rFonts w:eastAsia="Arial" w:cs="Arial"/>
          <w:sz w:val="20"/>
          <w:szCs w:val="20"/>
        </w:rPr>
        <w:t>L'attaque par ransomware qui chiffre la base de données du DME.</w:t>
      </w:r>
    </w:p>
    <w:p>
      <w:pPr>
        <w:pStyle w:val="Normal"/>
        <w:spacing w:before="60" w:after="80"/>
        <w:rPr/>
      </w:pPr>
      <w:r>
        <w:rPr/>
      </w:r>
    </w:p>
    <w:p>
      <w:pPr>
        <w:pStyle w:val="ListParagraph"/>
        <w:numPr>
          <w:ilvl w:val="0"/>
          <w:numId w:val="9"/>
        </w:numPr>
        <w:spacing w:before="60" w:after="60"/>
        <w:rPr/>
      </w:pPr>
      <w:r>
        <w:rPr>
          <w:rFonts w:eastAsia="Arial" w:cs="Arial"/>
          <w:sz w:val="20"/>
          <w:szCs w:val="20"/>
        </w:rPr>
        <w:t>Confidentialité : avant de chiffrer, les opérateurs du ransomware exfiltrent souvent les données (double extorsion). L'attaquant a potentiellement accès à l'intégralité des dossiers patients.</w:t>
      </w:r>
    </w:p>
    <w:p>
      <w:pPr>
        <w:pStyle w:val="ListParagraph"/>
        <w:numPr>
          <w:ilvl w:val="0"/>
          <w:numId w:val="10"/>
        </w:numPr>
        <w:spacing w:before="60" w:after="60"/>
        <w:rPr/>
      </w:pPr>
      <w:r>
        <w:rPr>
          <w:rFonts w:eastAsia="Arial" w:cs="Arial"/>
          <w:sz w:val="20"/>
          <w:szCs w:val="20"/>
        </w:rPr>
        <w:t>Intégrité : le chiffrement rend les fichiers illisibles et inutilisables — leur état est altéré, ils ne correspondent plus à leur forme originale valide.</w:t>
      </w:r>
    </w:p>
    <w:p>
      <w:pPr>
        <w:pStyle w:val="ListParagraph"/>
        <w:numPr>
          <w:ilvl w:val="0"/>
          <w:numId w:val="11"/>
        </w:numPr>
        <w:spacing w:before="60" w:after="60"/>
        <w:rPr/>
      </w:pPr>
      <w:r>
        <w:rPr>
          <w:rFonts w:eastAsia="Arial" w:cs="Arial"/>
          <w:sz w:val="20"/>
          <w:szCs w:val="20"/>
        </w:rPr>
        <w:t>Disponibilité : les médecins, infirmiers et personnels administratifs ne peuvent plus consulter les dossiers patients, paralysant les soins cliniques.</w:t>
      </w:r>
    </w:p>
    <w:p>
      <w:pPr>
        <w:pStyle w:val="Normal"/>
        <w:spacing w:before="80" w:after="80"/>
        <w:rPr/>
      </w:pPr>
      <w:r>
        <w:rPr>
          <w:rFonts w:eastAsia="Arial" w:cs="Arial"/>
          <w:i/>
          <w:iCs/>
          <w:sz w:val="20"/>
          <w:szCs w:val="20"/>
        </w:rPr>
        <w:t>Ce scénario représente donc la menace la plus grave car il compromet simultanément l'ensemble de la trilogie CIA, avec des conséquences potentiellement mortelles pour les patients.</w:t>
      </w:r>
    </w:p>
    <w:p>
      <w:pPr>
        <w:pStyle w:val="Normal"/>
        <w:spacing w:before="200" w:after="80"/>
        <w:rPr/>
      </w:pPr>
      <w:r>
        <w:rPr/>
      </w:r>
    </w:p>
    <w:p>
      <w:pPr>
        <w:pStyle w:val="Heading1"/>
        <w:pBdr>
          <w:bottom w:val="single" w:sz="6" w:space="0" w:color="2E75B6"/>
        </w:pBdr>
        <w:spacing w:before="300" w:after="150"/>
        <w:rPr/>
      </w:pPr>
      <w:r>
        <w:rPr>
          <w:rFonts w:eastAsia="Arial" w:cs="Arial" w:ascii="Arial" w:hAnsi="Arial"/>
          <w:b/>
          <w:bCs/>
          <w:color w:val="1F4E79"/>
          <w:sz w:val="28"/>
          <w:szCs w:val="28"/>
        </w:rPr>
        <w:t>Partie B — Faiblesses, Vulnérabilités et Exploits</w:t>
      </w:r>
    </w:p>
    <w:p>
      <w:pPr>
        <w:pStyle w:val="Normal"/>
        <w:spacing w:before="80" w:after="80"/>
        <w:rPr/>
      </w:pPr>
      <w:r>
        <w:rPr>
          <w:rFonts w:eastAsia="Arial" w:cs="Arial"/>
          <w:sz w:val="20"/>
          <w:szCs w:val="20"/>
        </w:rPr>
        <w:t>Rappel des définitions :</w:t>
      </w:r>
    </w:p>
    <w:p>
      <w:pPr>
        <w:pStyle w:val="ListParagraph"/>
        <w:numPr>
          <w:ilvl w:val="0"/>
          <w:numId w:val="12"/>
        </w:numPr>
        <w:spacing w:before="60" w:after="60"/>
        <w:rPr/>
      </w:pPr>
      <w:r>
        <w:rPr>
          <w:rFonts w:eastAsia="Arial" w:cs="Arial"/>
          <w:sz w:val="20"/>
          <w:szCs w:val="20"/>
        </w:rPr>
        <w:t>Faiblesse : absence d'un contrôle de sécurité qui devrait exister (conception ou configuration).</w:t>
      </w:r>
    </w:p>
    <w:p>
      <w:pPr>
        <w:pStyle w:val="ListParagraph"/>
        <w:numPr>
          <w:ilvl w:val="0"/>
          <w:numId w:val="13"/>
        </w:numPr>
        <w:spacing w:before="60" w:after="60"/>
        <w:rPr/>
      </w:pPr>
      <w:r>
        <w:rPr>
          <w:rFonts w:eastAsia="Arial" w:cs="Arial"/>
          <w:sz w:val="20"/>
          <w:szCs w:val="20"/>
        </w:rPr>
        <w:t>Vulnérabilité : faille identifiée et exploitable dans un système (peut avoir un CVE).</w:t>
      </w:r>
    </w:p>
    <w:p>
      <w:pPr>
        <w:pStyle w:val="ListParagraph"/>
        <w:numPr>
          <w:ilvl w:val="0"/>
          <w:numId w:val="14"/>
        </w:numPr>
        <w:spacing w:before="60" w:after="60"/>
        <w:rPr/>
      </w:pPr>
      <w:r>
        <w:rPr>
          <w:rFonts w:eastAsia="Arial" w:cs="Arial"/>
          <w:sz w:val="20"/>
          <w:szCs w:val="20"/>
        </w:rPr>
        <w:t>Exploit : code ou technique permettant de tirer parti d'une vulnérabilité spécifique.</w:t>
      </w:r>
    </w:p>
    <w:p>
      <w:pPr>
        <w:pStyle w:val="ListParagraph"/>
        <w:numPr>
          <w:ilvl w:val="0"/>
          <w:numId w:val="15"/>
        </w:numPr>
        <w:spacing w:before="60" w:after="60"/>
        <w:rPr/>
      </w:pPr>
      <w:r>
        <w:rPr>
          <w:rFonts w:eastAsia="Arial" w:cs="Arial"/>
          <w:sz w:val="20"/>
          <w:szCs w:val="20"/>
        </w:rPr>
        <w:t>Attaque : action offensive intentionnelle visant à compromettre un système.</w:t>
      </w:r>
    </w:p>
    <w:p>
      <w:pPr>
        <w:pStyle w:val="Normal"/>
        <w:spacing w:before="100" w:after="80"/>
        <w:rPr/>
      </w:pPr>
      <w:r>
        <w:rPr/>
      </w:r>
    </w:p>
    <w:tbl>
      <w:tblPr>
        <w:tblW w:w="9360" w:type="dxa"/>
        <w:jc w:val="left"/>
        <w:tblInd w:w="0" w:type="dxa"/>
        <w:tblLayout w:type="fixed"/>
        <w:tblCellMar>
          <w:top w:w="100" w:type="dxa"/>
          <w:left w:w="120" w:type="dxa"/>
          <w:bottom w:w="100" w:type="dxa"/>
          <w:right w:w="120" w:type="dxa"/>
        </w:tblCellMar>
      </w:tblPr>
      <w:tblGrid>
        <w:gridCol w:w="5200"/>
        <w:gridCol w:w="1600"/>
        <w:gridCol w:w="2560"/>
      </w:tblGrid>
      <w:tr>
        <w:trPr>
          <w:tblHeader w:val="true"/>
        </w:trPr>
        <w:tc>
          <w:tcPr>
            <w:tcW w:w="5200"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pPr>
            <w:r>
              <w:rPr>
                <w:rFonts w:eastAsia="Arial" w:cs="Arial"/>
                <w:b/>
                <w:bCs/>
                <w:color w:val="FFFFFF"/>
                <w:sz w:val="20"/>
                <w:szCs w:val="20"/>
              </w:rPr>
              <w:t>Élément</w:t>
            </w:r>
          </w:p>
        </w:tc>
        <w:tc>
          <w:tcPr>
            <w:tcW w:w="1600"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pPr>
            <w:r>
              <w:rPr>
                <w:rFonts w:eastAsia="Arial" w:cs="Arial"/>
                <w:b/>
                <w:bCs/>
                <w:color w:val="FFFFFF"/>
                <w:sz w:val="20"/>
                <w:szCs w:val="20"/>
              </w:rPr>
              <w:t>Catégorie</w:t>
            </w:r>
          </w:p>
        </w:tc>
        <w:tc>
          <w:tcPr>
            <w:tcW w:w="2560" w:type="dxa"/>
            <w:tcBorders>
              <w:top w:val="single" w:sz="2" w:space="0" w:color="CCCCCC"/>
              <w:left w:val="single" w:sz="2" w:space="0" w:color="CCCCCC"/>
              <w:bottom w:val="single" w:sz="2" w:space="0" w:color="CCCCCC"/>
              <w:right w:val="single" w:sz="2" w:space="0" w:color="CCCCCC"/>
            </w:tcBorders>
            <w:shd w:fill="1F4E79" w:val="clear"/>
            <w:vAlign w:val="center"/>
          </w:tcPr>
          <w:p>
            <w:pPr>
              <w:pStyle w:val="Normal"/>
              <w:jc w:val="center"/>
              <w:rPr/>
            </w:pPr>
            <w:r>
              <w:rPr>
                <w:rFonts w:eastAsia="Arial" w:cs="Arial"/>
                <w:b/>
                <w:bCs/>
                <w:color w:val="FFFFFF"/>
                <w:sz w:val="20"/>
                <w:szCs w:val="20"/>
              </w:rPr>
              <w:t>Justification</w:t>
            </w:r>
          </w:p>
        </w:tc>
      </w:tr>
      <w:tr>
        <w:trPr/>
        <w:tc>
          <w:tcPr>
            <w:tcW w:w="5200" w:type="dxa"/>
            <w:tcBorders>
              <w:top w:val="single" w:sz="2" w:space="0" w:color="CCCCCC"/>
              <w:left w:val="single" w:sz="2" w:space="0" w:color="CCCCCC"/>
              <w:bottom w:val="single" w:sz="2" w:space="0" w:color="CCCCCC"/>
              <w:right w:val="single" w:sz="2" w:space="0" w:color="CCCCCC"/>
            </w:tcBorders>
            <w:shd w:fill="F5F9FF" w:val="clear"/>
            <w:tcMar>
              <w:top w:w="80" w:type="dxa"/>
              <w:bottom w:w="80" w:type="dxa"/>
            </w:tcMar>
          </w:tcPr>
          <w:p>
            <w:pPr>
              <w:pStyle w:val="Normal"/>
              <w:rPr/>
            </w:pPr>
            <w:r>
              <w:rPr>
                <w:rFonts w:eastAsia="Arial" w:cs="Arial"/>
                <w:sz w:val="19"/>
                <w:szCs w:val="19"/>
              </w:rPr>
              <w:t>A. La page de connexion de SanteNum n'a pas de mécanisme de verrouillage de compte</w:t>
            </w:r>
          </w:p>
        </w:tc>
        <w:tc>
          <w:tcPr>
            <w:tcW w:w="1600" w:type="dxa"/>
            <w:tcBorders>
              <w:top w:val="single" w:sz="2" w:space="0" w:color="CCCCCC"/>
              <w:left w:val="single" w:sz="2" w:space="0" w:color="CCCCCC"/>
              <w:bottom w:val="single" w:sz="2" w:space="0" w:color="CCCCCC"/>
              <w:right w:val="single" w:sz="2" w:space="0" w:color="CCCCCC"/>
            </w:tcBorders>
            <w:shd w:fill="E8F5E9" w:val="clear"/>
            <w:tcMar>
              <w:top w:w="80" w:type="dxa"/>
              <w:bottom w:w="80" w:type="dxa"/>
            </w:tcMar>
          </w:tcPr>
          <w:p>
            <w:pPr>
              <w:pStyle w:val="Normal"/>
              <w:jc w:val="center"/>
              <w:rPr/>
            </w:pPr>
            <w:r>
              <w:rPr>
                <w:rFonts w:eastAsia="Arial" w:cs="Arial"/>
                <w:b/>
                <w:bCs/>
                <w:color w:val="1B5E20"/>
                <w:sz w:val="19"/>
                <w:szCs w:val="19"/>
              </w:rPr>
              <w:t>Faiblesse</w:t>
            </w:r>
          </w:p>
        </w:tc>
        <w:tc>
          <w:tcPr>
            <w:tcW w:w="2560" w:type="dxa"/>
            <w:tcBorders>
              <w:top w:val="single" w:sz="2" w:space="0" w:color="CCCCCC"/>
              <w:left w:val="single" w:sz="2" w:space="0" w:color="CCCCCC"/>
              <w:bottom w:val="single" w:sz="2" w:space="0" w:color="CCCCCC"/>
              <w:right w:val="single" w:sz="2" w:space="0" w:color="CCCCCC"/>
            </w:tcBorders>
            <w:shd w:fill="F5F9FF" w:val="clear"/>
            <w:tcMar>
              <w:top w:w="80" w:type="dxa"/>
              <w:bottom w:w="80" w:type="dxa"/>
            </w:tcMar>
          </w:tcPr>
          <w:p>
            <w:pPr>
              <w:pStyle w:val="Normal"/>
              <w:rPr/>
            </w:pPr>
            <w:r>
              <w:rPr>
                <w:rFonts w:eastAsia="Arial" w:cs="Arial"/>
                <w:i/>
                <w:iCs/>
                <w:sz w:val="18"/>
                <w:szCs w:val="18"/>
              </w:rPr>
              <w:t>Absence d'un contrôle de sécurité qui devrait exister — aucun CVE assigné, c'est un manque de conception.</w:t>
            </w:r>
          </w:p>
        </w:tc>
      </w:tr>
      <w:tr>
        <w:trPr/>
        <w:tc>
          <w:tcPr>
            <w:tcW w:w="5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B. Un attaquant exécute un script de bourrage de credentials contre SanteNum</w:t>
            </w:r>
          </w:p>
        </w:tc>
        <w:tc>
          <w:tcPr>
            <w:tcW w:w="1600" w:type="dxa"/>
            <w:tcBorders>
              <w:top w:val="single" w:sz="2" w:space="0" w:color="CCCCCC"/>
              <w:left w:val="single" w:sz="2" w:space="0" w:color="CCCCCC"/>
              <w:bottom w:val="single" w:sz="2" w:space="0" w:color="CCCCCC"/>
              <w:right w:val="single" w:sz="2" w:space="0" w:color="CCCCCC"/>
            </w:tcBorders>
            <w:shd w:fill="FFEBEE" w:val="clear"/>
            <w:tcMar>
              <w:top w:w="80" w:type="dxa"/>
              <w:bottom w:w="80" w:type="dxa"/>
            </w:tcMar>
          </w:tcPr>
          <w:p>
            <w:pPr>
              <w:pStyle w:val="Normal"/>
              <w:jc w:val="center"/>
              <w:rPr/>
            </w:pPr>
            <w:r>
              <w:rPr>
                <w:rFonts w:eastAsia="Arial" w:cs="Arial"/>
                <w:b/>
                <w:bCs/>
                <w:color w:val="B71C1C"/>
                <w:sz w:val="19"/>
                <w:szCs w:val="19"/>
              </w:rPr>
              <w:t>Attaque</w:t>
            </w:r>
          </w:p>
        </w:tc>
        <w:tc>
          <w:tcPr>
            <w:tcW w:w="2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i/>
                <w:iCs/>
                <w:sz w:val="18"/>
                <w:szCs w:val="18"/>
              </w:rPr>
              <w:t>Action offensive concrète et intentionnelle menée par un acteur malveillant contre le système.</w:t>
            </w:r>
          </w:p>
        </w:tc>
      </w:tr>
      <w:tr>
        <w:trPr/>
        <w:tc>
          <w:tcPr>
            <w:tcW w:w="5200" w:type="dxa"/>
            <w:tcBorders>
              <w:top w:val="single" w:sz="2" w:space="0" w:color="CCCCCC"/>
              <w:left w:val="single" w:sz="2" w:space="0" w:color="CCCCCC"/>
              <w:bottom w:val="single" w:sz="2" w:space="0" w:color="CCCCCC"/>
              <w:right w:val="single" w:sz="2" w:space="0" w:color="CCCCCC"/>
            </w:tcBorders>
            <w:shd w:fill="F5F9FF" w:val="clear"/>
            <w:tcMar>
              <w:top w:w="80" w:type="dxa"/>
              <w:bottom w:w="80" w:type="dxa"/>
            </w:tcMar>
          </w:tcPr>
          <w:p>
            <w:pPr>
              <w:pStyle w:val="Normal"/>
              <w:rPr/>
            </w:pPr>
            <w:r>
              <w:rPr>
                <w:rFonts w:eastAsia="Arial" w:cs="Arial"/>
                <w:sz w:val="19"/>
                <w:szCs w:val="19"/>
              </w:rPr>
              <w:t>C. La synchronisation nocturne utilise un partage réseau non chiffré</w:t>
            </w:r>
          </w:p>
        </w:tc>
        <w:tc>
          <w:tcPr>
            <w:tcW w:w="1600" w:type="dxa"/>
            <w:tcBorders>
              <w:top w:val="single" w:sz="2" w:space="0" w:color="CCCCCC"/>
              <w:left w:val="single" w:sz="2" w:space="0" w:color="CCCCCC"/>
              <w:bottom w:val="single" w:sz="2" w:space="0" w:color="CCCCCC"/>
              <w:right w:val="single" w:sz="2" w:space="0" w:color="CCCCCC"/>
            </w:tcBorders>
            <w:shd w:fill="FFF9C4" w:val="clear"/>
            <w:tcMar>
              <w:top w:w="80" w:type="dxa"/>
              <w:bottom w:w="80" w:type="dxa"/>
            </w:tcMar>
          </w:tcPr>
          <w:p>
            <w:pPr>
              <w:pStyle w:val="Normal"/>
              <w:jc w:val="center"/>
              <w:rPr/>
            </w:pPr>
            <w:r>
              <w:rPr>
                <w:rFonts w:eastAsia="Arial" w:cs="Arial"/>
                <w:b/>
                <w:bCs/>
                <w:color w:val="827717"/>
                <w:sz w:val="19"/>
                <w:szCs w:val="19"/>
              </w:rPr>
              <w:t>Vulnérabilité</w:t>
            </w:r>
          </w:p>
        </w:tc>
        <w:tc>
          <w:tcPr>
            <w:tcW w:w="2560" w:type="dxa"/>
            <w:tcBorders>
              <w:top w:val="single" w:sz="2" w:space="0" w:color="CCCCCC"/>
              <w:left w:val="single" w:sz="2" w:space="0" w:color="CCCCCC"/>
              <w:bottom w:val="single" w:sz="2" w:space="0" w:color="CCCCCC"/>
              <w:right w:val="single" w:sz="2" w:space="0" w:color="CCCCCC"/>
            </w:tcBorders>
            <w:shd w:fill="F5F9FF" w:val="clear"/>
            <w:tcMar>
              <w:top w:w="80" w:type="dxa"/>
              <w:bottom w:w="80" w:type="dxa"/>
            </w:tcMar>
          </w:tcPr>
          <w:p>
            <w:pPr>
              <w:pStyle w:val="Normal"/>
              <w:rPr/>
            </w:pPr>
            <w:r>
              <w:rPr>
                <w:rFonts w:eastAsia="Arial" w:cs="Arial"/>
                <w:i/>
                <w:iCs/>
                <w:sz w:val="18"/>
                <w:szCs w:val="18"/>
              </w:rPr>
              <w:t>Faiblesse exploitable et identifiable : les données transitent en clair, exposées à l'interception.</w:t>
            </w:r>
          </w:p>
        </w:tc>
      </w:tr>
      <w:tr>
        <w:trPr/>
        <w:tc>
          <w:tcPr>
            <w:tcW w:w="5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D. Le mot de passe faible d'un employé est cracké par force brute</w:t>
            </w:r>
          </w:p>
        </w:tc>
        <w:tc>
          <w:tcPr>
            <w:tcW w:w="1600" w:type="dxa"/>
            <w:tcBorders>
              <w:top w:val="single" w:sz="2" w:space="0" w:color="CCCCCC"/>
              <w:left w:val="single" w:sz="2" w:space="0" w:color="CCCCCC"/>
              <w:bottom w:val="single" w:sz="2" w:space="0" w:color="CCCCCC"/>
              <w:right w:val="single" w:sz="2" w:space="0" w:color="CCCCCC"/>
            </w:tcBorders>
            <w:shd w:fill="FFF3E0" w:val="clear"/>
            <w:tcMar>
              <w:top w:w="80" w:type="dxa"/>
              <w:bottom w:w="80" w:type="dxa"/>
            </w:tcMar>
          </w:tcPr>
          <w:p>
            <w:pPr>
              <w:pStyle w:val="Normal"/>
              <w:jc w:val="center"/>
              <w:rPr/>
            </w:pPr>
            <w:r>
              <w:rPr>
                <w:rFonts w:eastAsia="Arial" w:cs="Arial"/>
                <w:b/>
                <w:bCs/>
                <w:color w:val="E65100"/>
                <w:sz w:val="19"/>
                <w:szCs w:val="19"/>
              </w:rPr>
              <w:t>Exploit</w:t>
            </w:r>
          </w:p>
        </w:tc>
        <w:tc>
          <w:tcPr>
            <w:tcW w:w="2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i/>
                <w:iCs/>
                <w:sz w:val="18"/>
                <w:szCs w:val="18"/>
              </w:rPr>
              <w:t>L'attaquant tire parti d'une faiblesse (mot de passe faible) pour compromettre un accès — c'est l'exploitation réussie.</w:t>
            </w:r>
          </w:p>
        </w:tc>
      </w:tr>
      <w:tr>
        <w:trPr/>
        <w:tc>
          <w:tcPr>
            <w:tcW w:w="5200" w:type="dxa"/>
            <w:tcBorders>
              <w:top w:val="single" w:sz="2" w:space="0" w:color="CCCCCC"/>
              <w:left w:val="single" w:sz="2" w:space="0" w:color="CCCCCC"/>
              <w:bottom w:val="single" w:sz="2" w:space="0" w:color="CCCCCC"/>
              <w:right w:val="single" w:sz="2" w:space="0" w:color="CCCCCC"/>
            </w:tcBorders>
            <w:shd w:fill="F5F9FF" w:val="clear"/>
            <w:tcMar>
              <w:top w:w="80" w:type="dxa"/>
              <w:bottom w:w="80" w:type="dxa"/>
            </w:tcMar>
          </w:tcPr>
          <w:p>
            <w:pPr>
              <w:pStyle w:val="Normal"/>
              <w:rPr/>
            </w:pPr>
            <w:r>
              <w:rPr>
                <w:rFonts w:eastAsia="Arial" w:cs="Arial"/>
                <w:sz w:val="19"/>
                <w:szCs w:val="19"/>
              </w:rPr>
              <w:t>E. Le serveur web tourne sur une version Apache obsolète avec une CVE connue</w:t>
            </w:r>
          </w:p>
        </w:tc>
        <w:tc>
          <w:tcPr>
            <w:tcW w:w="1600" w:type="dxa"/>
            <w:tcBorders>
              <w:top w:val="single" w:sz="2" w:space="0" w:color="CCCCCC"/>
              <w:left w:val="single" w:sz="2" w:space="0" w:color="CCCCCC"/>
              <w:bottom w:val="single" w:sz="2" w:space="0" w:color="CCCCCC"/>
              <w:right w:val="single" w:sz="2" w:space="0" w:color="CCCCCC"/>
            </w:tcBorders>
            <w:shd w:fill="FFF9C4" w:val="clear"/>
            <w:tcMar>
              <w:top w:w="80" w:type="dxa"/>
              <w:bottom w:w="80" w:type="dxa"/>
            </w:tcMar>
          </w:tcPr>
          <w:p>
            <w:pPr>
              <w:pStyle w:val="Normal"/>
              <w:jc w:val="center"/>
              <w:rPr/>
            </w:pPr>
            <w:r>
              <w:rPr>
                <w:rFonts w:eastAsia="Arial" w:cs="Arial"/>
                <w:b/>
                <w:bCs/>
                <w:color w:val="827717"/>
                <w:sz w:val="19"/>
                <w:szCs w:val="19"/>
              </w:rPr>
              <w:t>Vulnérabilité</w:t>
            </w:r>
          </w:p>
        </w:tc>
        <w:tc>
          <w:tcPr>
            <w:tcW w:w="2560" w:type="dxa"/>
            <w:tcBorders>
              <w:top w:val="single" w:sz="2" w:space="0" w:color="CCCCCC"/>
              <w:left w:val="single" w:sz="2" w:space="0" w:color="CCCCCC"/>
              <w:bottom w:val="single" w:sz="2" w:space="0" w:color="CCCCCC"/>
              <w:right w:val="single" w:sz="2" w:space="0" w:color="CCCCCC"/>
            </w:tcBorders>
            <w:shd w:fill="F5F9FF" w:val="clear"/>
            <w:tcMar>
              <w:top w:w="80" w:type="dxa"/>
              <w:bottom w:w="80" w:type="dxa"/>
            </w:tcMar>
          </w:tcPr>
          <w:p>
            <w:pPr>
              <w:pStyle w:val="Normal"/>
              <w:rPr/>
            </w:pPr>
            <w:r>
              <w:rPr>
                <w:rFonts w:eastAsia="Arial" w:cs="Arial"/>
                <w:i/>
                <w:iCs/>
                <w:sz w:val="18"/>
                <w:szCs w:val="18"/>
              </w:rPr>
              <w:t>CVE documentée = vulnérabilité reconnue, répertoriée, et potentiellement exploitable par n'importe qui.</w:t>
            </w:r>
          </w:p>
        </w:tc>
      </w:tr>
      <w:tr>
        <w:trPr/>
        <w:tc>
          <w:tcPr>
            <w:tcW w:w="52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sz w:val="19"/>
                <w:szCs w:val="19"/>
              </w:rPr>
              <w:t>F. Un agent malveillant injecte du SQL dans le champ de recherche pour extraire la BD</w:t>
            </w:r>
          </w:p>
        </w:tc>
        <w:tc>
          <w:tcPr>
            <w:tcW w:w="1600" w:type="dxa"/>
            <w:tcBorders>
              <w:top w:val="single" w:sz="2" w:space="0" w:color="CCCCCC"/>
              <w:left w:val="single" w:sz="2" w:space="0" w:color="CCCCCC"/>
              <w:bottom w:val="single" w:sz="2" w:space="0" w:color="CCCCCC"/>
              <w:right w:val="single" w:sz="2" w:space="0" w:color="CCCCCC"/>
            </w:tcBorders>
            <w:shd w:fill="FFEBEE" w:val="clear"/>
            <w:tcMar>
              <w:top w:w="80" w:type="dxa"/>
              <w:bottom w:w="80" w:type="dxa"/>
            </w:tcMar>
          </w:tcPr>
          <w:p>
            <w:pPr>
              <w:pStyle w:val="Normal"/>
              <w:jc w:val="center"/>
              <w:rPr/>
            </w:pPr>
            <w:r>
              <w:rPr>
                <w:rFonts w:eastAsia="Arial" w:cs="Arial"/>
                <w:b/>
                <w:bCs/>
                <w:color w:val="B71C1C"/>
                <w:sz w:val="19"/>
                <w:szCs w:val="19"/>
              </w:rPr>
              <w:t>Attaque</w:t>
            </w:r>
          </w:p>
        </w:tc>
        <w:tc>
          <w:tcPr>
            <w:tcW w:w="2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i/>
                <w:iCs/>
                <w:sz w:val="18"/>
                <w:szCs w:val="18"/>
              </w:rPr>
              <w:t>Acte malveillant actif visant à compromettre le système via une technique d'injection SQL.</w:t>
            </w:r>
          </w:p>
        </w:tc>
      </w:tr>
    </w:tbl>
    <w:p>
      <w:pPr>
        <w:pStyle w:val="Normal"/>
        <w:spacing w:before="200" w:after="80"/>
        <w:rPr/>
      </w:pPr>
      <w:r>
        <w:rPr/>
      </w:r>
    </w:p>
    <w:p>
      <w:pPr>
        <w:pStyle w:val="Heading1"/>
        <w:pBdr>
          <w:bottom w:val="single" w:sz="6" w:space="0" w:color="2E75B6"/>
        </w:pBdr>
        <w:spacing w:before="300" w:after="150"/>
        <w:rPr/>
      </w:pPr>
      <w:r>
        <w:rPr>
          <w:rFonts w:eastAsia="Arial" w:cs="Arial" w:ascii="Arial" w:hAnsi="Arial"/>
          <w:b/>
          <w:bCs/>
          <w:color w:val="1F4E79"/>
          <w:sz w:val="28"/>
          <w:szCs w:val="28"/>
        </w:rPr>
        <w:t>Partie C — Phases d'Attaque</w:t>
      </w:r>
    </w:p>
    <w:p>
      <w:pPr>
        <w:pStyle w:val="Normal"/>
        <w:spacing w:before="80" w:after="80"/>
        <w:rPr/>
      </w:pPr>
      <w:r>
        <w:rPr>
          <w:rFonts w:eastAsia="Arial" w:cs="Arial"/>
          <w:sz w:val="20"/>
          <w:szCs w:val="20"/>
        </w:rPr>
        <w:t>Analyse du récit d'attaque selon les 5 phases du cycle d'attaque (Cyber Kill Chain).</w:t>
      </w:r>
    </w:p>
    <w:p>
      <w:pPr>
        <w:pStyle w:val="Normal"/>
        <w:spacing w:before="100" w:after="80"/>
        <w:rPr/>
      </w:pPr>
      <w:r>
        <w:rPr/>
      </w:r>
    </w:p>
    <w:tbl>
      <w:tblPr>
        <w:tblW w:w="9360" w:type="dxa"/>
        <w:jc w:val="left"/>
        <w:tblInd w:w="0" w:type="dxa"/>
        <w:tblLayout w:type="fixed"/>
        <w:tblCellMar>
          <w:top w:w="100" w:type="dxa"/>
          <w:left w:w="120" w:type="dxa"/>
          <w:bottom w:w="100" w:type="dxa"/>
          <w:right w:w="120" w:type="dxa"/>
        </w:tblCellMar>
      </w:tblPr>
      <w:tblGrid>
        <w:gridCol w:w="398"/>
        <w:gridCol w:w="8961"/>
      </w:tblGrid>
      <w:tr>
        <w:trPr/>
        <w:tc>
          <w:tcPr>
            <w:tcW w:w="9359" w:type="dxa"/>
            <w:gridSpan w:val="2"/>
            <w:tcBorders>
              <w:top w:val="single" w:sz="2" w:space="0" w:color="CCCCCC"/>
              <w:left w:val="single" w:sz="2" w:space="0" w:color="CCCCCC"/>
              <w:bottom w:val="single" w:sz="2" w:space="0" w:color="CCCCCC"/>
              <w:right w:val="single" w:sz="2" w:space="0" w:color="CCCCCC"/>
            </w:tcBorders>
            <w:shd w:fill="E3F2FD" w:val="clear"/>
          </w:tcPr>
          <w:p>
            <w:pPr>
              <w:pStyle w:val="Normal"/>
              <w:rPr/>
            </w:pPr>
            <w:r>
              <w:rPr>
                <w:rFonts w:eastAsia="Arial" w:cs="Arial"/>
                <w:b/>
                <w:bCs/>
                <w:color w:val="0D47A1"/>
                <w:sz w:val="21"/>
                <w:szCs w:val="21"/>
              </w:rPr>
              <w:t>1. Reconnaissance</w:t>
            </w:r>
          </w:p>
        </w:tc>
      </w:tr>
      <w:tr>
        <w:trPr/>
        <w:tc>
          <w:tcPr>
            <w:tcW w:w="398" w:type="dxa"/>
            <w:tcBorders>
              <w:top w:val="single" w:sz="2" w:space="0" w:color="CCCCCC"/>
              <w:left w:val="single" w:sz="2" w:space="0" w:color="CCCCCC"/>
              <w:bottom w:val="single" w:sz="2" w:space="0" w:color="CCCCCC"/>
              <w:right w:val="single" w:sz="2" w:space="0" w:color="CCCCCC"/>
            </w:tcBorders>
            <w:shd w:fill="FAFAFA" w:val="clear"/>
            <w:tcMar>
              <w:top w:w="70" w:type="dxa"/>
              <w:bottom w:w="70" w:type="dxa"/>
              <w:right w:w="60" w:type="dxa"/>
            </w:tcMar>
          </w:tcPr>
          <w:p>
            <w:pPr>
              <w:pStyle w:val="Normal"/>
              <w:jc w:val="center"/>
              <w:rPr/>
            </w:pPr>
            <w:r>
              <w:rPr>
                <w:rFonts w:eastAsia="Arial" w:cs="Arial"/>
                <w:b/>
                <w:bCs/>
                <w:color w:val="0D47A1"/>
                <w:sz w:val="19"/>
                <w:szCs w:val="19"/>
              </w:rPr>
              <w:t>1.</w:t>
            </w:r>
          </w:p>
        </w:tc>
        <w:tc>
          <w:tcPr>
            <w:tcW w:w="8961" w:type="dxa"/>
            <w:tcBorders>
              <w:top w:val="single" w:sz="2" w:space="0" w:color="CCCCCC"/>
              <w:left w:val="single" w:sz="2" w:space="0" w:color="CCCCCC"/>
              <w:bottom w:val="single" w:sz="2" w:space="0" w:color="CCCCCC"/>
              <w:right w:val="single" w:sz="2" w:space="0" w:color="CCCCCC"/>
            </w:tcBorders>
            <w:shd w:fill="FAFAFA" w:val="clear"/>
            <w:tcMar>
              <w:top w:w="70" w:type="dxa"/>
              <w:bottom w:w="70" w:type="dxa"/>
            </w:tcMar>
          </w:tcPr>
          <w:p>
            <w:pPr>
              <w:pStyle w:val="Normal"/>
              <w:rPr/>
            </w:pPr>
            <w:r>
              <w:rPr>
                <w:rFonts w:eastAsia="Arial" w:cs="Arial"/>
                <w:sz w:val="19"/>
                <w:szCs w:val="19"/>
              </w:rPr>
              <w:t>Publication sur les réseaux sociaux professionnels par le personnel (fonctions, outils numériques utilisés).</w:t>
            </w:r>
          </w:p>
        </w:tc>
      </w:tr>
      <w:tr>
        <w:trPr/>
        <w:tc>
          <w:tcPr>
            <w:tcW w:w="398"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right w:w="60" w:type="dxa"/>
            </w:tcMar>
          </w:tcPr>
          <w:p>
            <w:pPr>
              <w:pStyle w:val="Normal"/>
              <w:jc w:val="center"/>
              <w:rPr/>
            </w:pPr>
            <w:r>
              <w:rPr>
                <w:rFonts w:eastAsia="Arial" w:cs="Arial"/>
                <w:b/>
                <w:bCs/>
                <w:color w:val="0D47A1"/>
                <w:sz w:val="19"/>
                <w:szCs w:val="19"/>
              </w:rPr>
              <w:t>2.</w:t>
            </w:r>
          </w:p>
        </w:tc>
        <w:tc>
          <w:tcPr>
            <w:tcW w:w="896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Arial" w:cs="Arial"/>
                <w:sz w:val="19"/>
                <w:szCs w:val="19"/>
              </w:rPr>
              <w:t>Appels suspects reçus par le service informatique de personnes se faisant passer pour des techniciens du fournisseur cloud (ingénierie sociale pour identifier les logiciels utilisés).</w:t>
            </w:r>
          </w:p>
        </w:tc>
      </w:tr>
      <w:tr>
        <w:trPr/>
        <w:tc>
          <w:tcPr>
            <w:tcW w:w="398" w:type="dxa"/>
            <w:tcBorders>
              <w:top w:val="single" w:sz="2" w:space="0" w:color="CCCCCC"/>
              <w:left w:val="single" w:sz="2" w:space="0" w:color="CCCCCC"/>
              <w:bottom w:val="single" w:sz="2" w:space="0" w:color="CCCCCC"/>
              <w:right w:val="single" w:sz="2" w:space="0" w:color="CCCCCC"/>
            </w:tcBorders>
            <w:shd w:fill="FAFAFA" w:val="clear"/>
            <w:tcMar>
              <w:top w:w="70" w:type="dxa"/>
              <w:bottom w:w="70" w:type="dxa"/>
              <w:right w:w="60" w:type="dxa"/>
            </w:tcMar>
          </w:tcPr>
          <w:p>
            <w:pPr>
              <w:pStyle w:val="Normal"/>
              <w:jc w:val="center"/>
              <w:rPr/>
            </w:pPr>
            <w:r>
              <w:rPr>
                <w:rFonts w:eastAsia="Arial" w:cs="Arial"/>
                <w:b/>
                <w:bCs/>
                <w:color w:val="0D47A1"/>
                <w:sz w:val="19"/>
                <w:szCs w:val="19"/>
              </w:rPr>
              <w:t>3.</w:t>
            </w:r>
          </w:p>
        </w:tc>
        <w:tc>
          <w:tcPr>
            <w:tcW w:w="8961" w:type="dxa"/>
            <w:tcBorders>
              <w:top w:val="single" w:sz="2" w:space="0" w:color="CCCCCC"/>
              <w:left w:val="single" w:sz="2" w:space="0" w:color="CCCCCC"/>
              <w:bottom w:val="single" w:sz="2" w:space="0" w:color="CCCCCC"/>
              <w:right w:val="single" w:sz="2" w:space="0" w:color="CCCCCC"/>
            </w:tcBorders>
            <w:shd w:fill="FAFAFA" w:val="clear"/>
            <w:tcMar>
              <w:top w:w="70" w:type="dxa"/>
              <w:bottom w:w="70" w:type="dxa"/>
            </w:tcMar>
          </w:tcPr>
          <w:p>
            <w:pPr>
              <w:pStyle w:val="Normal"/>
              <w:rPr/>
            </w:pPr>
            <w:r>
              <w:rPr>
                <w:rFonts w:eastAsia="Arial" w:cs="Arial"/>
                <w:sz w:val="19"/>
                <w:szCs w:val="19"/>
              </w:rPr>
              <w:t>Collecte passive d'informations sur l'environnement technologique de l'HNW (SanteNum, fournisseur cloud Azania).</w:t>
            </w:r>
          </w:p>
        </w:tc>
      </w:tr>
      <w:tr>
        <w:trPr/>
        <w:tc>
          <w:tcPr>
            <w:tcW w:w="9359" w:type="dxa"/>
            <w:gridSpan w:val="2"/>
            <w:tcBorders>
              <w:top w:val="single" w:sz="2" w:space="0" w:color="CCCCCC"/>
              <w:left w:val="single" w:sz="2" w:space="0" w:color="CCCCCC"/>
              <w:bottom w:val="single" w:sz="2" w:space="0" w:color="CCCCCC"/>
              <w:right w:val="single" w:sz="2" w:space="0" w:color="CCCCCC"/>
            </w:tcBorders>
            <w:shd w:fill="F3E5F5" w:val="clear"/>
          </w:tcPr>
          <w:p>
            <w:pPr>
              <w:pStyle w:val="Normal"/>
              <w:rPr/>
            </w:pPr>
            <w:r>
              <w:rPr>
                <w:rFonts w:eastAsia="Arial" w:cs="Arial"/>
                <w:b/>
                <w:bCs/>
                <w:color w:val="6A1B9A"/>
                <w:sz w:val="21"/>
                <w:szCs w:val="21"/>
              </w:rPr>
              <w:t>2. Infiltration / Armement &amp; Livraison</w:t>
            </w:r>
          </w:p>
        </w:tc>
      </w:tr>
      <w:tr>
        <w:trPr/>
        <w:tc>
          <w:tcPr>
            <w:tcW w:w="398" w:type="dxa"/>
            <w:tcBorders>
              <w:top w:val="single" w:sz="2" w:space="0" w:color="CCCCCC"/>
              <w:left w:val="single" w:sz="2" w:space="0" w:color="CCCCCC"/>
              <w:bottom w:val="single" w:sz="2" w:space="0" w:color="CCCCCC"/>
              <w:right w:val="single" w:sz="2" w:space="0" w:color="CCCCCC"/>
            </w:tcBorders>
            <w:shd w:fill="FAFAFA" w:val="clear"/>
            <w:tcMar>
              <w:top w:w="70" w:type="dxa"/>
              <w:bottom w:w="70" w:type="dxa"/>
              <w:right w:w="60" w:type="dxa"/>
            </w:tcMar>
          </w:tcPr>
          <w:p>
            <w:pPr>
              <w:pStyle w:val="Normal"/>
              <w:jc w:val="center"/>
              <w:rPr/>
            </w:pPr>
            <w:r>
              <w:rPr>
                <w:rFonts w:eastAsia="Arial" w:cs="Arial"/>
                <w:b/>
                <w:bCs/>
                <w:color w:val="6A1B9A"/>
                <w:sz w:val="19"/>
                <w:szCs w:val="19"/>
              </w:rPr>
              <w:t>1.</w:t>
            </w:r>
          </w:p>
        </w:tc>
        <w:tc>
          <w:tcPr>
            <w:tcW w:w="8961" w:type="dxa"/>
            <w:tcBorders>
              <w:top w:val="single" w:sz="2" w:space="0" w:color="CCCCCC"/>
              <w:left w:val="single" w:sz="2" w:space="0" w:color="CCCCCC"/>
              <w:bottom w:val="single" w:sz="2" w:space="0" w:color="CCCCCC"/>
              <w:right w:val="single" w:sz="2" w:space="0" w:color="CCCCCC"/>
            </w:tcBorders>
            <w:shd w:fill="FAFAFA" w:val="clear"/>
            <w:tcMar>
              <w:top w:w="70" w:type="dxa"/>
              <w:bottom w:w="70" w:type="dxa"/>
            </w:tcMar>
          </w:tcPr>
          <w:p>
            <w:pPr>
              <w:pStyle w:val="Normal"/>
              <w:rPr/>
            </w:pPr>
            <w:r>
              <w:rPr>
                <w:rFonts w:eastAsia="Arial" w:cs="Arial"/>
                <w:sz w:val="19"/>
                <w:szCs w:val="19"/>
              </w:rPr>
              <w:t>Envoi d'un e-mail de phishing ciblé à Fatoumata Diallo (agent facturation), prétendant provenir d'un partenaire médical connu.</w:t>
            </w:r>
          </w:p>
        </w:tc>
      </w:tr>
      <w:tr>
        <w:trPr/>
        <w:tc>
          <w:tcPr>
            <w:tcW w:w="398"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right w:w="60" w:type="dxa"/>
            </w:tcMar>
          </w:tcPr>
          <w:p>
            <w:pPr>
              <w:pStyle w:val="Normal"/>
              <w:jc w:val="center"/>
              <w:rPr/>
            </w:pPr>
            <w:r>
              <w:rPr>
                <w:rFonts w:eastAsia="Arial" w:cs="Arial"/>
                <w:b/>
                <w:bCs/>
                <w:color w:val="6A1B9A"/>
                <w:sz w:val="19"/>
                <w:szCs w:val="19"/>
              </w:rPr>
              <w:t>2.</w:t>
            </w:r>
          </w:p>
        </w:tc>
        <w:tc>
          <w:tcPr>
            <w:tcW w:w="896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Arial" w:cs="Arial"/>
                <w:sz w:val="19"/>
                <w:szCs w:val="19"/>
              </w:rPr>
              <w:t>Le message contient un fichier joint malveillant (pièce jointe piégée) lié à une fausse mise à jour des procédures.</w:t>
            </w:r>
          </w:p>
        </w:tc>
      </w:tr>
      <w:tr>
        <w:trPr/>
        <w:tc>
          <w:tcPr>
            <w:tcW w:w="398" w:type="dxa"/>
            <w:tcBorders>
              <w:top w:val="single" w:sz="2" w:space="0" w:color="CCCCCC"/>
              <w:left w:val="single" w:sz="2" w:space="0" w:color="CCCCCC"/>
              <w:bottom w:val="single" w:sz="2" w:space="0" w:color="CCCCCC"/>
              <w:right w:val="single" w:sz="2" w:space="0" w:color="CCCCCC"/>
            </w:tcBorders>
            <w:shd w:fill="FAFAFA" w:val="clear"/>
            <w:tcMar>
              <w:top w:w="70" w:type="dxa"/>
              <w:bottom w:w="70" w:type="dxa"/>
              <w:right w:w="60" w:type="dxa"/>
            </w:tcMar>
          </w:tcPr>
          <w:p>
            <w:pPr>
              <w:pStyle w:val="Normal"/>
              <w:jc w:val="center"/>
              <w:rPr/>
            </w:pPr>
            <w:r>
              <w:rPr>
                <w:rFonts w:eastAsia="Arial" w:cs="Arial"/>
                <w:b/>
                <w:bCs/>
                <w:color w:val="6A1B9A"/>
                <w:sz w:val="19"/>
                <w:szCs w:val="19"/>
              </w:rPr>
              <w:t>3.</w:t>
            </w:r>
          </w:p>
        </w:tc>
        <w:tc>
          <w:tcPr>
            <w:tcW w:w="8961" w:type="dxa"/>
            <w:tcBorders>
              <w:top w:val="single" w:sz="2" w:space="0" w:color="CCCCCC"/>
              <w:left w:val="single" w:sz="2" w:space="0" w:color="CCCCCC"/>
              <w:bottom w:val="single" w:sz="2" w:space="0" w:color="CCCCCC"/>
              <w:right w:val="single" w:sz="2" w:space="0" w:color="CCCCCC"/>
            </w:tcBorders>
            <w:shd w:fill="FAFAFA" w:val="clear"/>
            <w:tcMar>
              <w:top w:w="70" w:type="dxa"/>
              <w:bottom w:w="70" w:type="dxa"/>
            </w:tcMar>
          </w:tcPr>
          <w:p>
            <w:pPr>
              <w:pStyle w:val="Normal"/>
              <w:rPr/>
            </w:pPr>
            <w:r>
              <w:rPr>
                <w:rFonts w:eastAsia="Arial" w:cs="Arial"/>
                <w:sz w:val="19"/>
                <w:szCs w:val="19"/>
              </w:rPr>
              <w:t>Fatoumata ouvre le fichier depuis son poste professionnel — déclenchement du vecteur d'infection.</w:t>
            </w:r>
          </w:p>
        </w:tc>
      </w:tr>
      <w:tr>
        <w:trPr/>
        <w:tc>
          <w:tcPr>
            <w:tcW w:w="398"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right w:w="60" w:type="dxa"/>
            </w:tcMar>
          </w:tcPr>
          <w:p>
            <w:pPr>
              <w:pStyle w:val="Normal"/>
              <w:jc w:val="center"/>
              <w:rPr/>
            </w:pPr>
            <w:r>
              <w:rPr>
                <w:rFonts w:eastAsia="Arial" w:cs="Arial"/>
                <w:b/>
                <w:bCs/>
                <w:color w:val="6A1B9A"/>
                <w:sz w:val="19"/>
                <w:szCs w:val="19"/>
              </w:rPr>
              <w:t>4.</w:t>
            </w:r>
          </w:p>
        </w:tc>
        <w:tc>
          <w:tcPr>
            <w:tcW w:w="896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Arial" w:cs="Arial"/>
                <w:sz w:val="19"/>
                <w:szCs w:val="19"/>
              </w:rPr>
              <w:t>Exploitation du compte avec des droits d'accès aux données financières et d'assurance maladie.</w:t>
            </w:r>
          </w:p>
        </w:tc>
      </w:tr>
      <w:tr>
        <w:trPr/>
        <w:tc>
          <w:tcPr>
            <w:tcW w:w="9359" w:type="dxa"/>
            <w:gridSpan w:val="2"/>
            <w:tcBorders>
              <w:top w:val="single" w:sz="2" w:space="0" w:color="CCCCCC"/>
              <w:left w:val="single" w:sz="2" w:space="0" w:color="CCCCCC"/>
              <w:bottom w:val="single" w:sz="2" w:space="0" w:color="CCCCCC"/>
              <w:right w:val="single" w:sz="2" w:space="0" w:color="CCCCCC"/>
            </w:tcBorders>
            <w:shd w:fill="FFF8E1" w:val="clear"/>
          </w:tcPr>
          <w:p>
            <w:pPr>
              <w:pStyle w:val="Normal"/>
              <w:rPr/>
            </w:pPr>
            <w:r>
              <w:rPr>
                <w:rFonts w:eastAsia="Arial" w:cs="Arial"/>
                <w:b/>
                <w:bCs/>
                <w:color w:val="E65100"/>
                <w:sz w:val="21"/>
                <w:szCs w:val="21"/>
              </w:rPr>
              <w:t>3. Persistance &amp; Mouvement latéral</w:t>
            </w:r>
          </w:p>
        </w:tc>
      </w:tr>
      <w:tr>
        <w:trPr/>
        <w:tc>
          <w:tcPr>
            <w:tcW w:w="398" w:type="dxa"/>
            <w:tcBorders>
              <w:top w:val="single" w:sz="2" w:space="0" w:color="CCCCCC"/>
              <w:left w:val="single" w:sz="2" w:space="0" w:color="CCCCCC"/>
              <w:bottom w:val="single" w:sz="2" w:space="0" w:color="CCCCCC"/>
              <w:right w:val="single" w:sz="2" w:space="0" w:color="CCCCCC"/>
            </w:tcBorders>
            <w:shd w:fill="FAFAFA" w:val="clear"/>
            <w:tcMar>
              <w:top w:w="70" w:type="dxa"/>
              <w:bottom w:w="70" w:type="dxa"/>
              <w:right w:w="60" w:type="dxa"/>
            </w:tcMar>
          </w:tcPr>
          <w:p>
            <w:pPr>
              <w:pStyle w:val="Normal"/>
              <w:jc w:val="center"/>
              <w:rPr/>
            </w:pPr>
            <w:r>
              <w:rPr>
                <w:rFonts w:eastAsia="Arial" w:cs="Arial"/>
                <w:b/>
                <w:bCs/>
                <w:color w:val="E65100"/>
                <w:sz w:val="19"/>
                <w:szCs w:val="19"/>
              </w:rPr>
              <w:t>1.</w:t>
            </w:r>
          </w:p>
        </w:tc>
        <w:tc>
          <w:tcPr>
            <w:tcW w:w="8961" w:type="dxa"/>
            <w:tcBorders>
              <w:top w:val="single" w:sz="2" w:space="0" w:color="CCCCCC"/>
              <w:left w:val="single" w:sz="2" w:space="0" w:color="CCCCCC"/>
              <w:bottom w:val="single" w:sz="2" w:space="0" w:color="CCCCCC"/>
              <w:right w:val="single" w:sz="2" w:space="0" w:color="CCCCCC"/>
            </w:tcBorders>
            <w:shd w:fill="FAFAFA" w:val="clear"/>
            <w:tcMar>
              <w:top w:w="70" w:type="dxa"/>
              <w:bottom w:w="70" w:type="dxa"/>
            </w:tcMar>
          </w:tcPr>
          <w:p>
            <w:pPr>
              <w:pStyle w:val="Normal"/>
              <w:rPr/>
            </w:pPr>
            <w:r>
              <w:rPr>
                <w:rFonts w:eastAsia="Arial" w:cs="Arial"/>
                <w:sz w:val="19"/>
                <w:szCs w:val="19"/>
              </w:rPr>
              <w:t>Ralentissement de certains ordinateurs — indicateur d'activité malveillante en arrière-plan (malware actif).</w:t>
            </w:r>
          </w:p>
        </w:tc>
      </w:tr>
      <w:tr>
        <w:trPr/>
        <w:tc>
          <w:tcPr>
            <w:tcW w:w="398"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right w:w="60" w:type="dxa"/>
            </w:tcMar>
          </w:tcPr>
          <w:p>
            <w:pPr>
              <w:pStyle w:val="Normal"/>
              <w:jc w:val="center"/>
              <w:rPr/>
            </w:pPr>
            <w:r>
              <w:rPr>
                <w:rFonts w:eastAsia="Arial" w:cs="Arial"/>
                <w:b/>
                <w:bCs/>
                <w:color w:val="E65100"/>
                <w:sz w:val="19"/>
                <w:szCs w:val="19"/>
              </w:rPr>
              <w:t>2.</w:t>
            </w:r>
          </w:p>
        </w:tc>
        <w:tc>
          <w:tcPr>
            <w:tcW w:w="896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Arial" w:cs="Arial"/>
                <w:sz w:val="19"/>
                <w:szCs w:val="19"/>
              </w:rPr>
              <w:t>Connexions inhabituelles détectées tard la nuit — l'attaquant agit hors des heures de bureau pour éviter la détection.</w:t>
            </w:r>
          </w:p>
        </w:tc>
      </w:tr>
      <w:tr>
        <w:trPr/>
        <w:tc>
          <w:tcPr>
            <w:tcW w:w="398" w:type="dxa"/>
            <w:tcBorders>
              <w:top w:val="single" w:sz="2" w:space="0" w:color="CCCCCC"/>
              <w:left w:val="single" w:sz="2" w:space="0" w:color="CCCCCC"/>
              <w:bottom w:val="single" w:sz="2" w:space="0" w:color="CCCCCC"/>
              <w:right w:val="single" w:sz="2" w:space="0" w:color="CCCCCC"/>
            </w:tcBorders>
            <w:shd w:fill="FAFAFA" w:val="clear"/>
            <w:tcMar>
              <w:top w:w="70" w:type="dxa"/>
              <w:bottom w:w="70" w:type="dxa"/>
              <w:right w:w="60" w:type="dxa"/>
            </w:tcMar>
          </w:tcPr>
          <w:p>
            <w:pPr>
              <w:pStyle w:val="Normal"/>
              <w:jc w:val="center"/>
              <w:rPr/>
            </w:pPr>
            <w:r>
              <w:rPr>
                <w:rFonts w:eastAsia="Arial" w:cs="Arial"/>
                <w:b/>
                <w:bCs/>
                <w:color w:val="E65100"/>
                <w:sz w:val="19"/>
                <w:szCs w:val="19"/>
              </w:rPr>
              <w:t>3.</w:t>
            </w:r>
          </w:p>
        </w:tc>
        <w:tc>
          <w:tcPr>
            <w:tcW w:w="8961" w:type="dxa"/>
            <w:tcBorders>
              <w:top w:val="single" w:sz="2" w:space="0" w:color="CCCCCC"/>
              <w:left w:val="single" w:sz="2" w:space="0" w:color="CCCCCC"/>
              <w:bottom w:val="single" w:sz="2" w:space="0" w:color="CCCCCC"/>
              <w:right w:val="single" w:sz="2" w:space="0" w:color="CCCCCC"/>
            </w:tcBorders>
            <w:shd w:fill="FAFAFA" w:val="clear"/>
            <w:tcMar>
              <w:top w:w="70" w:type="dxa"/>
              <w:bottom w:w="70" w:type="dxa"/>
            </w:tcMar>
          </w:tcPr>
          <w:p>
            <w:pPr>
              <w:pStyle w:val="Normal"/>
              <w:rPr/>
            </w:pPr>
            <w:r>
              <w:rPr>
                <w:rFonts w:eastAsia="Arial" w:cs="Arial"/>
                <w:sz w:val="19"/>
                <w:szCs w:val="19"/>
              </w:rPr>
              <w:t>Comptes utilisateurs accédant à des dossiers inhabituels — mouvement latéral vers d'autres ressources (DME, pharmacie, labo).</w:t>
            </w:r>
          </w:p>
        </w:tc>
      </w:tr>
      <w:tr>
        <w:trPr/>
        <w:tc>
          <w:tcPr>
            <w:tcW w:w="398"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right w:w="60" w:type="dxa"/>
            </w:tcMar>
          </w:tcPr>
          <w:p>
            <w:pPr>
              <w:pStyle w:val="Normal"/>
              <w:jc w:val="center"/>
              <w:rPr/>
            </w:pPr>
            <w:r>
              <w:rPr>
                <w:rFonts w:eastAsia="Arial" w:cs="Arial"/>
                <w:b/>
                <w:bCs/>
                <w:color w:val="E65100"/>
                <w:sz w:val="19"/>
                <w:szCs w:val="19"/>
              </w:rPr>
              <w:t>4.</w:t>
            </w:r>
          </w:p>
        </w:tc>
        <w:tc>
          <w:tcPr>
            <w:tcW w:w="896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Arial" w:cs="Arial"/>
                <w:sz w:val="19"/>
                <w:szCs w:val="19"/>
              </w:rPr>
              <w:t>Phase silencieuse permettant à l'attaquant de cartographier le réseau, d'escalader les privilèges et de préparer la charge finale.</w:t>
            </w:r>
          </w:p>
        </w:tc>
      </w:tr>
      <w:tr>
        <w:trPr/>
        <w:tc>
          <w:tcPr>
            <w:tcW w:w="9359" w:type="dxa"/>
            <w:gridSpan w:val="2"/>
            <w:tcBorders>
              <w:top w:val="single" w:sz="2" w:space="0" w:color="CCCCCC"/>
              <w:left w:val="single" w:sz="2" w:space="0" w:color="CCCCCC"/>
              <w:bottom w:val="single" w:sz="2" w:space="0" w:color="CCCCCC"/>
              <w:right w:val="single" w:sz="2" w:space="0" w:color="CCCCCC"/>
            </w:tcBorders>
            <w:shd w:fill="FFEBEE" w:val="clear"/>
          </w:tcPr>
          <w:p>
            <w:pPr>
              <w:pStyle w:val="Normal"/>
              <w:rPr/>
            </w:pPr>
            <w:r>
              <w:rPr>
                <w:rFonts w:eastAsia="Arial" w:cs="Arial"/>
                <w:b/>
                <w:bCs/>
                <w:color w:val="B71C1C"/>
                <w:sz w:val="21"/>
                <w:szCs w:val="21"/>
              </w:rPr>
              <w:t>4. Exécution de l'attaque (Impact)</w:t>
            </w:r>
          </w:p>
        </w:tc>
      </w:tr>
      <w:tr>
        <w:trPr/>
        <w:tc>
          <w:tcPr>
            <w:tcW w:w="398" w:type="dxa"/>
            <w:tcBorders>
              <w:top w:val="single" w:sz="2" w:space="0" w:color="CCCCCC"/>
              <w:left w:val="single" w:sz="2" w:space="0" w:color="CCCCCC"/>
              <w:bottom w:val="single" w:sz="2" w:space="0" w:color="CCCCCC"/>
              <w:right w:val="single" w:sz="2" w:space="0" w:color="CCCCCC"/>
            </w:tcBorders>
            <w:shd w:fill="FAFAFA" w:val="clear"/>
            <w:tcMar>
              <w:top w:w="70" w:type="dxa"/>
              <w:bottom w:w="70" w:type="dxa"/>
              <w:right w:w="60" w:type="dxa"/>
            </w:tcMar>
          </w:tcPr>
          <w:p>
            <w:pPr>
              <w:pStyle w:val="Normal"/>
              <w:jc w:val="center"/>
              <w:rPr/>
            </w:pPr>
            <w:r>
              <w:rPr>
                <w:rFonts w:eastAsia="Arial" w:cs="Arial"/>
                <w:b/>
                <w:bCs/>
                <w:color w:val="B71C1C"/>
                <w:sz w:val="19"/>
                <w:szCs w:val="19"/>
              </w:rPr>
              <w:t>1.</w:t>
            </w:r>
          </w:p>
        </w:tc>
        <w:tc>
          <w:tcPr>
            <w:tcW w:w="8961" w:type="dxa"/>
            <w:tcBorders>
              <w:top w:val="single" w:sz="2" w:space="0" w:color="CCCCCC"/>
              <w:left w:val="single" w:sz="2" w:space="0" w:color="CCCCCC"/>
              <w:bottom w:val="single" w:sz="2" w:space="0" w:color="CCCCCC"/>
              <w:right w:val="single" w:sz="2" w:space="0" w:color="CCCCCC"/>
            </w:tcBorders>
            <w:shd w:fill="FAFAFA" w:val="clear"/>
            <w:tcMar>
              <w:top w:w="70" w:type="dxa"/>
              <w:bottom w:w="70" w:type="dxa"/>
            </w:tcMar>
          </w:tcPr>
          <w:p>
            <w:pPr>
              <w:pStyle w:val="Normal"/>
              <w:rPr/>
            </w:pPr>
            <w:r>
              <w:rPr>
                <w:rFonts w:eastAsia="Arial" w:cs="Arial"/>
                <w:sz w:val="19"/>
                <w:szCs w:val="19"/>
              </w:rPr>
              <w:t>Chiffrement du système par ransomware : les dossiers patients, analyses de laboratoire et le système de rendez-vous deviennent inaccessibles.</w:t>
            </w:r>
          </w:p>
        </w:tc>
      </w:tr>
      <w:tr>
        <w:trPr/>
        <w:tc>
          <w:tcPr>
            <w:tcW w:w="398"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right w:w="60" w:type="dxa"/>
            </w:tcMar>
          </w:tcPr>
          <w:p>
            <w:pPr>
              <w:pStyle w:val="Normal"/>
              <w:jc w:val="center"/>
              <w:rPr/>
            </w:pPr>
            <w:r>
              <w:rPr>
                <w:rFonts w:eastAsia="Arial" w:cs="Arial"/>
                <w:b/>
                <w:bCs/>
                <w:color w:val="B71C1C"/>
                <w:sz w:val="19"/>
                <w:szCs w:val="19"/>
              </w:rPr>
              <w:t>2.</w:t>
            </w:r>
          </w:p>
        </w:tc>
        <w:tc>
          <w:tcPr>
            <w:tcW w:w="896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Arial" w:cs="Arial"/>
                <w:sz w:val="19"/>
                <w:szCs w:val="19"/>
              </w:rPr>
              <w:t>Message de rançon affiché sur plusieurs écrans, exigeant un paiement pour restaurer l'accès.</w:t>
            </w:r>
          </w:p>
        </w:tc>
      </w:tr>
      <w:tr>
        <w:trPr/>
        <w:tc>
          <w:tcPr>
            <w:tcW w:w="398" w:type="dxa"/>
            <w:tcBorders>
              <w:top w:val="single" w:sz="2" w:space="0" w:color="CCCCCC"/>
              <w:left w:val="single" w:sz="2" w:space="0" w:color="CCCCCC"/>
              <w:bottom w:val="single" w:sz="2" w:space="0" w:color="CCCCCC"/>
              <w:right w:val="single" w:sz="2" w:space="0" w:color="CCCCCC"/>
            </w:tcBorders>
            <w:shd w:fill="FAFAFA" w:val="clear"/>
            <w:tcMar>
              <w:top w:w="70" w:type="dxa"/>
              <w:bottom w:w="70" w:type="dxa"/>
              <w:right w:w="60" w:type="dxa"/>
            </w:tcMar>
          </w:tcPr>
          <w:p>
            <w:pPr>
              <w:pStyle w:val="Normal"/>
              <w:jc w:val="center"/>
              <w:rPr/>
            </w:pPr>
            <w:r>
              <w:rPr>
                <w:rFonts w:eastAsia="Arial" w:cs="Arial"/>
                <w:b/>
                <w:bCs/>
                <w:color w:val="B71C1C"/>
                <w:sz w:val="19"/>
                <w:szCs w:val="19"/>
              </w:rPr>
              <w:t>3.</w:t>
            </w:r>
          </w:p>
        </w:tc>
        <w:tc>
          <w:tcPr>
            <w:tcW w:w="8961" w:type="dxa"/>
            <w:tcBorders>
              <w:top w:val="single" w:sz="2" w:space="0" w:color="CCCCCC"/>
              <w:left w:val="single" w:sz="2" w:space="0" w:color="CCCCCC"/>
              <w:bottom w:val="single" w:sz="2" w:space="0" w:color="CCCCCC"/>
              <w:right w:val="single" w:sz="2" w:space="0" w:color="CCCCCC"/>
            </w:tcBorders>
            <w:shd w:fill="FAFAFA" w:val="clear"/>
            <w:tcMar>
              <w:top w:w="70" w:type="dxa"/>
              <w:bottom w:w="70" w:type="dxa"/>
            </w:tcMar>
          </w:tcPr>
          <w:p>
            <w:pPr>
              <w:pStyle w:val="Normal"/>
              <w:rPr/>
            </w:pPr>
            <w:r>
              <w:rPr>
                <w:rFonts w:eastAsia="Arial" w:cs="Arial"/>
                <w:sz w:val="19"/>
                <w:szCs w:val="19"/>
              </w:rPr>
              <w:t>Perturbation majeure des services cliniques (médecins, laboratoire, administration) — menace directe pour la sécurité des patients.</w:t>
            </w:r>
          </w:p>
        </w:tc>
      </w:tr>
      <w:tr>
        <w:trPr/>
        <w:tc>
          <w:tcPr>
            <w:tcW w:w="398"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right w:w="60" w:type="dxa"/>
            </w:tcMar>
          </w:tcPr>
          <w:p>
            <w:pPr>
              <w:pStyle w:val="Normal"/>
              <w:jc w:val="center"/>
              <w:rPr/>
            </w:pPr>
            <w:r>
              <w:rPr>
                <w:rFonts w:eastAsia="Arial" w:cs="Arial"/>
                <w:b/>
                <w:bCs/>
                <w:color w:val="B71C1C"/>
                <w:sz w:val="19"/>
                <w:szCs w:val="19"/>
              </w:rPr>
              <w:t>4.</w:t>
            </w:r>
          </w:p>
        </w:tc>
        <w:tc>
          <w:tcPr>
            <w:tcW w:w="896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Arial" w:cs="Arial"/>
                <w:sz w:val="19"/>
                <w:szCs w:val="19"/>
              </w:rPr>
              <w:t>Violation simultanée des trois piliers CIA : C (accès aux données), I (chiffrement des fichiers), D (inaccessibilité des systèmes).</w:t>
            </w:r>
          </w:p>
        </w:tc>
      </w:tr>
      <w:tr>
        <w:trPr/>
        <w:tc>
          <w:tcPr>
            <w:tcW w:w="9359" w:type="dxa"/>
            <w:gridSpan w:val="2"/>
            <w:tcBorders>
              <w:top w:val="single" w:sz="2" w:space="0" w:color="CCCCCC"/>
              <w:left w:val="single" w:sz="2" w:space="0" w:color="CCCCCC"/>
              <w:bottom w:val="single" w:sz="2" w:space="0" w:color="CCCCCC"/>
              <w:right w:val="single" w:sz="2" w:space="0" w:color="CCCCCC"/>
            </w:tcBorders>
            <w:shd w:fill="E8F5E9" w:val="clear"/>
          </w:tcPr>
          <w:p>
            <w:pPr>
              <w:pStyle w:val="Normal"/>
              <w:rPr/>
            </w:pPr>
            <w:r>
              <w:rPr>
                <w:rFonts w:eastAsia="Arial" w:cs="Arial"/>
                <w:b/>
                <w:bCs/>
                <w:color w:val="1B5E20"/>
                <w:sz w:val="21"/>
                <w:szCs w:val="21"/>
              </w:rPr>
              <w:t>5. Dissimulation &amp; Déni plausible</w:t>
            </w:r>
          </w:p>
        </w:tc>
      </w:tr>
      <w:tr>
        <w:trPr/>
        <w:tc>
          <w:tcPr>
            <w:tcW w:w="398" w:type="dxa"/>
            <w:tcBorders>
              <w:top w:val="single" w:sz="2" w:space="0" w:color="CCCCCC"/>
              <w:left w:val="single" w:sz="2" w:space="0" w:color="CCCCCC"/>
              <w:bottom w:val="single" w:sz="2" w:space="0" w:color="CCCCCC"/>
              <w:right w:val="single" w:sz="2" w:space="0" w:color="CCCCCC"/>
            </w:tcBorders>
            <w:shd w:fill="FAFAFA" w:val="clear"/>
            <w:tcMar>
              <w:top w:w="70" w:type="dxa"/>
              <w:bottom w:w="70" w:type="dxa"/>
              <w:right w:w="60" w:type="dxa"/>
            </w:tcMar>
          </w:tcPr>
          <w:p>
            <w:pPr>
              <w:pStyle w:val="Normal"/>
              <w:jc w:val="center"/>
              <w:rPr/>
            </w:pPr>
            <w:r>
              <w:rPr>
                <w:rFonts w:eastAsia="Arial" w:cs="Arial"/>
                <w:b/>
                <w:bCs/>
                <w:color w:val="1B5E20"/>
                <w:sz w:val="19"/>
                <w:szCs w:val="19"/>
              </w:rPr>
              <w:t>1.</w:t>
            </w:r>
          </w:p>
        </w:tc>
        <w:tc>
          <w:tcPr>
            <w:tcW w:w="8961" w:type="dxa"/>
            <w:tcBorders>
              <w:top w:val="single" w:sz="2" w:space="0" w:color="CCCCCC"/>
              <w:left w:val="single" w:sz="2" w:space="0" w:color="CCCCCC"/>
              <w:bottom w:val="single" w:sz="2" w:space="0" w:color="CCCCCC"/>
              <w:right w:val="single" w:sz="2" w:space="0" w:color="CCCCCC"/>
            </w:tcBorders>
            <w:shd w:fill="FAFAFA" w:val="clear"/>
            <w:tcMar>
              <w:top w:w="70" w:type="dxa"/>
              <w:bottom w:w="70" w:type="dxa"/>
            </w:tcMar>
          </w:tcPr>
          <w:p>
            <w:pPr>
              <w:pStyle w:val="Normal"/>
              <w:rPr/>
            </w:pPr>
            <w:r>
              <w:rPr>
                <w:rFonts w:eastAsia="Arial" w:cs="Arial"/>
                <w:sz w:val="19"/>
                <w:szCs w:val="19"/>
              </w:rPr>
              <w:t>Suppression des journaux d'activité par l'attaquant pour effacer les traces de l'intrusion.</w:t>
            </w:r>
          </w:p>
        </w:tc>
      </w:tr>
      <w:tr>
        <w:trPr/>
        <w:tc>
          <w:tcPr>
            <w:tcW w:w="398"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right w:w="60" w:type="dxa"/>
            </w:tcMar>
          </w:tcPr>
          <w:p>
            <w:pPr>
              <w:pStyle w:val="Normal"/>
              <w:jc w:val="center"/>
              <w:rPr/>
            </w:pPr>
            <w:r>
              <w:rPr>
                <w:rFonts w:eastAsia="Arial" w:cs="Arial"/>
                <w:b/>
                <w:bCs/>
                <w:color w:val="1B5E20"/>
                <w:sz w:val="19"/>
                <w:szCs w:val="19"/>
              </w:rPr>
              <w:t>2.</w:t>
            </w:r>
          </w:p>
        </w:tc>
        <w:tc>
          <w:tcPr>
            <w:tcW w:w="896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Arial" w:cs="Arial"/>
                <w:sz w:val="19"/>
                <w:szCs w:val="19"/>
              </w:rPr>
              <w:t>Connexions provenant de serveurs situés dans plusieurs pays — utilisation d'un réseau de rebond pour masquer l'origine réelle.</w:t>
            </w:r>
          </w:p>
        </w:tc>
      </w:tr>
      <w:tr>
        <w:trPr/>
        <w:tc>
          <w:tcPr>
            <w:tcW w:w="398" w:type="dxa"/>
            <w:tcBorders>
              <w:top w:val="single" w:sz="2" w:space="0" w:color="CCCCCC"/>
              <w:left w:val="single" w:sz="2" w:space="0" w:color="CCCCCC"/>
              <w:bottom w:val="single" w:sz="2" w:space="0" w:color="CCCCCC"/>
              <w:right w:val="single" w:sz="2" w:space="0" w:color="CCCCCC"/>
            </w:tcBorders>
            <w:shd w:fill="FAFAFA" w:val="clear"/>
            <w:tcMar>
              <w:top w:w="70" w:type="dxa"/>
              <w:bottom w:w="70" w:type="dxa"/>
              <w:right w:w="60" w:type="dxa"/>
            </w:tcMar>
          </w:tcPr>
          <w:p>
            <w:pPr>
              <w:pStyle w:val="Normal"/>
              <w:jc w:val="center"/>
              <w:rPr/>
            </w:pPr>
            <w:r>
              <w:rPr>
                <w:rFonts w:eastAsia="Arial" w:cs="Arial"/>
                <w:b/>
                <w:bCs/>
                <w:color w:val="1B5E20"/>
                <w:sz w:val="19"/>
                <w:szCs w:val="19"/>
              </w:rPr>
              <w:t>3.</w:t>
            </w:r>
          </w:p>
        </w:tc>
        <w:tc>
          <w:tcPr>
            <w:tcW w:w="8961" w:type="dxa"/>
            <w:tcBorders>
              <w:top w:val="single" w:sz="2" w:space="0" w:color="CCCCCC"/>
              <w:left w:val="single" w:sz="2" w:space="0" w:color="CCCCCC"/>
              <w:bottom w:val="single" w:sz="2" w:space="0" w:color="CCCCCC"/>
              <w:right w:val="single" w:sz="2" w:space="0" w:color="CCCCCC"/>
            </w:tcBorders>
            <w:shd w:fill="FAFAFA" w:val="clear"/>
            <w:tcMar>
              <w:top w:w="70" w:type="dxa"/>
              <w:bottom w:w="70" w:type="dxa"/>
            </w:tcMar>
          </w:tcPr>
          <w:p>
            <w:pPr>
              <w:pStyle w:val="Normal"/>
              <w:rPr/>
            </w:pPr>
            <w:r>
              <w:rPr>
                <w:rFonts w:eastAsia="Arial" w:cs="Arial"/>
                <w:sz w:val="19"/>
                <w:szCs w:val="19"/>
              </w:rPr>
              <w:t>Usurpation des adresses IP du ministère de la santé du Wakanda — faux positifs conçus pour détourner les soupçons vers une institution légitime.</w:t>
            </w:r>
          </w:p>
        </w:tc>
      </w:tr>
      <w:tr>
        <w:trPr/>
        <w:tc>
          <w:tcPr>
            <w:tcW w:w="398"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right w:w="60" w:type="dxa"/>
            </w:tcMar>
          </w:tcPr>
          <w:p>
            <w:pPr>
              <w:pStyle w:val="Normal"/>
              <w:jc w:val="center"/>
              <w:rPr/>
            </w:pPr>
            <w:r>
              <w:rPr>
                <w:rFonts w:eastAsia="Arial" w:cs="Arial"/>
                <w:b/>
                <w:bCs/>
                <w:color w:val="1B5E20"/>
                <w:sz w:val="19"/>
                <w:szCs w:val="19"/>
              </w:rPr>
              <w:t>4.</w:t>
            </w:r>
          </w:p>
        </w:tc>
        <w:tc>
          <w:tcPr>
            <w:tcW w:w="8961" w:type="dxa"/>
            <w:tcBorders>
              <w:top w:val="single" w:sz="2" w:space="0" w:color="CCCCCC"/>
              <w:left w:val="single" w:sz="2" w:space="0" w:color="CCCCCC"/>
              <w:bottom w:val="single" w:sz="2" w:space="0" w:color="CCCCCC"/>
              <w:right w:val="single" w:sz="2" w:space="0" w:color="CCCCCC"/>
            </w:tcBorders>
            <w:shd w:fill="FFFFFF" w:val="clear"/>
            <w:tcMar>
              <w:top w:w="70" w:type="dxa"/>
              <w:bottom w:w="70" w:type="dxa"/>
            </w:tcMar>
          </w:tcPr>
          <w:p>
            <w:pPr>
              <w:pStyle w:val="Normal"/>
              <w:rPr/>
            </w:pPr>
            <w:r>
              <w:rPr>
                <w:rFonts w:eastAsia="Arial" w:cs="Arial"/>
                <w:sz w:val="19"/>
                <w:szCs w:val="19"/>
              </w:rPr>
              <w:t>Technique de fausse bannière (false flag) : faire croire que l'attaque vient d'une source gouvernementale pour compliquer l'investigation et retarder la réponse.</w:t>
            </w:r>
          </w:p>
        </w:tc>
      </w:tr>
    </w:tbl>
    <w:p>
      <w:pPr>
        <w:pStyle w:val="Normal"/>
        <w:spacing w:before="200" w:after="80"/>
        <w:rPr/>
      </w:pPr>
      <w:r>
        <w:rPr/>
      </w:r>
    </w:p>
    <w:p>
      <w:pPr>
        <w:pStyle w:val="Heading2"/>
        <w:spacing w:before="240" w:after="120"/>
        <w:rPr/>
      </w:pPr>
      <w:r>
        <w:rPr>
          <w:rFonts w:eastAsia="Arial" w:cs="Arial" w:ascii="Arial" w:hAnsi="Arial"/>
          <w:b/>
          <w:bCs/>
          <w:color w:val="2E75B6"/>
          <w:sz w:val="24"/>
          <w:szCs w:val="24"/>
        </w:rPr>
        <w:t>Q3 — Synthèse et observations</w:t>
      </w:r>
    </w:p>
    <w:p>
      <w:pPr>
        <w:pStyle w:val="Normal"/>
        <w:spacing w:before="80" w:after="80"/>
        <w:rPr/>
      </w:pPr>
      <w:r>
        <w:rPr>
          <w:rFonts w:eastAsia="Arial" w:cs="Arial"/>
          <w:b/>
          <w:bCs/>
          <w:color w:val="1F4E79"/>
          <w:sz w:val="20"/>
          <w:szCs w:val="20"/>
        </w:rPr>
        <w:t xml:space="preserve">Phases difficiles à distinguer : </w:t>
      </w:r>
      <w:r>
        <w:rPr>
          <w:rFonts w:eastAsia="Arial" w:cs="Arial"/>
          <w:sz w:val="20"/>
          <w:szCs w:val="20"/>
        </w:rPr>
        <w:t>La frontière entre Infiltration et Persistance/Mouvement latéral peut être floue : l'ouverture du fichier par Fatoumata marque l'infiltration initiale, mais c'est la phase silencieuse suivante (connexions nocturnes, ralentissements) qui correspond au déploiement et à l'expansion du malware.</w:t>
      </w:r>
    </w:p>
    <w:p>
      <w:pPr>
        <w:pStyle w:val="Normal"/>
        <w:spacing w:before="80" w:after="80"/>
        <w:rPr/>
      </w:pPr>
      <w:r>
        <w:rPr/>
      </w:r>
    </w:p>
    <w:p>
      <w:pPr>
        <w:pStyle w:val="Normal"/>
        <w:spacing w:before="80" w:after="80"/>
        <w:rPr/>
      </w:pPr>
      <w:r>
        <w:rPr>
          <w:rFonts w:eastAsia="Arial" w:cs="Arial"/>
          <w:b/>
          <w:bCs/>
          <w:color w:val="1F4E79"/>
          <w:sz w:val="20"/>
          <w:szCs w:val="20"/>
        </w:rPr>
        <w:t xml:space="preserve">Observation clé : </w:t>
      </w:r>
      <w:r>
        <w:rPr>
          <w:rFonts w:eastAsia="Arial" w:cs="Arial"/>
          <w:sz w:val="20"/>
          <w:szCs w:val="20"/>
        </w:rPr>
        <w:t>L'usurpation des adresses IP du ministère de la santé est une technique sophistiquée de fausse bannière (false flag) qui rend l'attribution difficile et retarde la réponse aux incidents — caractéristique d'un attaquant expérimenté, probablement un groupe APT (Advanced Persistent Threat).</w:t>
      </w:r>
    </w:p>
    <w:p>
      <w:pPr>
        <w:pStyle w:val="Normal"/>
        <w:spacing w:before="200" w:after="80"/>
        <w:rPr/>
      </w:pPr>
      <w:r>
        <w:rPr/>
      </w:r>
    </w:p>
    <w:p>
      <w:pPr>
        <w:pStyle w:val="Heading1"/>
        <w:pBdr>
          <w:bottom w:val="single" w:sz="6" w:space="0" w:color="2E75B6"/>
        </w:pBdr>
        <w:spacing w:before="300" w:after="150"/>
        <w:rPr/>
      </w:pPr>
      <w:r>
        <w:rPr>
          <w:rFonts w:eastAsia="Arial" w:cs="Arial" w:ascii="Arial" w:hAnsi="Arial"/>
          <w:b/>
          <w:bCs/>
          <w:color w:val="1F4E79"/>
          <w:sz w:val="28"/>
          <w:szCs w:val="28"/>
        </w:rPr>
        <w:t>Réflexion de groupe — Préparation à la présentation</w:t>
      </w:r>
    </w:p>
    <w:p>
      <w:pPr>
        <w:pStyle w:val="Heading2"/>
        <w:spacing w:before="240" w:after="120"/>
        <w:rPr/>
      </w:pPr>
      <w:r>
        <w:rPr>
          <w:rFonts w:eastAsia="Arial" w:cs="Arial" w:ascii="Arial" w:hAnsi="Arial"/>
          <w:b/>
          <w:bCs/>
          <w:color w:val="2E75B6"/>
          <w:sz w:val="24"/>
          <w:szCs w:val="24"/>
        </w:rPr>
        <w:t>1. Menace la plus grave</w:t>
      </w:r>
    </w:p>
    <w:p>
      <w:pPr>
        <w:pStyle w:val="Normal"/>
        <w:spacing w:before="80" w:after="80"/>
        <w:rPr/>
      </w:pPr>
      <w:r>
        <w:rPr>
          <w:rFonts w:eastAsia="Arial" w:cs="Arial"/>
          <w:sz w:val="20"/>
          <w:szCs w:val="20"/>
        </w:rPr>
        <w:t>L'attaque par ransomware est la plus grave car elle compromet simultanément les 3 piliers CIA, paralyse les soins médicaux (risque vital pour les patients), et son impact est immédiat, visible et difficile à réverser sans sauvegardes. Dans un hôpital africain avec des ressources limitées, payer la rançon n'est souvent pas une option, et la reconstruction peut prendre des semaines.</w:t>
      </w:r>
    </w:p>
    <w:p>
      <w:pPr>
        <w:pStyle w:val="Heading2"/>
        <w:spacing w:before="240" w:after="120"/>
        <w:rPr/>
      </w:pPr>
      <w:r>
        <w:rPr>
          <w:rFonts w:eastAsia="Arial" w:cs="Arial" w:ascii="Arial" w:hAnsi="Arial"/>
          <w:b/>
          <w:bCs/>
          <w:color w:val="2E75B6"/>
          <w:sz w:val="24"/>
          <w:szCs w:val="24"/>
        </w:rPr>
        <w:t>2. Vulnérabilité choisie + contre-mesures</w:t>
      </w:r>
    </w:p>
    <w:p>
      <w:pPr>
        <w:pStyle w:val="Normal"/>
        <w:spacing w:before="80" w:after="80"/>
        <w:rPr/>
      </w:pPr>
      <w:r>
        <w:rPr>
          <w:rFonts w:eastAsia="Arial" w:cs="Arial"/>
          <w:b/>
          <w:bCs/>
          <w:color w:val="1F4E79"/>
          <w:sz w:val="20"/>
          <w:szCs w:val="20"/>
        </w:rPr>
        <w:t xml:space="preserve">Vulnérabilité : </w:t>
      </w:r>
      <w:r>
        <w:rPr>
          <w:rFonts w:eastAsia="Arial" w:cs="Arial"/>
          <w:sz w:val="20"/>
          <w:szCs w:val="20"/>
        </w:rPr>
        <w:t>C — Synchronisation nocturne via un partage réseau non chiffré.</w:t>
      </w:r>
    </w:p>
    <w:p>
      <w:pPr>
        <w:pStyle w:val="Normal"/>
        <w:spacing w:before="80" w:after="80"/>
        <w:rPr/>
      </w:pPr>
      <w:r>
        <w:rPr>
          <w:rFonts w:eastAsia="Arial" w:cs="Arial"/>
          <w:b/>
          <w:bCs/>
          <w:color w:val="1F4E79"/>
          <w:sz w:val="20"/>
          <w:szCs w:val="20"/>
        </w:rPr>
        <w:t xml:space="preserve">Contre-mesure technique : </w:t>
      </w:r>
      <w:r>
        <w:rPr>
          <w:rFonts w:eastAsia="Arial" w:cs="Arial"/>
          <w:sz w:val="20"/>
          <w:szCs w:val="20"/>
        </w:rPr>
        <w:t>Chiffrer toutes les communications de synchronisation avec TLS 1.3 ou VPN IPsec. Mettre en place une authentification mutuelle entre le serveur on-site et le cloud (certificats clients).</w:t>
      </w:r>
    </w:p>
    <w:p>
      <w:pPr>
        <w:pStyle w:val="Normal"/>
        <w:spacing w:before="80" w:after="80"/>
        <w:rPr/>
      </w:pPr>
      <w:r>
        <w:rPr>
          <w:rFonts w:eastAsia="Arial" w:cs="Arial"/>
          <w:b/>
          <w:bCs/>
          <w:color w:val="1F4E79"/>
          <w:sz w:val="20"/>
          <w:szCs w:val="20"/>
        </w:rPr>
        <w:t xml:space="preserve">Contre-mesure organisationnelle : </w:t>
      </w:r>
      <w:r>
        <w:rPr>
          <w:rFonts w:eastAsia="Arial" w:cs="Arial"/>
          <w:sz w:val="20"/>
          <w:szCs w:val="20"/>
        </w:rPr>
        <w:t>Établir une politique de sécurité des transferts de données imposant le chiffrement de bout en bout pour tout transfert de données médicales, avec audit trimestriel de conformité. Former l'administrateur Seydou Coulibaly aux bonnes pratiques de sécurisation des flux réseau.</w:t>
      </w:r>
    </w:p>
    <w:p>
      <w:pPr>
        <w:pStyle w:val="Heading2"/>
        <w:spacing w:before="240" w:after="120"/>
        <w:rPr/>
      </w:pPr>
      <w:r>
        <w:rPr>
          <w:rFonts w:eastAsia="Arial" w:cs="Arial" w:ascii="Arial" w:hAnsi="Arial"/>
          <w:b/>
          <w:bCs/>
          <w:color w:val="2E75B6"/>
          <w:sz w:val="24"/>
          <w:szCs w:val="24"/>
        </w:rPr>
        <w:t>3. Phases difficiles à distinguer</w:t>
      </w:r>
    </w:p>
    <w:p>
      <w:pPr>
        <w:pStyle w:val="Normal"/>
        <w:spacing w:before="80" w:after="80"/>
        <w:rPr/>
      </w:pPr>
      <w:r>
        <w:rPr>
          <w:rFonts w:eastAsia="Arial" w:cs="Arial"/>
          <w:sz w:val="20"/>
          <w:szCs w:val="20"/>
        </w:rPr>
        <w:t>Les phases de Persistance et d'Exécution sont proches dans le récit : les ralentissements et connexions nocturnes pourraient être interprétés soit comme la fin de l'infiltration, soit comme le début de l'exécution. En pratique, la distinction repose sur l'intention : la persistance vise à s'installer durablement, l'exécution à déclencher l'impact final.</w:t>
      </w:r>
    </w:p>
    <w:p>
      <w:pPr>
        <w:pStyle w:val="Heading2"/>
        <w:spacing w:before="240" w:after="120"/>
        <w:rPr/>
      </w:pPr>
      <w:r>
        <w:rPr>
          <w:rFonts w:eastAsia="Arial" w:cs="Arial" w:ascii="Arial" w:hAnsi="Arial"/>
          <w:b/>
          <w:bCs/>
          <w:color w:val="2E75B6"/>
          <w:sz w:val="24"/>
          <w:szCs w:val="24"/>
        </w:rPr>
        <w:t>4. Priorité CIA selon le rôle</w:t>
      </w:r>
    </w:p>
    <w:p>
      <w:pPr>
        <w:pStyle w:val="Normal"/>
        <w:spacing w:before="80" w:after="80"/>
        <w:rPr/>
      </w:pPr>
      <w:r>
        <w:rPr>
          <w:rFonts w:eastAsia="Arial" w:cs="Arial"/>
          <w:b/>
          <w:bCs/>
          <w:color w:val="1F4E79"/>
          <w:sz w:val="20"/>
          <w:szCs w:val="20"/>
        </w:rPr>
        <w:t xml:space="preserve">DSI de l'HNW : </w:t>
      </w:r>
      <w:r>
        <w:rPr>
          <w:rFonts w:eastAsia="Arial" w:cs="Arial"/>
          <w:sz w:val="20"/>
          <w:szCs w:val="20"/>
        </w:rPr>
        <w:t>Prioriserait la Disponibilité — un hôpital doit fonctionner 24h/24. L'indisponibilité du DME peut directement menacer des vies (accès aux allergies, traitements en cours, résultats d'analyses urgents).</w:t>
      </w:r>
    </w:p>
    <w:p>
      <w:pPr>
        <w:pStyle w:val="Normal"/>
        <w:spacing w:before="80" w:after="80"/>
        <w:rPr/>
      </w:pPr>
      <w:r>
        <w:rPr>
          <w:rFonts w:eastAsia="Arial" w:cs="Arial"/>
          <w:b/>
          <w:bCs/>
          <w:color w:val="1F4E79"/>
          <w:sz w:val="20"/>
          <w:szCs w:val="20"/>
        </w:rPr>
        <w:t xml:space="preserve">Perspective d'un patient : </w:t>
      </w:r>
      <w:r>
        <w:rPr>
          <w:rFonts w:eastAsia="Arial" w:cs="Arial"/>
          <w:sz w:val="20"/>
          <w:szCs w:val="20"/>
        </w:rPr>
        <w:t>Prioriserait la Confidentialité — la divulgation de données médicales sensibles (VIH, psychiatrie, addictions) peut entraîner discrimination, perte d'emploi ou stigmatisation sociale. Dans le contexte africain, où les protections légales des données personnelles sont encore émergentes, cette vulnérabilité est particulièrement préoccupante.</w:t>
      </w:r>
    </w:p>
    <w:p>
      <w:pPr>
        <w:pStyle w:val="Normal"/>
        <w:spacing w:before="80" w:after="80"/>
        <w:rPr/>
      </w:pPr>
      <w:r>
        <w:rPr/>
      </w:r>
    </w:p>
    <w:sectPr>
      <w:type w:val="nextPage"/>
      <w:pgSz w:w="11906" w:h="16838"/>
      <w:pgMar w:left="1134" w:right="1134" w:gutter="0" w:header="0" w:top="1134" w:footer="0" w:bottom="1134"/>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0"/>
      <w:szCs w:val="20"/>
      <w:lang w:val="fr-FR" w:eastAsia="zh-CN" w:bidi="hi-IN"/>
    </w:rPr>
  </w:style>
  <w:style w:type="paragraph" w:styleId="Heading1">
    <w:name w:val="Heading 1"/>
    <w:basedOn w:val="Heading"/>
    <w:qFormat/>
    <w:pPr>
      <w:spacing w:before="300" w:after="150"/>
      <w:outlineLvl w:val="0"/>
    </w:pPr>
    <w:rPr>
      <w:rFonts w:ascii="Arial" w:hAnsi="Arial" w:eastAsia="Arial" w:cs="Arial"/>
      <w:b/>
      <w:bCs/>
      <w:color w:val="1F4E79"/>
      <w:sz w:val="28"/>
      <w:szCs w:val="28"/>
    </w:rPr>
  </w:style>
  <w:style w:type="paragraph" w:styleId="Heading2">
    <w:name w:val="Heading 2"/>
    <w:basedOn w:val="Heading"/>
    <w:qFormat/>
    <w:pPr>
      <w:spacing w:before="200" w:after="100"/>
      <w:outlineLvl w:val="1"/>
    </w:pPr>
    <w:rPr>
      <w:rFonts w:ascii="Arial" w:hAnsi="Arial" w:eastAsia="Arial" w:cs="Arial"/>
      <w:b/>
      <w:bCs/>
      <w:color w:val="2E75B6"/>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0"/>
      <w:szCs w:val="20"/>
      <w:lang w:val="fr-FR"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0"/>
      <w:szCs w:val="20"/>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LibreOffice/24.2.7.2$Linux_X86_64 LibreOffice_project/420$Build-2</Application>
  <AppVersion>15.0000</AppVersion>
  <Pages>5</Pages>
  <Words>1634</Words>
  <Characters>9838</Characters>
  <CharactersWithSpaces>11329</CharactersWithSpaces>
  <Paragraphs>160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2026-05-20T23:40:17Z</dcterms:created>
  <dc:creator>Un-named</dc:creator>
  <dc:description/>
  <dc:language>fr-FR</dc:language>
  <cp:lastModifiedBy/>
  <dcterms:modified xsi:type="dcterms:W3CDTF">2026-05-20T23:59:05Z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