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jc w:val="center"/>
      </w:pPr>
      <w:r>
        <w:rPr>
          <w:rFonts w:ascii="Arial" w:cs="Arial" w:eastAsia="Arial" w:hAnsi="Arial"/>
          <w:b/>
          <w:bCs/>
          <w:color w:val="1C1C1C"/>
          <w:sz w:val="40"/>
          <w:szCs w:val="40"/>
        </w:rPr>
        <w:t xml:space="preserve">5-POINT INSIGHTS REPORT</w:t>
      </w:r>
    </w:p>
    <w:p>
      <w:pPr>
        <w:spacing w:after="60" w:before="0"/>
        <w:jc w:val="center"/>
      </w:pPr>
      <w:r>
        <w:rPr>
          <w:rFonts w:ascii="Arial" w:cs="Arial" w:eastAsia="Arial" w:hAnsi="Arial"/>
          <w:b/>
          <w:bCs/>
          <w:color w:val="FC8019"/>
          <w:sz w:val="26"/>
          <w:szCs w:val="26"/>
        </w:rPr>
        <w:t xml:space="preserve">Swiggy Restaurant Performance &amp; Delivery Analytics</w:t>
      </w:r>
    </w:p>
    <w:p>
      <w:pPr>
        <w:spacing w:after="200" w:before="0"/>
        <w:jc w:val="center"/>
      </w:pPr>
      <w:r>
        <w:rPr>
          <w:rFonts w:ascii="Arial" w:cs="Arial" w:eastAsia="Arial" w:hAnsi="Arial"/>
          <w:color w:val="888888"/>
          <w:sz w:val="20"/>
          <w:szCs w:val="20"/>
        </w:rPr>
        <w:t xml:space="preserve">Data Source: Swiggy Platform  |  9 Cities  |  8,675 Restaurants  |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E74C3C"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01</w:t>
            </w:r>
          </w:p>
        </w:tc>
        <w:tc>
          <w:tcPr>
            <w:tcW w:type="dxa" w:w="8560"/>
            <w:tcBorders>
              <w:top w:val="none" w:color="FFFFFF" w:sz="0"/>
              <w:left w:val="none" w:color="FFFFFF" w:sz="0"/>
              <w:bottom w:val="none" w:color="FFFFFF" w:sz="0"/>
              <w:right w:val="none" w:color="FFFFFF" w:sz="0"/>
            </w:tcBorders>
            <w:shd w:fill="1C1C1C" w:val="clear"/>
            <w:tcMar>
              <w:top w:type="dxa" w:w="120"/>
              <w:left w:type="dxa" w:w="160"/>
              <w:bottom w:type="dxa" w:w="120"/>
              <w:right w:type="dxa" w:w="120"/>
            </w:tcMar>
          </w:tcPr>
          <w:p>
            <w:r>
              <w:rPr>
                <w:rFonts w:ascii="Arial" w:cs="Arial" w:eastAsia="Arial" w:hAnsi="Arial"/>
                <w:b/>
                <w:bCs/>
                <w:color w:val="FFFFFF"/>
                <w:sz w:val="24"/>
                <w:szCs w:val="24"/>
              </w:rPr>
              <w:t xml:space="preserve">Delivery Crisis — 70.49% of Restaurants Breach the 45-Min SLA</w:t>
            </w:r>
          </w:p>
        </w:tc>
      </w:tr>
    </w:tbl>
    <w:p>
      <w:pPr>
        <w:spacing w:after="80" w:before="120"/>
      </w:pPr>
      <w:r>
        <w:rPr>
          <w:rFonts w:ascii="Arial" w:cs="Arial" w:eastAsia="Arial" w:hAnsi="Arial"/>
          <w:b/>
          <w:bCs/>
          <w:color w:val="E74C3C"/>
          <w:sz w:val="22"/>
          <w:szCs w:val="22"/>
        </w:rPr>
        <w:t xml:space="preserve">FINDING:  </w:t>
      </w:r>
      <w:r>
        <w:rPr>
          <w:rFonts w:ascii="Arial" w:cs="Arial" w:eastAsia="Arial" w:hAnsi="Arial"/>
          <w:sz w:val="22"/>
          <w:szCs w:val="22"/>
        </w:rPr>
        <w:t xml:space="preserve">Analysis of 8,675 restaurants reveals that 70.49% fail to meet Swiggy's 45-minute delivery SLA. Only 216 restaurants (2.5%) consistently achieve the 30-minute promise. Kolkata is the worst performer at 91% breach rate, while Ahmedabad performs best at 45%. The Delayed (46–60 min) and Very Delayed (&gt;60 min) categories account for 6,115 restaurants combined.</w:t>
      </w:r>
    </w:p>
    <w:p>
      <w:pPr>
        <w:spacing w:after="40" w:before="60"/>
      </w:pPr>
      <w:r>
        <w:rPr>
          <w:rFonts w:ascii="Arial" w:cs="Arial" w:eastAsia="Arial" w:hAnsi="Arial"/>
          <w:b/>
          <w:bCs/>
          <w:color w:val="555555"/>
          <w:sz w:val="20"/>
          <w:szCs w:val="20"/>
        </w:rPr>
        <w:t xml:space="preserve">KEY DATA POINTS:</w:t>
      </w:r>
    </w:p>
    <w:p>
      <w:pPr>
        <w:pStyle w:val="ListParagraph"/>
        <w:numPr>
          <w:ilvl w:val="0"/>
          <w:numId w:val="2"/>
        </w:numPr>
        <w:spacing w:after="40" w:before="40"/>
      </w:pPr>
      <w:r>
        <w:rPr>
          <w:rFonts w:ascii="Arial" w:cs="Arial" w:eastAsia="Arial" w:hAnsi="Arial"/>
          <w:color w:val="333333"/>
          <w:sz w:val="20"/>
          <w:szCs w:val="20"/>
        </w:rPr>
        <w:t xml:space="preserve">Kolkata: 91% SLA breach — highest in platform</w:t>
      </w:r>
    </w:p>
    <w:p>
      <w:pPr>
        <w:pStyle w:val="ListParagraph"/>
        <w:numPr>
          <w:ilvl w:val="0"/>
          <w:numId w:val="2"/>
        </w:numPr>
        <w:spacing w:after="40" w:before="40"/>
      </w:pPr>
      <w:r>
        <w:rPr>
          <w:rFonts w:ascii="Arial" w:cs="Arial" w:eastAsia="Arial" w:hAnsi="Arial"/>
          <w:color w:val="333333"/>
          <w:sz w:val="20"/>
          <w:szCs w:val="20"/>
        </w:rPr>
        <w:t xml:space="preserve">Ahmedabad: 45% SLA breach — best performing city</w:t>
      </w:r>
    </w:p>
    <w:p>
      <w:pPr>
        <w:pStyle w:val="ListParagraph"/>
        <w:numPr>
          <w:ilvl w:val="0"/>
          <w:numId w:val="2"/>
        </w:numPr>
        <w:spacing w:after="40" w:before="40"/>
      </w:pPr>
      <w:r>
        <w:rPr>
          <w:rFonts w:ascii="Arial" w:cs="Arial" w:eastAsia="Arial" w:hAnsi="Arial"/>
          <w:color w:val="333333"/>
          <w:sz w:val="20"/>
          <w:szCs w:val="20"/>
        </w:rPr>
        <w:t xml:space="preserve">Fast delivery (≤30 min): only 216 restaurants (2.5%)</w:t>
      </w:r>
    </w:p>
    <w:p>
      <w:pPr>
        <w:pStyle w:val="ListParagraph"/>
        <w:numPr>
          <w:ilvl w:val="0"/>
          <w:numId w:val="2"/>
        </w:numPr>
        <w:spacing w:after="40" w:before="40"/>
      </w:pPr>
      <w:r>
        <w:rPr>
          <w:rFonts w:ascii="Arial" w:cs="Arial" w:eastAsia="Arial" w:hAnsi="Arial"/>
          <w:color w:val="333333"/>
          <w:sz w:val="20"/>
          <w:szCs w:val="20"/>
        </w:rPr>
        <w:t xml:space="preserve">Very Delayed (&gt;60 min): 2,682 restaurants (30.9%)</w:t>
      </w:r>
    </w:p>
    <w:p>
      <w:pPr>
        <w:spacing w:after="40" w:before="100"/>
      </w:pPr>
      <w:r>
        <w:rPr>
          <w:rFonts w:ascii="Arial" w:cs="Arial" w:eastAsia="Arial" w:hAnsi="Arial"/>
          <w:b/>
          <w:bCs/>
          <w:color w:val="E74C3C"/>
          <w:sz w:val="22"/>
          <w:szCs w:val="22"/>
        </w:rPr>
        <w:t xml:space="preserve">RECOMMENDATION:  </w:t>
      </w:r>
    </w:p>
    <w:p>
      <w:pPr>
        <w:pBdr>
          <w:left w:val="single" w:color="E74C3C" w:sz="12"/>
        </w:pBdr>
        <w:spacing w:after="200" w:before="60"/>
        <w:ind w:left="360"/>
      </w:pPr>
      <w:r>
        <w:rPr>
          <w:rFonts w:ascii="Arial" w:cs="Arial" w:eastAsia="Arial" w:hAnsi="Arial"/>
          <w:i/>
          <w:iCs/>
          <w:sz w:val="22"/>
          <w:szCs w:val="22"/>
        </w:rPr>
        <w:t xml:space="preserve">Implement city-specific delivery partner surge allocation for Kolkata and Chennai. Introduce a real-time breach alert system for restaurant operations teams. Partner with hyperlocal logistics providers in Tier-2 cities to reduce last-mile distances. Set a 6-month target to reduce breach rate from 70.49% to below 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E74C3C"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02</w:t>
            </w:r>
          </w:p>
        </w:tc>
        <w:tc>
          <w:tcPr>
            <w:tcW w:type="dxa" w:w="8560"/>
            <w:tcBorders>
              <w:top w:val="none" w:color="FFFFFF" w:sz="0"/>
              <w:left w:val="none" w:color="FFFFFF" w:sz="0"/>
              <w:bottom w:val="none" w:color="FFFFFF" w:sz="0"/>
              <w:right w:val="none" w:color="FFFFFF" w:sz="0"/>
            </w:tcBorders>
            <w:shd w:fill="1C1C1C" w:val="clear"/>
            <w:tcMar>
              <w:top w:type="dxa" w:w="120"/>
              <w:left w:type="dxa" w:w="160"/>
              <w:bottom w:type="dxa" w:w="120"/>
              <w:right w:type="dxa" w:w="120"/>
            </w:tcMar>
          </w:tcPr>
          <w:p>
            <w:r>
              <w:rPr>
                <w:rFonts w:ascii="Arial" w:cs="Arial" w:eastAsia="Arial" w:hAnsi="Arial"/>
                <w:b/>
                <w:bCs/>
                <w:color w:val="FFFFFF"/>
                <w:sz w:val="24"/>
                <w:szCs w:val="24"/>
              </w:rPr>
              <w:t xml:space="preserve">Rating Emergency — 40.56% of Restaurants Rated Below 3.5</w:t>
            </w:r>
          </w:p>
        </w:tc>
      </w:tr>
    </w:tbl>
    <w:p>
      <w:pPr>
        <w:spacing w:after="80" w:before="120"/>
      </w:pPr>
      <w:r>
        <w:rPr>
          <w:rFonts w:ascii="Arial" w:cs="Arial" w:eastAsia="Arial" w:hAnsi="Arial"/>
          <w:b/>
          <w:bCs/>
          <w:color w:val="E74C3C"/>
          <w:sz w:val="22"/>
          <w:szCs w:val="22"/>
        </w:rPr>
        <w:t xml:space="preserve">FINDING:  </w:t>
      </w:r>
      <w:r>
        <w:rPr>
          <w:rFonts w:ascii="Arial" w:cs="Arial" w:eastAsia="Arial" w:hAnsi="Arial"/>
          <w:sz w:val="22"/>
          <w:szCs w:val="22"/>
        </w:rPr>
        <w:t xml:space="preserve">Platform-wide average rating stands at 3.66/5.0 — below Swiggy's quality benchmark of 4.0. Over 40.56% of restaurants fall in the Poor category (below 3.5), with Pune showing the highest concentration at 44% Poor-rated restaurants. Only 7.63% of restaurants achieve Excellent (4.5+) ratings. Healthy Food cuisine scores highest at 4.02, while Cafe and Bakery categories underperform at 3.45 and 3.58 respectively.</w:t>
      </w:r>
    </w:p>
    <w:p>
      <w:pPr>
        <w:spacing w:after="40" w:before="60"/>
      </w:pPr>
      <w:r>
        <w:rPr>
          <w:rFonts w:ascii="Arial" w:cs="Arial" w:eastAsia="Arial" w:hAnsi="Arial"/>
          <w:b/>
          <w:bCs/>
          <w:color w:val="555555"/>
          <w:sz w:val="20"/>
          <w:szCs w:val="20"/>
        </w:rPr>
        <w:t xml:space="preserve">KEY DATA POINTS:</w:t>
      </w:r>
    </w:p>
    <w:p>
      <w:pPr>
        <w:pStyle w:val="ListParagraph"/>
        <w:numPr>
          <w:ilvl w:val="0"/>
          <w:numId w:val="2"/>
        </w:numPr>
        <w:spacing w:after="40" w:before="40"/>
      </w:pPr>
      <w:r>
        <w:rPr>
          <w:rFonts w:ascii="Arial" w:cs="Arial" w:eastAsia="Arial" w:hAnsi="Arial"/>
          <w:color w:val="333333"/>
          <w:sz w:val="20"/>
          <w:szCs w:val="20"/>
        </w:rPr>
        <w:t xml:space="preserve">Platform avg rating: 3.66 vs 4.0 target — gap of 0.34 points</w:t>
      </w:r>
    </w:p>
    <w:p>
      <w:pPr>
        <w:pStyle w:val="ListParagraph"/>
        <w:numPr>
          <w:ilvl w:val="0"/>
          <w:numId w:val="2"/>
        </w:numPr>
        <w:spacing w:after="40" w:before="40"/>
      </w:pPr>
      <w:r>
        <w:rPr>
          <w:rFonts w:ascii="Arial" w:cs="Arial" w:eastAsia="Arial" w:hAnsi="Arial"/>
          <w:color w:val="333333"/>
          <w:sz w:val="20"/>
          <w:szCs w:val="20"/>
        </w:rPr>
        <w:t xml:space="preserve">Poor rated (&lt;3.5): 40.56% of all restaurants</w:t>
      </w:r>
    </w:p>
    <w:p>
      <w:pPr>
        <w:pStyle w:val="ListParagraph"/>
        <w:numPr>
          <w:ilvl w:val="0"/>
          <w:numId w:val="2"/>
        </w:numPr>
        <w:spacing w:after="40" w:before="40"/>
      </w:pPr>
      <w:r>
        <w:rPr>
          <w:rFonts w:ascii="Arial" w:cs="Arial" w:eastAsia="Arial" w:hAnsi="Arial"/>
          <w:color w:val="333333"/>
          <w:sz w:val="20"/>
          <w:szCs w:val="20"/>
        </w:rPr>
        <w:t xml:space="preserve">Excellent rated (≥4.5): only 7.63% of restaurants</w:t>
      </w:r>
    </w:p>
    <w:p>
      <w:pPr>
        <w:pStyle w:val="ListParagraph"/>
        <w:numPr>
          <w:ilvl w:val="0"/>
          <w:numId w:val="2"/>
        </w:numPr>
        <w:spacing w:after="40" w:before="40"/>
      </w:pPr>
      <w:r>
        <w:rPr>
          <w:rFonts w:ascii="Arial" w:cs="Arial" w:eastAsia="Arial" w:hAnsi="Arial"/>
          <w:color w:val="333333"/>
          <w:sz w:val="20"/>
          <w:szCs w:val="20"/>
        </w:rPr>
        <w:t xml:space="preserve">Pune: 44% Poor rated — worst city for quality</w:t>
      </w:r>
    </w:p>
    <w:p>
      <w:pPr>
        <w:spacing w:after="40" w:before="100"/>
      </w:pPr>
      <w:r>
        <w:rPr>
          <w:rFonts w:ascii="Arial" w:cs="Arial" w:eastAsia="Arial" w:hAnsi="Arial"/>
          <w:b/>
          <w:bCs/>
          <w:color w:val="E74C3C"/>
          <w:sz w:val="22"/>
          <w:szCs w:val="22"/>
        </w:rPr>
        <w:t xml:space="preserve">RECOMMENDATION:  </w:t>
      </w:r>
    </w:p>
    <w:p>
      <w:pPr>
        <w:pBdr>
          <w:left w:val="single" w:color="E74C3C" w:sz="12"/>
        </w:pBdr>
        <w:spacing w:after="200" w:before="60"/>
        <w:ind w:left="360"/>
      </w:pPr>
      <w:r>
        <w:rPr>
          <w:rFonts w:ascii="Arial" w:cs="Arial" w:eastAsia="Arial" w:hAnsi="Arial"/>
          <w:i/>
          <w:iCs/>
          <w:sz w:val="22"/>
          <w:szCs w:val="22"/>
        </w:rPr>
        <w:t xml:space="preserve">Launch a Restaurant Quality Improvement Program targeting the 40.56% Poor-rated restaurants. Mandate quality audits for restaurants below 3.5 with &lt; 200 ratings. Provide operational support to top-volume cuisines (North Indian, Chinese) which have moderate ratings despite high order volumes. Consider delisting restaurants with sustained ratings below 3.0 after a 90-day improvement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C8019"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03</w:t>
            </w:r>
          </w:p>
        </w:tc>
        <w:tc>
          <w:tcPr>
            <w:tcW w:type="dxa" w:w="8560"/>
            <w:tcBorders>
              <w:top w:val="none" w:color="FFFFFF" w:sz="0"/>
              <w:left w:val="none" w:color="FFFFFF" w:sz="0"/>
              <w:bottom w:val="none" w:color="FFFFFF" w:sz="0"/>
              <w:right w:val="none" w:color="FFFFFF" w:sz="0"/>
            </w:tcBorders>
            <w:shd w:fill="1C1C1C" w:val="clear"/>
            <w:tcMar>
              <w:top w:type="dxa" w:w="120"/>
              <w:left w:type="dxa" w:w="160"/>
              <w:bottom w:type="dxa" w:w="120"/>
              <w:right w:type="dxa" w:w="120"/>
            </w:tcMar>
          </w:tcPr>
          <w:p>
            <w:r>
              <w:rPr>
                <w:rFonts w:ascii="Arial" w:cs="Arial" w:eastAsia="Arial" w:hAnsi="Arial"/>
                <w:b/>
                <w:bCs/>
                <w:color w:val="FFFFFF"/>
                <w:sz w:val="24"/>
                <w:szCs w:val="24"/>
              </w:rPr>
              <w:t xml:space="preserve">North Indian Dominance Masks a Quality Gap</w:t>
            </w:r>
          </w:p>
        </w:tc>
      </w:tr>
    </w:tbl>
    <w:p>
      <w:pPr>
        <w:spacing w:after="80" w:before="120"/>
      </w:pPr>
      <w:r>
        <w:rPr>
          <w:rFonts w:ascii="Arial" w:cs="Arial" w:eastAsia="Arial" w:hAnsi="Arial"/>
          <w:b/>
          <w:bCs/>
          <w:color w:val="FC8019"/>
          <w:sz w:val="22"/>
          <w:szCs w:val="22"/>
        </w:rPr>
        <w:t xml:space="preserve">FINDING:  </w:t>
      </w:r>
      <w:r>
        <w:rPr>
          <w:rFonts w:ascii="Arial" w:cs="Arial" w:eastAsia="Arial" w:hAnsi="Arial"/>
          <w:sz w:val="22"/>
          <w:szCs w:val="22"/>
        </w:rPr>
        <w:t xml:space="preserve">North Indian cuisine accounts for 2,438 restaurants (28.1% of platform) — the largest segment — but ranks 6th in average rating at 3.65. Fast Food is the 4th largest segment with 925 restaurants but has one of the lowest ratings at 3.57. Conversely, Healthy Food and South Indian cuisines achieve the highest ratings (4.02 and 3.87) but have significantly smaller platform presence. This reveals a quality-volume inversion that affects overall platform perception.</w:t>
      </w:r>
    </w:p>
    <w:p>
      <w:pPr>
        <w:spacing w:after="40" w:before="60"/>
      </w:pPr>
      <w:r>
        <w:rPr>
          <w:rFonts w:ascii="Arial" w:cs="Arial" w:eastAsia="Arial" w:hAnsi="Arial"/>
          <w:b/>
          <w:bCs/>
          <w:color w:val="555555"/>
          <w:sz w:val="20"/>
          <w:szCs w:val="20"/>
        </w:rPr>
        <w:t xml:space="preserve">KEY DATA POINTS:</w:t>
      </w:r>
    </w:p>
    <w:p>
      <w:pPr>
        <w:pStyle w:val="ListParagraph"/>
        <w:numPr>
          <w:ilvl w:val="0"/>
          <w:numId w:val="2"/>
        </w:numPr>
        <w:spacing w:after="40" w:before="40"/>
      </w:pPr>
      <w:r>
        <w:rPr>
          <w:rFonts w:ascii="Arial" w:cs="Arial" w:eastAsia="Arial" w:hAnsi="Arial"/>
          <w:color w:val="333333"/>
          <w:sz w:val="20"/>
          <w:szCs w:val="20"/>
        </w:rPr>
        <w:t xml:space="preserve">North Indian: 2,438 restaurants, avg rating 3.65 — high volume, moderate quality</w:t>
      </w:r>
    </w:p>
    <w:p>
      <w:pPr>
        <w:pStyle w:val="ListParagraph"/>
        <w:numPr>
          <w:ilvl w:val="0"/>
          <w:numId w:val="2"/>
        </w:numPr>
        <w:spacing w:after="40" w:before="40"/>
      </w:pPr>
      <w:r>
        <w:rPr>
          <w:rFonts w:ascii="Arial" w:cs="Arial" w:eastAsia="Arial" w:hAnsi="Arial"/>
          <w:color w:val="333333"/>
          <w:sz w:val="20"/>
          <w:szCs w:val="20"/>
        </w:rPr>
        <w:t xml:space="preserve">Healthy Food: 73 restaurants, avg rating 4.02 — low volume, highest quality</w:t>
      </w:r>
    </w:p>
    <w:p>
      <w:pPr>
        <w:pStyle w:val="ListParagraph"/>
        <w:numPr>
          <w:ilvl w:val="0"/>
          <w:numId w:val="2"/>
        </w:numPr>
        <w:spacing w:after="40" w:before="40"/>
      </w:pPr>
      <w:r>
        <w:rPr>
          <w:rFonts w:ascii="Arial" w:cs="Arial" w:eastAsia="Arial" w:hAnsi="Arial"/>
          <w:color w:val="333333"/>
          <w:sz w:val="20"/>
          <w:szCs w:val="20"/>
        </w:rPr>
        <w:t xml:space="preserve">South Indian: 464 restaurants, avg rating 3.87 — best quality-volume balance</w:t>
      </w:r>
    </w:p>
    <w:p>
      <w:pPr>
        <w:pStyle w:val="ListParagraph"/>
        <w:numPr>
          <w:ilvl w:val="0"/>
          <w:numId w:val="2"/>
        </w:numPr>
        <w:spacing w:after="40" w:before="40"/>
      </w:pPr>
      <w:r>
        <w:rPr>
          <w:rFonts w:ascii="Arial" w:cs="Arial" w:eastAsia="Arial" w:hAnsi="Arial"/>
          <w:color w:val="333333"/>
          <w:sz w:val="20"/>
          <w:szCs w:val="20"/>
        </w:rPr>
        <w:t xml:space="preserve">Fast Food: 925 restaurants, avg rating 3.57 — high volume, below-average quality</w:t>
      </w:r>
    </w:p>
    <w:p>
      <w:pPr>
        <w:spacing w:after="40" w:before="100"/>
      </w:pPr>
      <w:r>
        <w:rPr>
          <w:rFonts w:ascii="Arial" w:cs="Arial" w:eastAsia="Arial" w:hAnsi="Arial"/>
          <w:b/>
          <w:bCs/>
          <w:color w:val="FC8019"/>
          <w:sz w:val="22"/>
          <w:szCs w:val="22"/>
        </w:rPr>
        <w:t xml:space="preserve">RECOMMENDATION:  </w:t>
      </w:r>
    </w:p>
    <w:p>
      <w:pPr>
        <w:pBdr>
          <w:left w:val="single" w:color="FC8019" w:sz="12"/>
        </w:pBdr>
        <w:spacing w:after="200" w:before="60"/>
        <w:ind w:left="360"/>
      </w:pPr>
      <w:r>
        <w:rPr>
          <w:rFonts w:ascii="Arial" w:cs="Arial" w:eastAsia="Arial" w:hAnsi="Arial"/>
          <w:i/>
          <w:iCs/>
          <w:sz w:val="22"/>
          <w:szCs w:val="22"/>
        </w:rPr>
        <w:t xml:space="preserve">Prioritize onboarding of Healthy Food and South Indian restaurants in cities with low coverage. Develop a cuisine quality index to track average rating by cuisine monthly. Introduce cuisine-specific quality standards — North Indian and Fast Food restaurants should face stricter onboarding criteria given their scale impact on platform average. Feature top-rated Healthy Food restaurants in app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3A7BD5"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04</w:t>
            </w:r>
          </w:p>
        </w:tc>
        <w:tc>
          <w:tcPr>
            <w:tcW w:type="dxa" w:w="8560"/>
            <w:tcBorders>
              <w:top w:val="none" w:color="FFFFFF" w:sz="0"/>
              <w:left w:val="none" w:color="FFFFFF" w:sz="0"/>
              <w:bottom w:val="none" w:color="FFFFFF" w:sz="0"/>
              <w:right w:val="none" w:color="FFFFFF" w:sz="0"/>
            </w:tcBorders>
            <w:shd w:fill="1C1C1C" w:val="clear"/>
            <w:tcMar>
              <w:top w:type="dxa" w:w="120"/>
              <w:left w:type="dxa" w:w="160"/>
              <w:bottom w:type="dxa" w:w="120"/>
              <w:right w:type="dxa" w:w="120"/>
            </w:tcMar>
          </w:tcPr>
          <w:p>
            <w:r>
              <w:rPr>
                <w:rFonts w:ascii="Arial" w:cs="Arial" w:eastAsia="Arial" w:hAnsi="Arial"/>
                <w:b/>
                <w:bCs/>
                <w:color w:val="FFFFFF"/>
                <w:sz w:val="24"/>
                <w:szCs w:val="24"/>
              </w:rPr>
              <w:t xml:space="preserve">Higher Delivery Time Directly Correlates with Lower Customer Ratings</w:t>
            </w:r>
          </w:p>
        </w:tc>
      </w:tr>
    </w:tbl>
    <w:p>
      <w:pPr>
        <w:spacing w:after="80" w:before="120"/>
      </w:pPr>
      <w:r>
        <w:rPr>
          <w:rFonts w:ascii="Arial" w:cs="Arial" w:eastAsia="Arial" w:hAnsi="Arial"/>
          <w:b/>
          <w:bCs/>
          <w:color w:val="3A7BD5"/>
          <w:sz w:val="22"/>
          <w:szCs w:val="22"/>
        </w:rPr>
        <w:t xml:space="preserve">FINDING:  </w:t>
      </w:r>
      <w:r>
        <w:rPr>
          <w:rFonts w:ascii="Arial" w:cs="Arial" w:eastAsia="Arial" w:hAnsi="Arial"/>
          <w:sz w:val="22"/>
          <w:szCs w:val="22"/>
        </w:rPr>
        <w:t xml:space="preserve">Scatter analysis of average delivery time vs average rating across 9 cities confirms a clear negative correlation — cities with higher delivery times consistently receive lower ratings. Kolkata has the highest delivery time (67.6 min) and among the lowest ratings. Ahmedabad has the lowest delivery time (48.3 min) and higher ratings. This confirms that delivery experience is a primary driver of customer satisfaction, not just food quality.</w:t>
      </w:r>
    </w:p>
    <w:p>
      <w:pPr>
        <w:spacing w:after="40" w:before="60"/>
      </w:pPr>
      <w:r>
        <w:rPr>
          <w:rFonts w:ascii="Arial" w:cs="Arial" w:eastAsia="Arial" w:hAnsi="Arial"/>
          <w:b/>
          <w:bCs/>
          <w:color w:val="555555"/>
          <w:sz w:val="20"/>
          <w:szCs w:val="20"/>
        </w:rPr>
        <w:t xml:space="preserve">KEY DATA POINTS:</w:t>
      </w:r>
    </w:p>
    <w:p>
      <w:pPr>
        <w:pStyle w:val="ListParagraph"/>
        <w:numPr>
          <w:ilvl w:val="0"/>
          <w:numId w:val="2"/>
        </w:numPr>
        <w:spacing w:after="40" w:before="40"/>
      </w:pPr>
      <w:r>
        <w:rPr>
          <w:rFonts w:ascii="Arial" w:cs="Arial" w:eastAsia="Arial" w:hAnsi="Arial"/>
          <w:color w:val="333333"/>
          <w:sz w:val="20"/>
          <w:szCs w:val="20"/>
        </w:rPr>
        <w:t xml:space="preserve">Kolkata: 67.6 min avg delivery — lowest rating cluster</w:t>
      </w:r>
    </w:p>
    <w:p>
      <w:pPr>
        <w:pStyle w:val="ListParagraph"/>
        <w:numPr>
          <w:ilvl w:val="0"/>
          <w:numId w:val="2"/>
        </w:numPr>
        <w:spacing w:after="40" w:before="40"/>
      </w:pPr>
      <w:r>
        <w:rPr>
          <w:rFonts w:ascii="Arial" w:cs="Arial" w:eastAsia="Arial" w:hAnsi="Arial"/>
          <w:color w:val="333333"/>
          <w:sz w:val="20"/>
          <w:szCs w:val="20"/>
        </w:rPr>
        <w:t xml:space="preserve">Ahmedabad: 48.3 min avg delivery — higher rating cluster</w:t>
      </w:r>
    </w:p>
    <w:p>
      <w:pPr>
        <w:pStyle w:val="ListParagraph"/>
        <w:numPr>
          <w:ilvl w:val="0"/>
          <w:numId w:val="2"/>
        </w:numPr>
        <w:spacing w:after="40" w:before="40"/>
      </w:pPr>
      <w:r>
        <w:rPr>
          <w:rFonts w:ascii="Arial" w:cs="Arial" w:eastAsia="Arial" w:hAnsi="Arial"/>
          <w:color w:val="333333"/>
          <w:sz w:val="20"/>
          <w:szCs w:val="20"/>
        </w:rPr>
        <w:t xml:space="preserve">Each 10-min increase in delivery time correlates with ~0.1 point rating drop</w:t>
      </w:r>
    </w:p>
    <w:p>
      <w:pPr>
        <w:pStyle w:val="ListParagraph"/>
        <w:numPr>
          <w:ilvl w:val="0"/>
          <w:numId w:val="2"/>
        </w:numPr>
        <w:spacing w:after="40" w:before="40"/>
      </w:pPr>
      <w:r>
        <w:rPr>
          <w:rFonts w:ascii="Arial" w:cs="Arial" w:eastAsia="Arial" w:hAnsi="Arial"/>
          <w:color w:val="333333"/>
          <w:sz w:val="20"/>
          <w:szCs w:val="20"/>
        </w:rPr>
        <w:t xml:space="preserve">Cities above 55 min average all fall below 3.6 rating</w:t>
      </w:r>
    </w:p>
    <w:p>
      <w:pPr>
        <w:spacing w:after="40" w:before="100"/>
      </w:pPr>
      <w:r>
        <w:rPr>
          <w:rFonts w:ascii="Arial" w:cs="Arial" w:eastAsia="Arial" w:hAnsi="Arial"/>
          <w:b/>
          <w:bCs/>
          <w:color w:val="3A7BD5"/>
          <w:sz w:val="22"/>
          <w:szCs w:val="22"/>
        </w:rPr>
        <w:t xml:space="preserve">RECOMMENDATION:  </w:t>
      </w:r>
    </w:p>
    <w:p>
      <w:pPr>
        <w:pBdr>
          <w:left w:val="single" w:color="3A7BD5" w:sz="12"/>
        </w:pBdr>
        <w:spacing w:after="200" w:before="60"/>
        <w:ind w:left="360"/>
      </w:pPr>
      <w:r>
        <w:rPr>
          <w:rFonts w:ascii="Arial" w:cs="Arial" w:eastAsia="Arial" w:hAnsi="Arial"/>
          <w:i/>
          <w:iCs/>
          <w:sz w:val="22"/>
          <w:szCs w:val="22"/>
        </w:rPr>
        <w:t xml:space="preserve">Set city-level delivery time reduction targets as primary KPI for operations teams. Introduce delivery time as a restaurant onboarding criterion — restaurants in high-breach zones should be offered support before being listed. Create a public-facing 'Delivery Promise Score' for restaurants to incentivize performance. Pilot drone or bicycle delivery in high-density Kolkata zones to reduce 67.6-min average.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7AE60"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05</w:t>
            </w:r>
          </w:p>
        </w:tc>
        <w:tc>
          <w:tcPr>
            <w:tcW w:type="dxa" w:w="8560"/>
            <w:tcBorders>
              <w:top w:val="none" w:color="FFFFFF" w:sz="0"/>
              <w:left w:val="none" w:color="FFFFFF" w:sz="0"/>
              <w:bottom w:val="none" w:color="FFFFFF" w:sz="0"/>
              <w:right w:val="none" w:color="FFFFFF" w:sz="0"/>
            </w:tcBorders>
            <w:shd w:fill="1C1C1C" w:val="clear"/>
            <w:tcMar>
              <w:top w:type="dxa" w:w="120"/>
              <w:left w:type="dxa" w:w="160"/>
              <w:bottom w:type="dxa" w:w="120"/>
              <w:right w:type="dxa" w:w="120"/>
            </w:tcMar>
          </w:tcPr>
          <w:p>
            <w:r>
              <w:rPr>
                <w:rFonts w:ascii="Arial" w:cs="Arial" w:eastAsia="Arial" w:hAnsi="Arial"/>
                <w:b/>
                <w:bCs/>
                <w:color w:val="FFFFFF"/>
                <w:sz w:val="24"/>
                <w:szCs w:val="24"/>
              </w:rPr>
              <w:t xml:space="preserve">Price Segment Mismatch — Luxury Restaurants Underperform Mid-Range</w:t>
            </w:r>
          </w:p>
        </w:tc>
      </w:tr>
    </w:tbl>
    <w:p>
      <w:pPr>
        <w:spacing w:after="80" w:before="120"/>
      </w:pPr>
      <w:r>
        <w:rPr>
          <w:rFonts w:ascii="Arial" w:cs="Arial" w:eastAsia="Arial" w:hAnsi="Arial"/>
          <w:b/>
          <w:bCs/>
          <w:color w:val="27AE60"/>
          <w:sz w:val="22"/>
          <w:szCs w:val="22"/>
        </w:rPr>
        <w:t xml:space="preserve">FINDING:  </w:t>
      </w:r>
      <w:r>
        <w:rPr>
          <w:rFonts w:ascii="Arial" w:cs="Arial" w:eastAsia="Arial" w:hAnsi="Arial"/>
          <w:sz w:val="22"/>
          <w:szCs w:val="22"/>
        </w:rPr>
        <w:t xml:space="preserve">Luxury restaurants (&gt;₹700) account for 37.8% of the platform by count but do not consistently outperform Mid-Range (₹201–400) restaurants in ratings. The Mid-Range segment shows the best price-to-rating balance across most cities. Budget restaurants (≤₹200) have disproportionately higher cancellation and lower ratings, suggesting price-sensitive customers have lower satisfaction thresholds or budget options have lower quality standards.</w:t>
      </w:r>
    </w:p>
    <w:p>
      <w:pPr>
        <w:spacing w:after="40" w:before="60"/>
      </w:pPr>
      <w:r>
        <w:rPr>
          <w:rFonts w:ascii="Arial" w:cs="Arial" w:eastAsia="Arial" w:hAnsi="Arial"/>
          <w:b/>
          <w:bCs/>
          <w:color w:val="555555"/>
          <w:sz w:val="20"/>
          <w:szCs w:val="20"/>
        </w:rPr>
        <w:t xml:space="preserve">KEY DATA POINTS:</w:t>
      </w:r>
    </w:p>
    <w:p>
      <w:pPr>
        <w:pStyle w:val="ListParagraph"/>
        <w:numPr>
          <w:ilvl w:val="0"/>
          <w:numId w:val="2"/>
        </w:numPr>
        <w:spacing w:after="40" w:before="40"/>
      </w:pPr>
      <w:r>
        <w:rPr>
          <w:rFonts w:ascii="Arial" w:cs="Arial" w:eastAsia="Arial" w:hAnsi="Arial"/>
          <w:color w:val="333333"/>
          <w:sz w:val="20"/>
          <w:szCs w:val="20"/>
        </w:rPr>
        <w:t xml:space="preserve">Mid-Range (₹201–400): 47.7% of platform — best price-rating balance</w:t>
      </w:r>
    </w:p>
    <w:p>
      <w:pPr>
        <w:pStyle w:val="ListParagraph"/>
        <w:numPr>
          <w:ilvl w:val="0"/>
          <w:numId w:val="2"/>
        </w:numPr>
        <w:spacing w:after="40" w:before="40"/>
      </w:pPr>
      <w:r>
        <w:rPr>
          <w:rFonts w:ascii="Arial" w:cs="Arial" w:eastAsia="Arial" w:hAnsi="Arial"/>
          <w:color w:val="333333"/>
          <w:sz w:val="20"/>
          <w:szCs w:val="20"/>
        </w:rPr>
        <w:t xml:space="preserve">Luxury (&gt;₹700): 37.8% of platform — high price, inconsistent quality</w:t>
      </w:r>
    </w:p>
    <w:p>
      <w:pPr>
        <w:pStyle w:val="ListParagraph"/>
        <w:numPr>
          <w:ilvl w:val="0"/>
          <w:numId w:val="2"/>
        </w:numPr>
        <w:spacing w:after="40" w:before="40"/>
      </w:pPr>
      <w:r>
        <w:rPr>
          <w:rFonts w:ascii="Arial" w:cs="Arial" w:eastAsia="Arial" w:hAnsi="Arial"/>
          <w:color w:val="333333"/>
          <w:sz w:val="20"/>
          <w:szCs w:val="20"/>
        </w:rPr>
        <w:t xml:space="preserve">Budget (≤₹200): 10.6% of platform — lowest ratings, highest cancellation</w:t>
      </w:r>
    </w:p>
    <w:p>
      <w:pPr>
        <w:pStyle w:val="ListParagraph"/>
        <w:numPr>
          <w:ilvl w:val="0"/>
          <w:numId w:val="2"/>
        </w:numPr>
        <w:spacing w:after="40" w:before="40"/>
      </w:pPr>
      <w:r>
        <w:rPr>
          <w:rFonts w:ascii="Arial" w:cs="Arial" w:eastAsia="Arial" w:hAnsi="Arial"/>
          <w:color w:val="333333"/>
          <w:sz w:val="20"/>
          <w:szCs w:val="20"/>
        </w:rPr>
        <w:t xml:space="preserve">Platform avg price: ₹348 — skewed toward Mid-Range and Luxury segments</w:t>
      </w:r>
    </w:p>
    <w:p>
      <w:pPr>
        <w:spacing w:after="40" w:before="100"/>
      </w:pPr>
      <w:r>
        <w:rPr>
          <w:rFonts w:ascii="Arial" w:cs="Arial" w:eastAsia="Arial" w:hAnsi="Arial"/>
          <w:b/>
          <w:bCs/>
          <w:color w:val="27AE60"/>
          <w:sz w:val="22"/>
          <w:szCs w:val="22"/>
        </w:rPr>
        <w:t xml:space="preserve">RECOMMENDATION:  </w:t>
      </w:r>
    </w:p>
    <w:p>
      <w:pPr>
        <w:pBdr>
          <w:left w:val="single" w:color="27AE60" w:sz="12"/>
        </w:pBdr>
        <w:spacing w:after="200" w:before="60"/>
        <w:ind w:left="360"/>
      </w:pPr>
      <w:r>
        <w:rPr>
          <w:rFonts w:ascii="Arial" w:cs="Arial" w:eastAsia="Arial" w:hAnsi="Arial"/>
          <w:i/>
          <w:iCs/>
          <w:sz w:val="22"/>
          <w:szCs w:val="22"/>
        </w:rPr>
        <w:t xml:space="preserve">Introduce value-for-money scoring that factors in price-to-rating ratio for restaurant rankings. Budget restaurants should be supported with quality improvement grants or training programs. Luxury restaurants should face premium quality standards — a ₹700+ meal with 3.5 rating damages brand perception. Review pricing strategy for top-rated Budget restaurants and encourage them to graduate to Mid-Range segment with quality certification.</w:t>
      </w:r>
    </w:p>
    <w:p>
      <w:pPr>
        <w:spacing w:after="120" w:before="100"/>
        <w:jc w:val="center"/>
      </w:pPr>
      <w:r>
        <w:rPr>
          <w:rFonts w:ascii="Arial" w:cs="Arial" w:eastAsia="Arial" w:hAnsi="Arial"/>
          <w:b/>
          <w:bCs/>
          <w:color w:val="1C1C1C"/>
          <w:sz w:val="28"/>
          <w:szCs w:val="28"/>
        </w:rPr>
        <w:t xml:space="preserve">RECOMMENDATIONS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560"/>
        <w:gridCol w:w="2200"/>
      </w:tblGrid>
      <w:tr>
        <w:tc>
          <w:tcPr>
            <w:tcW w:type="dxa" w:w="400"/>
            <w:tcBorders>
              <w:top w:val="single" w:color="DDDDDD" w:sz="1"/>
              <w:left w:val="single" w:color="DDDDDD" w:sz="1"/>
              <w:bottom w:val="single" w:color="DDDDDD" w:sz="1"/>
              <w:right w:val="single" w:color="DDDDDD" w:sz="1"/>
            </w:tcBorders>
            <w:shd w:fill="1C1C1C"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3200"/>
            <w:tcBorders>
              <w:top w:val="single" w:color="DDDDDD" w:sz="1"/>
              <w:left w:val="single" w:color="DDDDDD" w:sz="1"/>
              <w:bottom w:val="single" w:color="DDDDDD" w:sz="1"/>
              <w:right w:val="single" w:color="DDDDDD" w:sz="1"/>
            </w:tcBorders>
            <w:shd w:fill="1C1C1C" w:val="clear"/>
            <w:tcMar>
              <w:top w:type="dxa" w:w="80"/>
              <w:left w:type="dxa" w:w="100"/>
              <w:bottom w:type="dxa" w:w="80"/>
              <w:right w:type="dxa" w:w="100"/>
            </w:tcMar>
          </w:tcPr>
          <w:p>
            <w:r>
              <w:rPr>
                <w:rFonts w:ascii="Arial" w:cs="Arial" w:eastAsia="Arial" w:hAnsi="Arial"/>
                <w:b/>
                <w:bCs/>
                <w:color w:val="FFFFFF"/>
                <w:sz w:val="18"/>
                <w:szCs w:val="18"/>
              </w:rPr>
              <w:t xml:space="preserve">Insight</w:t>
            </w:r>
          </w:p>
        </w:tc>
        <w:tc>
          <w:tcPr>
            <w:tcW w:type="dxa" w:w="3560"/>
            <w:tcBorders>
              <w:top w:val="single" w:color="DDDDDD" w:sz="1"/>
              <w:left w:val="single" w:color="DDDDDD" w:sz="1"/>
              <w:bottom w:val="single" w:color="DDDDDD" w:sz="1"/>
              <w:right w:val="single" w:color="DDDDDD" w:sz="1"/>
            </w:tcBorders>
            <w:shd w:fill="1C1C1C" w:val="clear"/>
            <w:tcMar>
              <w:top w:type="dxa" w:w="80"/>
              <w:left w:type="dxa" w:w="100"/>
              <w:bottom w:type="dxa" w:w="80"/>
              <w:right w:type="dxa" w:w="100"/>
            </w:tcMar>
          </w:tcPr>
          <w:p>
            <w:r>
              <w:rPr>
                <w:rFonts w:ascii="Arial" w:cs="Arial" w:eastAsia="Arial" w:hAnsi="Arial"/>
                <w:b/>
                <w:bCs/>
                <w:color w:val="FFFFFF"/>
                <w:sz w:val="18"/>
                <w:szCs w:val="18"/>
              </w:rPr>
              <w:t xml:space="preserve">Recommendation</w:t>
            </w:r>
          </w:p>
        </w:tc>
        <w:tc>
          <w:tcPr>
            <w:tcW w:type="dxa" w:w="2200"/>
            <w:tcBorders>
              <w:top w:val="single" w:color="DDDDDD" w:sz="1"/>
              <w:left w:val="single" w:color="DDDDDD" w:sz="1"/>
              <w:bottom w:val="single" w:color="DDDDDD" w:sz="1"/>
              <w:right w:val="single" w:color="DDDDDD" w:sz="1"/>
            </w:tcBorders>
            <w:shd w:fill="1C1C1C" w:val="clear"/>
            <w:tcMar>
              <w:top w:type="dxa" w:w="80"/>
              <w:left w:type="dxa" w:w="100"/>
              <w:bottom w:type="dxa" w:w="80"/>
              <w:right w:type="dxa" w:w="100"/>
            </w:tcMar>
          </w:tcPr>
          <w:p>
            <w:r>
              <w:rPr>
                <w:rFonts w:ascii="Arial" w:cs="Arial" w:eastAsia="Arial" w:hAnsi="Arial"/>
                <w:b/>
                <w:bCs/>
                <w:color w:val="FFFFFF"/>
                <w:sz w:val="18"/>
                <w:szCs w:val="18"/>
              </w:rPr>
              <w:t xml:space="preserve">Priority</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333333"/>
                <w:sz w:val="18"/>
                <w:szCs w:val="18"/>
              </w:rPr>
              <w:t xml:space="preserve">01</w:t>
            </w:r>
          </w:p>
        </w:tc>
        <w:tc>
          <w:tcPr>
            <w:tcW w:type="dxa" w:w="32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333333"/>
                <w:sz w:val="18"/>
                <w:szCs w:val="18"/>
              </w:rPr>
              <w:t xml:space="preserve">70.49% SLA breach rate</w:t>
            </w:r>
          </w:p>
        </w:tc>
        <w:tc>
          <w:tcPr>
            <w:tcW w:type="dxa" w:w="356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333333"/>
                <w:sz w:val="18"/>
                <w:szCs w:val="18"/>
              </w:rPr>
              <w:t xml:space="preserve">Surge delivery allocation + breach alerts</w:t>
            </w:r>
          </w:p>
        </w:tc>
        <w:tc>
          <w:tcPr>
            <w:tcW w:type="dxa" w:w="2200"/>
            <w:tcBorders>
              <w:top w:val="single" w:color="DDDDDD" w:sz="1"/>
              <w:left w:val="single" w:color="DDDDDD" w:sz="1"/>
              <w:bottom w:val="single" w:color="DDDDDD" w:sz="1"/>
              <w:right w:val="single" w:color="DDDDDD" w:sz="1"/>
            </w:tcBorders>
            <w:shd w:fill="FDECEA" w:val="clear"/>
            <w:tcMar>
              <w:top w:type="dxa" w:w="80"/>
              <w:left w:type="dxa" w:w="100"/>
              <w:bottom w:type="dxa" w:w="80"/>
              <w:right w:type="dxa" w:w="100"/>
            </w:tcMar>
          </w:tcPr>
          <w:p>
            <w:r>
              <w:rPr>
                <w:rFonts w:ascii="Arial" w:cs="Arial" w:eastAsia="Arial" w:hAnsi="Arial"/>
                <w:b/>
                <w:bCs/>
                <w:color w:val="E74C3C"/>
                <w:sz w:val="18"/>
                <w:szCs w:val="18"/>
              </w:rPr>
              <w:t xml:space="preserve">CRITICAL</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02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40.56% poor rated restaurants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Quality audit + 90-day improvement program</w:t>
            </w:r>
          </w:p>
        </w:tc>
        <w:tc>
          <w:tcPr>
            <w:tcW w:type="dxa" w:w="2200"/>
            <w:tcBorders>
              <w:top w:val="single" w:color="DDDDDD" w:sz="1"/>
              <w:left w:val="single" w:color="DDDDDD" w:sz="1"/>
              <w:bottom w:val="single" w:color="DDDDDD" w:sz="1"/>
              <w:right w:val="single" w:color="DDDDDD" w:sz="1"/>
            </w:tcBorders>
            <w:shd w:fill="FDECEA" w:val="clear"/>
            <w:tcMar>
              <w:top w:type="dxa" w:w="80"/>
              <w:left w:type="dxa" w:w="100"/>
              <w:bottom w:type="dxa" w:w="80"/>
              <w:right w:type="dxa" w:w="100"/>
            </w:tcMar>
          </w:tcPr>
          <w:p>
            <w:r>
              <w:rPr>
                <w:rFonts w:ascii="Arial" w:cs="Arial" w:eastAsia="Arial" w:hAnsi="Arial"/>
                <w:b/>
                <w:bCs/>
                <w:color w:val="E74C3C"/>
                <w:sz w:val="18"/>
                <w:szCs w:val="18"/>
              </w:rPr>
              <w:t xml:space="preserve">CRITICAL</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333333"/>
                <w:sz w:val="18"/>
                <w:szCs w:val="18"/>
              </w:rPr>
              <w:t xml:space="preserve">03</w:t>
            </w:r>
          </w:p>
        </w:tc>
        <w:tc>
          <w:tcPr>
            <w:tcW w:type="dxa" w:w="32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333333"/>
                <w:sz w:val="18"/>
                <w:szCs w:val="18"/>
              </w:rPr>
              <w:t xml:space="preserve">North Indian volume vs quality gap</w:t>
            </w:r>
          </w:p>
        </w:tc>
        <w:tc>
          <w:tcPr>
            <w:tcW w:type="dxa" w:w="356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333333"/>
                <w:sz w:val="18"/>
                <w:szCs w:val="18"/>
              </w:rPr>
              <w:t xml:space="preserve">Cuisine-specific quality index + onboarding criteria</w:t>
            </w:r>
          </w:p>
        </w:tc>
        <w:tc>
          <w:tcPr>
            <w:tcW w:type="dxa" w:w="2200"/>
            <w:tcBorders>
              <w:top w:val="single" w:color="DDDDDD" w:sz="1"/>
              <w:left w:val="single" w:color="DDDDDD" w:sz="1"/>
              <w:bottom w:val="single" w:color="DDDDDD" w:sz="1"/>
              <w:right w:val="single" w:color="DDDDDD" w:sz="1"/>
            </w:tcBorders>
            <w:shd w:fill="FFF3E8" w:val="clear"/>
            <w:tcMar>
              <w:top w:type="dxa" w:w="80"/>
              <w:left w:type="dxa" w:w="100"/>
              <w:bottom w:type="dxa" w:w="80"/>
              <w:right w:type="dxa" w:w="100"/>
            </w:tcMar>
          </w:tcPr>
          <w:p>
            <w:r>
              <w:rPr>
                <w:rFonts w:ascii="Arial" w:cs="Arial" w:eastAsia="Arial" w:hAnsi="Arial"/>
                <w:b/>
                <w:bCs/>
                <w:color w:val="FC8019"/>
                <w:sz w:val="18"/>
                <w:szCs w:val="18"/>
              </w:rPr>
              <w:t xml:space="preserve">HIGH</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04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Delivery time drives rating</w:t>
            </w:r>
          </w:p>
        </w:tc>
        <w:tc>
          <w:tcPr>
            <w:tcW w:type="dxa" w:w="35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City-level delivery KPIs + Delivery Promise Score</w:t>
            </w:r>
          </w:p>
        </w:tc>
        <w:tc>
          <w:tcPr>
            <w:tcW w:type="dxa" w:w="2200"/>
            <w:tcBorders>
              <w:top w:val="single" w:color="DDDDDD" w:sz="1"/>
              <w:left w:val="single" w:color="DDDDDD" w:sz="1"/>
              <w:bottom w:val="single" w:color="DDDDDD" w:sz="1"/>
              <w:right w:val="single" w:color="DDDDDD" w:sz="1"/>
            </w:tcBorders>
            <w:shd w:fill="FFF3E8" w:val="clear"/>
            <w:tcMar>
              <w:top w:type="dxa" w:w="80"/>
              <w:left w:type="dxa" w:w="100"/>
              <w:bottom w:type="dxa" w:w="80"/>
              <w:right w:type="dxa" w:w="100"/>
            </w:tcMar>
          </w:tcPr>
          <w:p>
            <w:r>
              <w:rPr>
                <w:rFonts w:ascii="Arial" w:cs="Arial" w:eastAsia="Arial" w:hAnsi="Arial"/>
                <w:b/>
                <w:bCs/>
                <w:color w:val="FC8019"/>
                <w:sz w:val="18"/>
                <w:szCs w:val="18"/>
              </w:rPr>
              <w:t xml:space="preserve">HIGH</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333333"/>
                <w:sz w:val="18"/>
                <w:szCs w:val="18"/>
              </w:rPr>
              <w:t xml:space="preserve">05</w:t>
            </w:r>
          </w:p>
        </w:tc>
        <w:tc>
          <w:tcPr>
            <w:tcW w:type="dxa" w:w="32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333333"/>
                <w:sz w:val="18"/>
                <w:szCs w:val="18"/>
              </w:rPr>
              <w:t xml:space="preserve">Price-rating mismatch</w:t>
            </w:r>
          </w:p>
        </w:tc>
        <w:tc>
          <w:tcPr>
            <w:tcW w:type="dxa" w:w="356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333333"/>
                <w:sz w:val="18"/>
                <w:szCs w:val="18"/>
              </w:rPr>
              <w:t xml:space="preserve">Value-for-money scoring + Luxury quality standards</w:t>
            </w:r>
          </w:p>
        </w:tc>
        <w:tc>
          <w:tcPr>
            <w:tcW w:type="dxa" w:w="2200"/>
            <w:tcBorders>
              <w:top w:val="single" w:color="DDDDDD" w:sz="1"/>
              <w:left w:val="single" w:color="DDDDDD" w:sz="1"/>
              <w:bottom w:val="single" w:color="DDDDDD" w:sz="1"/>
              <w:right w:val="single" w:color="DDDDDD" w:sz="1"/>
            </w:tcBorders>
            <w:shd w:fill="EBF5FB" w:val="clear"/>
            <w:tcMar>
              <w:top w:type="dxa" w:w="80"/>
              <w:left w:type="dxa" w:w="100"/>
              <w:bottom w:type="dxa" w:w="80"/>
              <w:right w:type="dxa" w:w="100"/>
            </w:tcMar>
          </w:tcPr>
          <w:p>
            <w:r>
              <w:rPr>
                <w:rFonts w:ascii="Arial" w:cs="Arial" w:eastAsia="Arial" w:hAnsi="Arial"/>
                <w:b/>
                <w:bCs/>
                <w:color w:val="3A7BD5"/>
                <w:sz w:val="18"/>
                <w:szCs w:val="18"/>
              </w:rPr>
              <w:t xml:space="preserve">MEDIUM</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C8019" w:sz="6"/>
      </w:pBdr>
      <w:jc w:val="center"/>
    </w:pPr>
    <w:r>
      <w:rPr>
        <w:rFonts w:ascii="Arial" w:cs="Arial" w:eastAsia="Arial" w:hAnsi="Arial"/>
        <w:color w:val="888888"/>
        <w:sz w:val="16"/>
        <w:szCs w:val="16"/>
      </w:rPr>
      <w:t xml:space="preserve">Confidential | Prepared for Portfolio Use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C8019" w:sz="6"/>
      </w:pBdr>
    </w:pPr>
    <w:r>
      <w:rPr>
        <w:rFonts w:ascii="Arial" w:cs="Arial" w:eastAsia="Arial" w:hAnsi="Arial"/>
        <w:b/>
        <w:bCs/>
        <w:color w:val="FC8019"/>
        <w:sz w:val="18"/>
        <w:szCs w:val="18"/>
      </w:rPr>
      <w:t xml:space="preserve">5-POINT INSIGHTS REPORT</w:t>
    </w:r>
    <w:r>
      <w:rPr>
        <w:rFonts w:ascii="Arial" w:cs="Arial" w:eastAsia="Arial" w:hAnsi="Arial"/>
        <w:color w:val="888888"/>
        <w:sz w:val="18"/>
        <w:szCs w:val="18"/>
      </w:rPr>
      <w:t xml:space="preserve">   |   Swiggy Restaurant Performance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00" w:before="200"/>
      <w:outlineLvl w:val="0"/>
    </w:pPr>
    <w:rPr>
      <w:rFonts w:ascii="Arial" w:cs="Arial" w:eastAsia="Arial" w:hAnsi="Arial"/>
      <w:b/>
      <w:bCs/>
      <w:color w:val="FFFFF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2026-06-14T19:45:52.701Z</dcterms:created>
  <dcterms:modified xsi:type="dcterms:W3CDTF">2026-06-14T19:45:52.701Z</dcterms:modified>
</cp:coreProperties>
</file>

<file path=docProps/custom.xml><?xml version="1.0" encoding="utf-8"?>
<Properties xmlns="http://schemas.openxmlformats.org/officeDocument/2006/custom-properties" xmlns:vt="http://schemas.openxmlformats.org/officeDocument/2006/docPropsVTypes"/>
</file>