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McKellar</w:t>
      </w:r>
      <w:r>
        <w:t xml:space="preserve"> </w:t>
      </w:r>
      <w:r>
        <w:t xml:space="preserve">et</w:t>
      </w:r>
      <w:r>
        <w:t xml:space="preserve"> </w:t>
      </w:r>
      <w:r>
        <w:t xml:space="preserve">al. supplemental</w:t>
      </w:r>
      <w:r>
        <w:t xml:space="preserve"> </w:t>
      </w:r>
      <w:r>
        <w:t xml:space="preserve">table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TableCaption"/>
      </w:pPr>
      <w:r>
        <w:t xml:space="preserve">Table S1. The summary results of a 10-fold targeted cross-validation where all observations from a random sample of years are predicted when left-out of the model training set. The best model is the same as the model identified as the best by the approximate leave-one-out comparison reported in the main paper.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S1. The summary results of a 10-fold targeted cross-validation where all observations from a random sample of years are predicted when left-out of the model training set. The best model is the same as the model identified as the best by the approximate leave-one-out comparison reported in the main paper."/>
      </w:tblPr>
      <w:tblGrid>
        <w:gridCol w:w="3184"/>
        <w:gridCol w:w="816"/>
        <w:gridCol w:w="39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lppd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z-statistic pairwise difference from best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Climate-plus-core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Climate-plus-core [NAOI 1-year lagged]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pplement_table_figures_files/figure-docx/figs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S1. Covariate effects from all 5 models.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upplement_table_figures_files/figure-docx/fig2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S2. Local effect of 3-month SPEI (top plot) and 3-month SPEI 1-year lagged (bottom plot) from the Climate [spring+sprin 1-year lagged] model. The general pattern of strongest positive effects in the core of the range is very similar to the pattern for the combined effect of local 15-month SPEI that had higher predictive accuracy.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87290" cy="6880936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Supplement_table_figures_files/figure-docx/fig3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6880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S3. Local effect of NAOI 1-year lagged (12-18 months before BBS counts) from the Climate-plus-core [NAOI 1-year lagged] model. The spatial pattern in effects is largely opposite to the pattern for the NAOI from the preceding winter (1-6 months before BBS counts): negative in the core of the species’ range and positive in the southern perimeter.</w:t>
            </w:r>
          </w:p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87290" cy="688093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Supplement_table_figures_files/figure-docx/fig4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6880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S4. Population trajectories and trends from all of the models compared in the paper. Long-term trends are very similar across all models, and the short-term effects from all covariate models (all models except the base model) are all very similar.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McKellar et al. supplemental table and figures</dc:title>
  <dc:creator/>
  <cp:keywords/>
  <dcterms:created xsi:type="dcterms:W3CDTF">2025-06-12T13:52:31Z</dcterms:created>
  <dcterms:modified xsi:type="dcterms:W3CDTF">2025-06-12T13:52:31Z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