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FF380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1F0CAF01"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 xml:space="preserve">This is not a criticism of the standard model; it is true of any model. </w:t>
      </w:r>
      <w:r w:rsidR="0005378F">
        <w:t>For example, t</w:t>
      </w:r>
      <w:r w:rsidR="00CD3CD2">
        <w:t xml:space="preserve">he standard models </w:t>
      </w:r>
      <w:r>
        <w:t xml:space="preserve">use </w:t>
      </w:r>
      <w:r w:rsidR="00CD3CD2">
        <w:t>slope-parameters</w:t>
      </w:r>
      <w:r>
        <w:t xml:space="preserve"> </w:t>
      </w:r>
      <w:r w:rsidR="00CD3CD2">
        <w:t>and</w:t>
      </w:r>
      <w:r>
        <w:t xml:space="preserve"> random year-effects in a hierarchical Bayesian framework (Sauer and Link 2011, Smith et al. 2014)</w:t>
      </w:r>
      <w:r w:rsidR="00CD3CD2">
        <w:t xml:space="preserve"> to estimate population change</w:t>
      </w:r>
      <w:r>
        <w:t xml:space="preserve">.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recent rates of population change. </w:t>
      </w:r>
      <w:r w:rsidR="00AA31B3">
        <w:t>The random walk structure of a first-difference model (</w:t>
      </w:r>
      <w:r w:rsidR="00C42929">
        <w:t xml:space="preserve">Link et al. </w:t>
      </w:r>
      <w:r w:rsidR="00C42929">
        <w:lastRenderedPageBreak/>
        <w:t>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1AAB8599"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4BE915D0"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(model GAM)</w:t>
      </w:r>
      <w:r w:rsidR="005F19E6">
        <w:t xml:space="preserve">, and another in which random year effects were also estimated to allow for single-year </w:t>
      </w:r>
      <w:r w:rsidR="00FF634E">
        <w:t>deviations</w:t>
      </w:r>
      <w:r w:rsidR="005F19E6">
        <w:t xml:space="preserve"> from the smooth GAM trajectory</w:t>
      </w:r>
      <w:r w:rsidR="004A7143">
        <w:t xml:space="preserve"> (</w:t>
      </w:r>
      <w:r w:rsidR="00F57F60">
        <w:t>GAMYE</w:t>
      </w:r>
      <w:r w:rsidR="004A7143">
        <w:t>)</w:t>
      </w:r>
      <w:r w:rsidR="005F19E6">
        <w:t>.</w:t>
      </w:r>
    </w:p>
    <w:p w14:paraId="1A8F3E56" w14:textId="53F5529F"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proofErr w:type="gramStart"/>
      <w:r w:rsidR="005F19E6">
        <w:t>4</w:t>
      </w:r>
      <w:proofErr w:type="gramEnd"/>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4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212E5FE4" w14:textId="57C107E6" w:rsidR="00F323A5"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F323A5">
        <w:t xml:space="preserve">The </w:t>
      </w:r>
      <w:r w:rsidR="004A7143">
        <w:t>simpler of the two smoothing models (GAM)</w:t>
      </w:r>
      <w:r w:rsidR="00F323A5">
        <w:t xml:space="preserve"> treats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6" o:title=""/>
          </v:shape>
          <o:OLEObject Type="Embed" ProgID="Equation.DSMT4" ShapeID="_x0000_i1025" DrawAspect="Content" ObjectID="_1640179659" r:id="rId7"/>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w:r w:rsidR="00641336" w:rsidRPr="00641336">
        <w:rPr>
          <w:position w:val="-12"/>
        </w:rPr>
        <w:object w:dxaOrig="240" w:dyaOrig="360" w14:anchorId="707710B6">
          <v:shape id="_x0000_i1026" type="#_x0000_t75" style="width:11.7pt;height:18.4pt" o:ole="">
            <v:imagedata r:id="rId8" o:title=""/>
          </v:shape>
          <o:OLEObject Type="Embed" ProgID="Equation.DSMT4" ShapeID="_x0000_i1026" DrawAspect="Content" ObjectID="_1640179660" r:id="rId9"/>
        </w:object>
      </w:r>
      <w:r w:rsidR="00F323A5">
        <w:t>), observer-route effects (</w:t>
      </w:r>
      <w:r w:rsidR="00641336" w:rsidRPr="00641336">
        <w:rPr>
          <w:position w:val="-14"/>
        </w:rPr>
        <w:object w:dxaOrig="300" w:dyaOrig="380" w14:anchorId="22C91B31">
          <v:shape id="_x0000_i1027" type="#_x0000_t75" style="width:15.05pt;height:18.4pt" o:ole="">
            <v:imagedata r:id="rId10" o:title=""/>
          </v:shape>
          <o:OLEObject Type="Embed" ProgID="Equation.DSMT4" ShapeID="_x0000_i1027" DrawAspect="Content" ObjectID="_1640179661" r:id="rId11"/>
        </w:object>
      </w:r>
      <w:r w:rsidR="00F323A5">
        <w:t>)</w:t>
      </w:r>
      <w:proofErr w:type="gramStart"/>
      <w:r w:rsidR="00F323A5">
        <w:t>,</w:t>
      </w:r>
      <w:r w:rsidR="004E6A3E">
        <w:t>first</w:t>
      </w:r>
      <w:proofErr w:type="gramEnd"/>
      <w:r w:rsidR="004E6A3E">
        <w:t>-year startup effects for a given observer (</w:t>
      </w:r>
      <w:r w:rsidR="00641336" w:rsidRPr="00641336">
        <w:rPr>
          <w:position w:val="-14"/>
        </w:rPr>
        <w:object w:dxaOrig="740" w:dyaOrig="400" w14:anchorId="1824F10F">
          <v:shape id="_x0000_i1028" type="#_x0000_t75" style="width:36.85pt;height:19.25pt" o:ole="">
            <v:imagedata r:id="rId12" o:title=""/>
          </v:shape>
          <o:OLEObject Type="Embed" ProgID="Equation.DSMT4" ShapeID="_x0000_i1028" DrawAspect="Content" ObjectID="_1640179662" r:id="rId13"/>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9" type="#_x0000_t75" style="width:21.75pt;height:18.4pt" o:ole="">
            <v:imagedata r:id="rId14" o:title=""/>
          </v:shape>
          <o:OLEObject Type="Embed" ProgID="Equation.DSMT4" ShapeID="_x0000_i1029" DrawAspect="Content" ObjectID="_1640179663" r:id="rId15"/>
        </w:object>
      </w:r>
      <w:r w:rsidR="001C7B51">
        <w:t>), and</w:t>
      </w:r>
      <w:r w:rsidR="00990F31">
        <w:t xml:space="preserve"> a </w:t>
      </w:r>
      <w:r w:rsidR="007246BE">
        <w:t xml:space="preserve">temporal </w:t>
      </w:r>
      <w:r w:rsidR="005959D2">
        <w:t xml:space="preserve">component estimated as a </w:t>
      </w:r>
      <w:r w:rsidR="00C42929">
        <w:t>semi-parametric</w:t>
      </w:r>
      <w:r w:rsidR="005959D2">
        <w:t xml:space="preserve"> smooth </w:t>
      </w:r>
      <w:r w:rsidR="007246BE">
        <w:t>(</w:t>
      </w:r>
      <w:r w:rsidR="00181669" w:rsidRPr="00181669">
        <w:rPr>
          <w:position w:val="-14"/>
        </w:rPr>
        <w:object w:dxaOrig="540" w:dyaOrig="400" w14:anchorId="31811862">
          <v:shape id="_x0000_i1030" type="#_x0000_t75" style="width:26.8pt;height:19.25pt" o:ole="">
            <v:imagedata r:id="rId16" o:title=""/>
          </v:shape>
          <o:OLEObject Type="Embed" ProgID="Equation.DSMT4" ShapeID="_x0000_i1030" DrawAspect="Content" ObjectID="_1640179664" r:id="rId17"/>
        </w:object>
      </w:r>
      <w:r w:rsidR="007246BE">
        <w:t>)</w:t>
      </w:r>
      <w:r w:rsidR="004E6A3E">
        <w:t>.</w:t>
      </w:r>
      <w:r w:rsidR="00F323A5">
        <w:t xml:space="preserve">  </w:t>
      </w:r>
    </w:p>
    <w:p w14:paraId="0B21783C" w14:textId="77777777" w:rsidR="00F323A5" w:rsidRDefault="007246BE" w:rsidP="007246BE">
      <w:pPr>
        <w:pStyle w:val="MTDisplayEquation"/>
      </w:pPr>
      <w:r>
        <w:tab/>
      </w:r>
      <w:r w:rsidR="00181669" w:rsidRPr="007246BE">
        <w:rPr>
          <w:position w:val="-16"/>
        </w:rPr>
        <w:object w:dxaOrig="4060" w:dyaOrig="440" w14:anchorId="409134A1">
          <v:shape id="_x0000_i1031" type="#_x0000_t75" style="width:203.45pt;height:21.75pt" o:ole="">
            <v:imagedata r:id="rId18" o:title=""/>
          </v:shape>
          <o:OLEObject Type="Embed" ProgID="Equation.DSMT4" ShapeID="_x0000_i1031" DrawAspect="Content" ObjectID="_1640179665" r:id="rId19"/>
        </w:object>
      </w:r>
      <w:r>
        <w:t xml:space="preserve"> </w:t>
      </w:r>
    </w:p>
    <w:p w14:paraId="1E0E5770" w14:textId="77777777" w:rsidR="005959D2" w:rsidRDefault="00FF634E">
      <w:r>
        <w:t>We estimated t</w:t>
      </w:r>
      <w:r w:rsidR="005959D2">
        <w:t>he GAM components fol</w:t>
      </w:r>
      <w:r>
        <w:t xml:space="preserve">lowing </w:t>
      </w:r>
      <w:proofErr w:type="spellStart"/>
      <w:r>
        <w:t>Crainiceanu</w:t>
      </w:r>
      <w:proofErr w:type="spellEnd"/>
      <w:r>
        <w:t xml:space="preserve"> et al (2005)</w:t>
      </w:r>
      <w:r w:rsidR="00181669">
        <w:t>.</w:t>
      </w:r>
      <w:r w:rsidR="005959D2">
        <w:t xml:space="preserve"> </w:t>
      </w:r>
    </w:p>
    <w:p w14:paraId="273D1BA9" w14:textId="77777777" w:rsidR="005959D2" w:rsidRDefault="000035BE">
      <w:r w:rsidRPr="00181669">
        <w:rPr>
          <w:position w:val="-28"/>
        </w:rPr>
        <w:object w:dxaOrig="1700" w:dyaOrig="680" w14:anchorId="1D9CD3D7">
          <v:shape id="_x0000_i1032" type="#_x0000_t75" style="width:84.55pt;height:33.5pt" o:ole="">
            <v:imagedata r:id="rId20" o:title=""/>
          </v:shape>
          <o:OLEObject Type="Embed" ProgID="Equation.DSMT4" ShapeID="_x0000_i1032" DrawAspect="Content" ObjectID="_1640179666" r:id="rId21"/>
        </w:object>
      </w:r>
    </w:p>
    <w:p w14:paraId="6E5AF02B" w14:textId="34C31487" w:rsidR="000035BE" w:rsidRDefault="00617D3B">
      <w:r>
        <w:t xml:space="preserve">Where </w:t>
      </w:r>
      <w:r w:rsidRPr="00617D3B">
        <w:rPr>
          <w:position w:val="-4"/>
        </w:rPr>
        <w:object w:dxaOrig="260" w:dyaOrig="240" w14:anchorId="2477A04C">
          <v:shape id="_x0000_i1033" type="#_x0000_t75" style="width:12.55pt;height:11.7pt" o:ole="">
            <v:imagedata r:id="rId22" o:title=""/>
          </v:shape>
          <o:OLEObject Type="Embed" ProgID="Equation.DSMT4" ShapeID="_x0000_i1033" DrawAspect="Content" ObjectID="_1640179667" r:id="rId23"/>
        </w:object>
      </w:r>
      <w:r>
        <w:t xml:space="preserve"> is a the number of knots, </w:t>
      </w:r>
      <w:r w:rsidRPr="00617D3B">
        <w:rPr>
          <w:position w:val="-14"/>
        </w:rPr>
        <w:object w:dxaOrig="400" w:dyaOrig="380" w14:anchorId="1C4D3823">
          <v:shape id="_x0000_i1034" type="#_x0000_t75" style="width:19.25pt;height:18.4pt" o:ole="">
            <v:imagedata r:id="rId24" o:title=""/>
          </v:shape>
          <o:OLEObject Type="Embed" ProgID="Equation.DSMT4" ShapeID="_x0000_i1034" DrawAspect="Content" ObjectID="_1640179668" r:id="rId25"/>
        </w:object>
      </w:r>
      <w:r>
        <w:t>is the year-t and k-</w:t>
      </w:r>
      <w:proofErr w:type="spellStart"/>
      <w:r>
        <w:t>th</w:t>
      </w:r>
      <w:proofErr w:type="spellEnd"/>
      <w:r>
        <w:t xml:space="preserve"> entry in the design matrix </w:t>
      </w:r>
      <w:r w:rsidRPr="00617D3B">
        <w:rPr>
          <w:position w:val="-4"/>
        </w:rPr>
        <w:object w:dxaOrig="260" w:dyaOrig="240" w14:anchorId="596F56DA">
          <v:shape id="_x0000_i1035" type="#_x0000_t75" style="width:12.55pt;height:11.7pt" o:ole="">
            <v:imagedata r:id="rId26" o:title=""/>
          </v:shape>
          <o:OLEObject Type="Embed" ProgID="Equation.DSMT4" ShapeID="_x0000_i1035" DrawAspect="Content" ObjectID="_1640179669" r:id="rId27"/>
        </w:object>
      </w:r>
      <w:r>
        <w:t>(defined below</w:t>
      </w:r>
      <w:proofErr w:type="gramStart"/>
      <w:r>
        <w:t>) ,</w:t>
      </w:r>
      <w:proofErr w:type="gramEnd"/>
      <w:r>
        <w:t xml:space="preserve"> and </w:t>
      </w:r>
      <w:r w:rsidRPr="00617D3B">
        <w:rPr>
          <w:position w:val="-14"/>
        </w:rPr>
        <w:object w:dxaOrig="279" w:dyaOrig="380" w14:anchorId="1F63D59E">
          <v:shape id="_x0000_i1036" type="#_x0000_t75" style="width:14.25pt;height:18.4pt" o:ole="">
            <v:imagedata r:id="rId28" o:title=""/>
          </v:shape>
          <o:OLEObject Type="Embed" ProgID="Equation.DSMT4" ShapeID="_x0000_i1036" DrawAspect="Content" ObjectID="_1640179670" r:id="rId29"/>
        </w:object>
      </w:r>
      <w:r w:rsidR="000035BE">
        <w:t>is</w:t>
      </w:r>
      <w:r>
        <w:t xml:space="preserve"> </w:t>
      </w:r>
      <w:r w:rsidR="000035BE">
        <w:t xml:space="preserve">the </w:t>
      </w:r>
      <w:r w:rsidR="000035BE" w:rsidRPr="00617D3B">
        <w:rPr>
          <w:position w:val="-4"/>
        </w:rPr>
        <w:object w:dxaOrig="260" w:dyaOrig="240" w14:anchorId="5406E1DE">
          <v:shape id="_x0000_i1037" type="#_x0000_t75" style="width:12.55pt;height:11.7pt" o:ole="">
            <v:imagedata r:id="rId22" o:title=""/>
          </v:shape>
          <o:OLEObject Type="Embed" ProgID="Equation.DSMT4" ShapeID="_x0000_i1037" DrawAspect="Content" ObjectID="_1640179671" r:id="rId30"/>
        </w:object>
      </w:r>
      <w:r w:rsidR="000035BE">
        <w:t xml:space="preserve">-length vector of </w:t>
      </w:r>
      <w:r>
        <w:t xml:space="preserve">parameters that control the shape of the trajectory in </w:t>
      </w:r>
      <w:r>
        <w:lastRenderedPageBreak/>
        <w:t>stratum-</w:t>
      </w:r>
      <w:proofErr w:type="spellStart"/>
      <w:r>
        <w:t>i</w:t>
      </w:r>
      <w:proofErr w:type="spellEnd"/>
      <w:r>
        <w:t>.</w:t>
      </w:r>
      <w:r w:rsidR="000035BE">
        <w:t xml:space="preserve"> Each </w:t>
      </w:r>
      <w:r w:rsidR="000035BE" w:rsidRPr="00617D3B">
        <w:rPr>
          <w:position w:val="-14"/>
        </w:rPr>
        <w:object w:dxaOrig="340" w:dyaOrig="380" w14:anchorId="2713E8D4">
          <v:shape id="_x0000_i1038" type="#_x0000_t75" style="width:16.75pt;height:18.4pt" o:ole="">
            <v:imagedata r:id="rId31" o:title=""/>
          </v:shape>
          <o:OLEObject Type="Embed" ProgID="Equation.DSMT4" ShapeID="_x0000_i1038" DrawAspect="Content" ObjectID="_1640179672" r:id="rId32"/>
        </w:object>
      </w:r>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9" type="#_x0000_t75" style="width:15.05pt;height:18.4pt" o:ole="">
            <v:imagedata r:id="rId33" o:title=""/>
          </v:shape>
          <o:OLEObject Type="Embed" ProgID="Equation.DSMT4" ShapeID="_x0000_i1039" DrawAspect="Content" ObjectID="_1640179673" r:id="rId34"/>
        </w:object>
      </w:r>
      <w:r w:rsidR="000035BE">
        <w:t>).</w:t>
      </w:r>
    </w:p>
    <w:p w14:paraId="31BC904B" w14:textId="77777777" w:rsidR="00617D3B" w:rsidRDefault="000035BE">
      <w:r w:rsidRPr="000035BE">
        <w:rPr>
          <w:position w:val="-16"/>
        </w:rPr>
        <w:object w:dxaOrig="2180" w:dyaOrig="440" w14:anchorId="0DAFCB8F">
          <v:shape id="_x0000_i1040" type="#_x0000_t75" style="width:108.85pt;height:21.75pt" o:ole="">
            <v:imagedata r:id="rId35" o:title=""/>
          </v:shape>
          <o:OLEObject Type="Embed" ProgID="Equation.DSMT4" ShapeID="_x0000_i1040" DrawAspect="Content" ObjectID="_1640179674" r:id="rId36"/>
        </w:object>
      </w:r>
      <w:r>
        <w:t xml:space="preserve"> </w:t>
      </w:r>
    </w:p>
    <w:p w14:paraId="29F84BAA" w14:textId="173D970E" w:rsidR="002E0C96" w:rsidRDefault="002E0C96">
      <w:r>
        <w:t>The mean smoothing parameters (</w:t>
      </w:r>
      <w:r w:rsidRPr="002E0C96">
        <w:rPr>
          <w:position w:val="-12"/>
        </w:rPr>
        <w:object w:dxaOrig="300" w:dyaOrig="360" w14:anchorId="2C20F123">
          <v:shape id="_x0000_i1041" type="#_x0000_t75" style="width:15.05pt;height:18.4pt" o:ole="">
            <v:imagedata r:id="rId37" o:title=""/>
          </v:shape>
          <o:OLEObject Type="Embed" ProgID="Equation.DSMT4" ShapeID="_x0000_i1041" DrawAspect="Content" ObjectID="_1640179675" r:id="rId38"/>
        </w:object>
      </w:r>
      <w:r>
        <w:t>) are themselves estimated as</w:t>
      </w:r>
      <w:r w:rsidR="00721B12">
        <w:t xml:space="preserve"> normally distributed</w:t>
      </w:r>
      <w:r>
        <w:t xml:space="preserve"> random effects with a mean of zero, and variance </w:t>
      </w:r>
      <w:r w:rsidR="00C02DDC" w:rsidRPr="00C02DDC">
        <w:rPr>
          <w:position w:val="-14"/>
        </w:rPr>
        <w:object w:dxaOrig="320" w:dyaOrig="400" w14:anchorId="06CF8A6F">
          <v:shape id="_x0000_i1042" type="#_x0000_t75" style="width:15.9pt;height:19.25pt" o:ole="">
            <v:imagedata r:id="rId39" o:title=""/>
          </v:shape>
          <o:OLEObject Type="Embed" ProgID="Equation.DSMT4" ShapeID="_x0000_i1042" DrawAspect="Content" ObjectID="_1640179676" r:id="rId40"/>
        </w:object>
      </w:r>
      <w:r>
        <w:t xml:space="preserve">controlling the shrinkage towards a first-degree polynomial (i.e., a line). </w:t>
      </w:r>
      <w:r w:rsidR="00885C52">
        <w:t>These variance parameters (</w:t>
      </w:r>
      <w:r w:rsidR="00634DDD" w:rsidRPr="00C02DDC">
        <w:rPr>
          <w:position w:val="-14"/>
        </w:rPr>
        <w:object w:dxaOrig="700" w:dyaOrig="400" w14:anchorId="60B90BEC">
          <v:shape id="_x0000_i1043" type="#_x0000_t75" style="width:36.85pt;height:19.25pt" o:ole="">
            <v:imagedata r:id="rId41" o:title=""/>
          </v:shape>
          <o:OLEObject Type="Embed" ProgID="Equation.DSMT4" ShapeID="_x0000_i1043" DrawAspect="Content" ObjectID="_1640179677" r:id="rId42"/>
        </w:object>
      </w:r>
      <w:r w:rsidR="00634DDD">
        <w:t>) control the complexity penalty of the smooths</w:t>
      </w:r>
      <w:r w:rsidR="00B86AB3">
        <w:t xml:space="preserve"> and the variation in complexity among strata</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44" type="#_x0000_t75" style="width:12.55pt;height:11.7pt" o:ole="">
            <v:imagedata r:id="rId43" o:title=""/>
          </v:shape>
          <o:OLEObject Type="Embed" ProgID="Equation.DSMT4" ShapeID="_x0000_i1044" DrawAspect="Content" ObjectID="_1640179678" r:id="rId44"/>
        </w:object>
      </w:r>
      <w:r>
        <w:t xml:space="preserve"> ) has a row for each year, and a column for each of </w:t>
      </w:r>
      <w:r w:rsidRPr="00617D3B">
        <w:rPr>
          <w:position w:val="-4"/>
        </w:rPr>
        <w:object w:dxaOrig="260" w:dyaOrig="240" w14:anchorId="5777A2F2">
          <v:shape id="_x0000_i1045" type="#_x0000_t75" style="width:12.55pt;height:11.7pt" o:ole="">
            <v:imagedata r:id="rId22" o:title=""/>
          </v:shape>
          <o:OLEObject Type="Embed" ProgID="Equation.DSMT4" ShapeID="_x0000_i1045" DrawAspect="Content" ObjectID="_1640179679" r:id="rId45"/>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46" type="#_x0000_t75" style="width:67.8pt;height:19.25pt" o:ole="">
            <v:imagedata r:id="rId46" o:title=""/>
          </v:shape>
          <o:OLEObject Type="Embed" ProgID="Equation.DSMT4" ShapeID="_x0000_i1046" DrawAspect="Content" ObjectID="_1640179680" r:id="rId47"/>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A9A7D16" w:rsidR="00C32413" w:rsidRDefault="00944F2C">
      <w:r>
        <w:t xml:space="preserve">Here, we have </w:t>
      </w:r>
      <w:r w:rsidR="00EF0409">
        <w:t>used</w:t>
      </w:r>
      <w:r>
        <w:t xml:space="preserve"> </w:t>
      </w:r>
      <w:r w:rsidR="00A66E1C">
        <w:t>13</w:t>
      </w:r>
      <w:r w:rsidR="00EF0409">
        <w:t xml:space="preserve"> knots</w:t>
      </w:r>
      <w:r w:rsidR="00C42929">
        <w:t xml:space="preserve">, across the </w:t>
      </w:r>
      <w:proofErr w:type="gramStart"/>
      <w:r w:rsidR="00C42929">
        <w:t>53 year</w:t>
      </w:r>
      <w:proofErr w:type="gramEnd"/>
      <w:r w:rsidR="00C42929">
        <w:t xml:space="preserve">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yearly fluctuations). We have </w:t>
      </w:r>
      <w:r w:rsidR="00C32413">
        <w:t>explored models</w:t>
      </w:r>
      <w:r w:rsidR="00EF0409">
        <w:t xml:space="preserve"> with more knots (up to </w:t>
      </w:r>
      <w:r w:rsidR="00A66E1C">
        <w:t>20</w:t>
      </w:r>
      <w:r w:rsidR="00EF0409">
        <w:t>), but the estimated trajectories from the models with more knots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0097C4D2" w14:textId="77777777" w:rsidR="0021546B" w:rsidRDefault="0021546B">
      <w:r w:rsidRPr="007E17F7">
        <w:rPr>
          <w:position w:val="-16"/>
        </w:rPr>
        <w:object w:dxaOrig="2620" w:dyaOrig="440" w14:anchorId="24C60E0E">
          <v:shape id="_x0000_i1047" type="#_x0000_t75" style="width:130.6pt;height:21.75pt" o:ole="">
            <v:imagedata r:id="rId48" o:title=""/>
          </v:shape>
          <o:OLEObject Type="Embed" ProgID="Equation.DSMT4" ShapeID="_x0000_i1047" DrawAspect="Content" ObjectID="_1640179681" r:id="rId49"/>
        </w:object>
      </w:r>
    </w:p>
    <w:p w14:paraId="5966689B" w14:textId="77777777" w:rsidR="00A6292C" w:rsidRDefault="0021546B">
      <w:r w:rsidRPr="007E17F7">
        <w:rPr>
          <w:position w:val="-16"/>
        </w:rPr>
        <w:object w:dxaOrig="2620" w:dyaOrig="440" w14:anchorId="5D15E555">
          <v:shape id="_x0000_i1048" type="#_x0000_t75" style="width:130.6pt;height:21.75pt" o:ole="">
            <v:imagedata r:id="rId50" o:title=""/>
          </v:shape>
          <o:OLEObject Type="Embed" ProgID="Equation.DSMT4" ShapeID="_x0000_i1048" DrawAspect="Content" ObjectID="_1640179682" r:id="rId51"/>
        </w:object>
      </w:r>
      <w:r>
        <w:t xml:space="preserve">. </w:t>
      </w:r>
    </w:p>
    <w:p w14:paraId="48C7E49E" w14:textId="25FA2BB0" w:rsidR="0021546B" w:rsidRDefault="0021546B">
      <w:r>
        <w:t xml:space="preserve">All other priors were </w:t>
      </w:r>
      <w:r w:rsidR="00D36FD9">
        <w:t xml:space="preserve">set following </w:t>
      </w:r>
      <w:r w:rsidR="00C42929">
        <w:t>Link et al.</w:t>
      </w:r>
      <w:r w:rsidR="00D36FD9">
        <w:t xml:space="preserve"> </w:t>
      </w:r>
      <w:r w:rsidR="00D800EB">
        <w:t>(</w:t>
      </w:r>
      <w:r w:rsidR="00183FBC">
        <w:t>2017</w:t>
      </w:r>
      <w:r w:rsidR="00D800EB">
        <w:t>)</w:t>
      </w:r>
      <w:r w:rsidR="00183FBC">
        <w:t>, and using the heavy-tailed, t-distribution to model the count-level extra-Poisson dispersion</w:t>
      </w:r>
      <w:r w:rsidR="00C42929">
        <w:t xml:space="preserve"> (Link et al. 2019)</w:t>
      </w:r>
      <w:r w:rsidR="00D36FD9">
        <w:t>.</w:t>
      </w:r>
    </w:p>
    <w:p w14:paraId="7AEB11A2" w14:textId="3D4B3D80" w:rsidR="00F57F60"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w:r w:rsidR="002F0604" w:rsidRPr="002F0604">
        <w:rPr>
          <w:position w:val="-14"/>
        </w:rPr>
        <w:object w:dxaOrig="320" w:dyaOrig="380" w14:anchorId="2C0BDB33">
          <v:shape id="_x0000_i1049" type="#_x0000_t75" style="width:15.9pt;height:18.4pt" o:ole="">
            <v:imagedata r:id="rId52" o:title=""/>
          </v:shape>
          <o:OLEObject Type="Embed" ProgID="Equation.DSMT4" ShapeID="_x0000_i1049" DrawAspect="Content" ObjectID="_1640179683" r:id="rId53"/>
        </w:object>
      </w:r>
      <w:r w:rsidR="002F0604">
        <w:t xml:space="preserve"> ) estimated following Sauer and Link (2011)</w:t>
      </w:r>
      <w:r w:rsidR="00D36FD9">
        <w:t xml:space="preserve"> and Smith et al. </w:t>
      </w:r>
      <w:r w:rsidR="00E02722">
        <w:t>(</w:t>
      </w:r>
      <w:r w:rsidR="00D36FD9">
        <w:t>2015</w:t>
      </w:r>
      <w:r w:rsidR="00E02722">
        <w:t>)</w:t>
      </w:r>
      <w:r w:rsidR="00D36FD9">
        <w:t>,</w:t>
      </w:r>
      <w:r w:rsidR="002F0604">
        <w:t xml:space="preserve"> as </w:t>
      </w:r>
      <w:r w:rsidR="002F0604">
        <w:lastRenderedPageBreak/>
        <w:t xml:space="preserve">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50" type="#_x0000_t75" style="width:19.25pt;height:19.25pt" o:ole="">
            <v:imagedata r:id="rId54" o:title=""/>
          </v:shape>
          <o:OLEObject Type="Embed" ProgID="Equation.DSMT4" ShapeID="_x0000_i1050" DrawAspect="Content" ObjectID="_1640179684" r:id="rId55"/>
        </w:object>
      </w:r>
      <w:r w:rsidR="002F0604">
        <w:t xml:space="preserve">.  </w:t>
      </w:r>
      <w:r w:rsidR="00B86AB3">
        <w:t xml:space="preserve">Adding the year-effects to the </w:t>
      </w:r>
      <w:r w:rsidR="00F57F60">
        <w:t>GAM</w:t>
      </w:r>
      <w:r w:rsidR="00B86AB3">
        <w:t xml:space="preserve"> structure</w:t>
      </w:r>
      <w:r w:rsidR="00F57F60">
        <w:t xml:space="preserve">, </w:t>
      </w:r>
      <w:r w:rsidR="00B86AB3">
        <w:t>allowed us</w:t>
      </w:r>
      <w:r w:rsidR="00F57F60">
        <w:t xml:space="preserve"> to decompose </w:t>
      </w:r>
      <w:r w:rsidR="00B86AB3">
        <w:t xml:space="preserve">the estimated </w:t>
      </w:r>
      <w:r w:rsidR="00F57F60">
        <w:t>population</w:t>
      </w:r>
      <w:r w:rsidR="00B86AB3">
        <w:t xml:space="preserve"> trajectory</w:t>
      </w:r>
      <w:r w:rsidR="00F57F60">
        <w:t xml:space="preserve"> into long- and medium-term changes using the GAM smooths and local annual fluctuations using the year-effects. </w:t>
      </w:r>
      <w:r w:rsidR="00B86AB3">
        <w:t xml:space="preserve">We suggest that this is a useful feature of this model for some conservation uses, because it allows us to estimate trends that either include the effects of the annual fluctuations or trends that remove these annual fluctuations. </w:t>
      </w:r>
    </w:p>
    <w:p w14:paraId="7E28E886" w14:textId="77777777" w:rsidR="00A83BA1" w:rsidRDefault="00A83BA1">
      <w:r>
        <w:t>Alternative models</w:t>
      </w:r>
    </w:p>
    <w:p w14:paraId="026D5372" w14:textId="55DD8814" w:rsidR="00A83BA1" w:rsidRDefault="00E02722">
      <w:proofErr w:type="gramStart"/>
      <w:r>
        <w:t>For a selection of species, w</w:t>
      </w:r>
      <w:r w:rsidR="00A83BA1">
        <w:t xml:space="preserve">e compared the predictions and predictive accuracy of the two GAMs against two alternative models </w:t>
      </w:r>
      <w:r w:rsidR="007634D3">
        <w:t xml:space="preserve">previously used </w:t>
      </w:r>
      <w:r w:rsidR="00A83BA1">
        <w:t xml:space="preserve">for the BBS: 1)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182182">
        <w:t>SLOPE</w:t>
      </w:r>
      <w:r w:rsidR="00D36FD9">
        <w:t>, essentially the same as model S</w:t>
      </w:r>
      <w:r w:rsidR="002D21BE">
        <w:t>H</w:t>
      </w:r>
      <w:r w:rsidR="00D36FD9">
        <w:t xml:space="preserve"> in Link </w:t>
      </w:r>
      <w:r w:rsidR="00C42929">
        <w:t>et al</w:t>
      </w:r>
      <w:r w:rsidR="00D36FD9">
        <w:t xml:space="preserve"> 2017</w:t>
      </w:r>
      <w:r w:rsidR="00A83BA1">
        <w:t>); and 2) the first-difference year effect model (</w:t>
      </w:r>
      <w:r w:rsidR="00FE2F7E">
        <w:t>DIFFERENCE</w:t>
      </w:r>
      <w:r w:rsidR="00A83BA1">
        <w:t>) 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r w:rsidR="00A83BA1">
        <w:t>.</w:t>
      </w:r>
      <w:proofErr w:type="gramEnd"/>
      <w:r w:rsidR="00A83BA1">
        <w:t xml:space="preserve">  The </w:t>
      </w:r>
      <w:r w:rsidR="002D21BE">
        <w:t xml:space="preserve">SLOPE </w:t>
      </w:r>
      <w:r w:rsidR="00A83BA1">
        <w:t xml:space="preserve">model includes a log-linear slope parameter and random year-effects to model species trajectories. The </w:t>
      </w:r>
      <w:r w:rsidR="00FE2F7E">
        <w:t>DIFFERENCE</w:t>
      </w:r>
      <w:r w:rsidR="00A83BA1">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114D3DFE" w:rsidR="00D800EB" w:rsidRDefault="005665F5">
      <w:r>
        <w:t xml:space="preserve">The only differences among the four models used here are the parameters that estimate the temporal components (i.e., changes across years); all other parameters were the same. </w:t>
      </w:r>
      <w:r w:rsidR="00657BD5">
        <w:t>All</w:t>
      </w:r>
      <w:r>
        <w:t xml:space="preserve"> four</w:t>
      </w:r>
      <w:r w:rsidR="00657BD5">
        <w:t xml:space="preserve"> of </w:t>
      </w:r>
      <w:r>
        <w:t>our</w:t>
      </w:r>
      <w:r w:rsidR="00657BD5">
        <w:t xml:space="preserve"> models share the same suite of parameters</w:t>
      </w:r>
      <w:r>
        <w:t xml:space="preserve"> </w:t>
      </w:r>
      <w:r w:rsidR="00657BD5">
        <w:t xml:space="preserve">that account for variations in relative abundance among strata and among observer-route combinations, as well as the parameters that account for </w:t>
      </w:r>
      <w:proofErr w:type="spellStart"/>
      <w:r w:rsidR="00657BD5">
        <w:t>overdispersion</w:t>
      </w:r>
      <w:proofErr w:type="spellEnd"/>
      <w:r w:rsidR="00657BD5">
        <w:t xml:space="preserve"> and </w:t>
      </w:r>
      <w:r w:rsidR="00F323A5">
        <w:t xml:space="preserve">the effect of </w:t>
      </w:r>
      <w:r w:rsidR="00657BD5">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rsidR="00657BD5">
        <w:t>.</w:t>
      </w:r>
      <w:r w:rsidR="00F323A5">
        <w:t xml:space="preserve"> </w:t>
      </w:r>
    </w:p>
    <w:p w14:paraId="24127474" w14:textId="14C0E156" w:rsidR="008F1847" w:rsidRDefault="00B86AB3" w:rsidP="008F1847">
      <w:r>
        <w:t xml:space="preserve">All analyses in this paper </w:t>
      </w:r>
      <w:proofErr w:type="gramStart"/>
      <w:r>
        <w:t>were conducted</w:t>
      </w:r>
      <w:proofErr w:type="gramEnd"/>
      <w:r>
        <w:t xml:space="preserve"> in R (R Core Team, 2019), using JAGS to implement the Bayesian analyses</w:t>
      </w:r>
      <w:r w:rsidR="00D3609B">
        <w:t xml:space="preserve"> (Plummer 2003)</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proofErr w:type="gramStart"/>
      <w:r w:rsidR="002D21BE">
        <w:t>have been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75FD2EAC" w14:textId="781E0AE1" w:rsidR="002C06C8" w:rsidRDefault="00D800EB">
      <w:r>
        <w:t xml:space="preserve">We used a </w:t>
      </w:r>
      <w:r w:rsidR="007D113A">
        <w:t>temporally and spatially balanced</w:t>
      </w:r>
      <w:r>
        <w:t xml:space="preserve">, k-fold cross-validation with k = </w:t>
      </w:r>
      <w:r w:rsidR="007D113A">
        <w:t>15</w:t>
      </w:r>
      <w:r>
        <w:t xml:space="preserve">, where we </w:t>
      </w:r>
      <w:r w:rsidR="002C06C8">
        <w:t>held-out</w:t>
      </w:r>
      <w:r>
        <w:t xml:space="preserve"> </w:t>
      </w:r>
      <w:r w:rsidR="007D113A">
        <w:t>random sets of counts, balanced across all years</w:t>
      </w:r>
      <w:r w:rsidR="003D40AF">
        <w:t xml:space="preserve"> and strata so that each of the 15-folds included some observations from every combination of strata and years</w:t>
      </w:r>
      <w:r w:rsidR="002C06C8">
        <w:t>. We chose this approach</w:t>
      </w:r>
      <w:r w:rsidR="00100982">
        <w:t xml:space="preserve"> over </w:t>
      </w:r>
      <w:proofErr w:type="gramStart"/>
      <w:r w:rsidR="00100982">
        <w:t xml:space="preserve">a leave-one-out approach using a random subset of 100 counts (Link </w:t>
      </w:r>
      <w:r w:rsidR="00C42929">
        <w:t>et al.</w:t>
      </w:r>
      <w:r w:rsidR="00100982">
        <w:t xml:space="preserve"> 2019), because we wanted to assess the predictive success a</w:t>
      </w:r>
      <w:r w:rsidR="00C42929">
        <w:t xml:space="preserve">cross all counts in the dataset, </w:t>
      </w:r>
      <w:r w:rsidR="001D0D44">
        <w:t>and because we wanted to</w:t>
      </w:r>
      <w:r w:rsidR="00C42929">
        <w:t xml:space="preserve"> </w:t>
      </w:r>
      <w:r w:rsidR="00100982">
        <w:t>explore the temporal and spatial patterns in predictive success</w:t>
      </w:r>
      <w:proofErr w:type="gramEnd"/>
      <w:r w:rsidR="00100982">
        <w:t xml:space="preserve">. </w:t>
      </w:r>
      <w:r w:rsidR="001D0D44">
        <w:t xml:space="preserve">We followed the same procedure outlined in Link et al. 2017 to implement the cross-validation in a parallel computing environment, using the R-packages </w:t>
      </w:r>
      <w:r w:rsidR="001D0D44" w:rsidRPr="001D0D44">
        <w:rPr>
          <w:highlight w:val="yellow"/>
        </w:rPr>
        <w:t xml:space="preserve">parallel and </w:t>
      </w:r>
      <w:proofErr w:type="spellStart"/>
      <w:r w:rsidR="001D0D44" w:rsidRPr="001D0D44">
        <w:rPr>
          <w:highlight w:val="yellow"/>
        </w:rPr>
        <w:lastRenderedPageBreak/>
        <w:t>foreach</w:t>
      </w:r>
      <w:proofErr w:type="spellEnd"/>
      <w:r w:rsidR="001D0D44" w:rsidRPr="001D0D44">
        <w:rPr>
          <w:highlight w:val="yellow"/>
        </w:rPr>
        <w:t>.</w:t>
      </w:r>
      <w:r w:rsidR="001D0D44">
        <w:t xml:space="preserve"> </w:t>
      </w:r>
      <w:r w:rsidR="00100982">
        <w:t>We did not calculate</w:t>
      </w:r>
      <w:r w:rsidR="007634D3">
        <w:t xml:space="preserve"> WAIC </w:t>
      </w:r>
      <w:r w:rsidR="00100982">
        <w:t xml:space="preserve">because previous work has shown that WAIC </w:t>
      </w:r>
      <w:proofErr w:type="gramStart"/>
      <w:r w:rsidR="007634D3">
        <w:t>does</w:t>
      </w:r>
      <w:proofErr w:type="gramEnd"/>
      <w:r w:rsidR="007634D3">
        <w:t xml:space="preserve"> not approximate </w:t>
      </w:r>
      <w:proofErr w:type="spellStart"/>
      <w:r w:rsidR="007634D3">
        <w:t>loocv</w:t>
      </w:r>
      <w:proofErr w:type="spellEnd"/>
      <w:r w:rsidR="007634D3">
        <w:t xml:space="preserve"> well for the BBS data (Li</w:t>
      </w:r>
      <w:r w:rsidR="00100982">
        <w:t>nk et al. 2017).</w:t>
      </w:r>
    </w:p>
    <w:p w14:paraId="01309F40" w14:textId="74633C0D" w:rsidR="007E6DDB" w:rsidRDefault="007E6DDB">
      <w:r>
        <w:t>We used the Bayesian Predictive Information Criterion (BPIC) to compare the out-of-sample predictive error among our four models (Link et al. 201</w:t>
      </w:r>
      <w:r w:rsidR="00183FBC">
        <w:t>9</w:t>
      </w:r>
      <w:r>
        <w:t xml:space="preserve">). BPIC is </w:t>
      </w:r>
      <w:r w:rsidR="00117EBD">
        <w:t xml:space="preserve">the </w:t>
      </w:r>
      <w:r>
        <w:t xml:space="preserve">sum of the log posterior probabilities of each observation when </w:t>
      </w:r>
      <w:r w:rsidR="00117EBD">
        <w:t xml:space="preserve">the observations </w:t>
      </w:r>
      <w:proofErr w:type="gramStart"/>
      <w:r w:rsidR="00117EBD">
        <w:t>are</w:t>
      </w:r>
      <w:r>
        <w:t xml:space="preserve"> held-out</w:t>
      </w:r>
      <w:proofErr w:type="gramEnd"/>
      <w:r>
        <w:t xml:space="preserve"> from the data used to fit the model.</w:t>
      </w:r>
      <w:r w:rsidR="00D05281">
        <w:t xml:space="preserve"> </w:t>
      </w:r>
      <w:r w:rsidR="000144FA">
        <w:t>Following Link et al. 201</w:t>
      </w:r>
      <w:r w:rsidR="007D113A">
        <w:t>9</w:t>
      </w:r>
      <w:r w:rsidR="000144FA">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indicate better predictive success</w:t>
      </w:r>
      <w:r w:rsidR="000144FA">
        <w:t>.</w:t>
      </w:r>
    </w:p>
    <w:p w14:paraId="73F7478D" w14:textId="740F3228" w:rsidR="00054710" w:rsidRDefault="002C06C8">
      <w:r>
        <w:t xml:space="preserve">We </w:t>
      </w:r>
      <w:r w:rsidR="00183FBC">
        <w:t>summarized the</w:t>
      </w:r>
      <w:r>
        <w:t xml:space="preserve"> </w:t>
      </w:r>
      <w:r w:rsidR="0093732C">
        <w:t>count</w:t>
      </w:r>
      <w:r>
        <w:t xml:space="preserve">-level BPIC values (i.e., </w:t>
      </w:r>
      <w:r w:rsidR="0001254A">
        <w:t xml:space="preserve">observation-level </w:t>
      </w:r>
      <w:r>
        <w:t>prediction error estimates for every count in the data</w:t>
      </w:r>
      <w:r w:rsidR="00183FBC">
        <w:t>set</w:t>
      </w:r>
      <w:r>
        <w:t xml:space="preserve">), and </w:t>
      </w:r>
      <w:r w:rsidR="0093732C">
        <w:t xml:space="preserve">summarized these BPIC values in multiple ways </w:t>
      </w:r>
      <w:r>
        <w:t xml:space="preserve">to explore the temporal and spatial patterns </w:t>
      </w:r>
      <w:r w:rsidR="0001254A">
        <w:t xml:space="preserve">in support </w:t>
      </w:r>
      <w:r w:rsidR="00183FBC">
        <w:t>of</w:t>
      </w:r>
      <w:r w:rsidR="0001254A">
        <w:t xml:space="preserve"> different models, as well as the relative influence of different kinds of counts </w:t>
      </w:r>
      <w:r>
        <w:t>(Table X).</w:t>
      </w:r>
      <w:r w:rsidR="00182182">
        <w:t xml:space="preserve"> </w:t>
      </w:r>
      <w:r w:rsidR="00AA1DF1" w:rsidRPr="00183FBC">
        <w:rPr>
          <w:highlight w:val="yellow"/>
        </w:rPr>
        <w:t xml:space="preserve">We </w:t>
      </w:r>
      <w:r w:rsidR="007D113A" w:rsidRPr="00183FBC">
        <w:rPr>
          <w:highlight w:val="yellow"/>
        </w:rPr>
        <w:t xml:space="preserve">also </w:t>
      </w:r>
      <w:proofErr w:type="spellStart"/>
      <w:r w:rsidR="007D113A" w:rsidRPr="00183FBC">
        <w:rPr>
          <w:highlight w:val="yellow"/>
        </w:rPr>
        <w:t>analysed</w:t>
      </w:r>
      <w:proofErr w:type="spellEnd"/>
      <w:r w:rsidR="007D113A" w:rsidRPr="00183FBC">
        <w:rPr>
          <w:highlight w:val="yellow"/>
        </w:rPr>
        <w:t xml:space="preserve"> the count-level BPIC values using </w:t>
      </w:r>
      <w:r w:rsidR="00054710" w:rsidRPr="00183FBC">
        <w:rPr>
          <w:highlight w:val="yellow"/>
        </w:rPr>
        <w:t xml:space="preserve">additional </w:t>
      </w:r>
      <w:r w:rsidR="007D113A" w:rsidRPr="00183FBC">
        <w:rPr>
          <w:highlight w:val="yellow"/>
        </w:rPr>
        <w:t>hierarchical Bayesian models that accounted for the posterior variance of each BPIC value to compare the predictive success among models, years, and geographic strata.</w:t>
      </w:r>
      <w:r w:rsidR="00AA1DF1" w:rsidRPr="00183FBC">
        <w:rPr>
          <w:highlight w:val="yellow"/>
        </w:rPr>
        <w:t xml:space="preserve"> </w:t>
      </w:r>
      <w:r w:rsidR="00054710" w:rsidRPr="00183FBC">
        <w:rPr>
          <w:highlight w:val="yellow"/>
        </w:rPr>
        <w:t>These models treated the posterior median BPIC for each count as random variates drawn from a normal distribution with a mean and a precision given by the inverse of the posterior variance of the BPIC values. This model therefore accounted for the precision of the BPIC calculation for each count in the dataset, which we suggest is an improvement over the Z-score, paired t-test approach of Link and Sauer 2019, because it</w:t>
      </w:r>
      <w:r w:rsidR="00566791" w:rsidRPr="00183FBC">
        <w:rPr>
          <w:highlight w:val="yellow"/>
        </w:rPr>
        <w:t xml:space="preserve"> will </w:t>
      </w:r>
      <w:proofErr w:type="spellStart"/>
      <w:r w:rsidR="00566791" w:rsidRPr="00183FBC">
        <w:rPr>
          <w:highlight w:val="yellow"/>
        </w:rPr>
        <w:t>downweight</w:t>
      </w:r>
      <w:proofErr w:type="spellEnd"/>
      <w:r w:rsidR="00566791" w:rsidRPr="00183FBC">
        <w:rPr>
          <w:highlight w:val="yellow"/>
        </w:rPr>
        <w:t xml:space="preserve"> the influence of a handful of extremely poorly predicted counts.</w:t>
      </w:r>
      <w:r w:rsidR="00566791">
        <w:t xml:space="preserve"> For example, Figure X shows the extremely non-normal distribution of the BPIC scores for Barn Swallow. </w:t>
      </w:r>
      <w:r w:rsidR="00054710">
        <w:t xml:space="preserve"> </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t>Temporal comparisons, looking for variation in predicti</w:t>
            </w:r>
            <w:r w:rsidR="00FC5A0C">
              <w:t xml:space="preserve">ve error across the time-series, as well 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lastRenderedPageBreak/>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D3609B">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1D0D44"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1D0D44"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4E816A25"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w:t>
      </w:r>
      <w:r>
        <w:lastRenderedPageBreak/>
        <w:t xml:space="preserve">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 </w:t>
      </w:r>
      <w:r w:rsidR="00E26954">
        <w:rPr>
          <w:rFonts w:eastAsiaTheme="minorEastAsia"/>
        </w:rPr>
        <w:t>but</w:t>
      </w:r>
      <w:r w:rsidR="00127CB6">
        <w:rPr>
          <w:rFonts w:eastAsiaTheme="minorEastAsia"/>
        </w:rPr>
        <w:t xml:space="preserve"> because the variance of the observer-route effects is not specific to the stratum, the hypothetical new observer-route isn’t necessarily a route found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calculated here,</w:t>
      </w:r>
      <w:r w:rsidR="002425B8">
        <w:t xml:space="preserve"> more closely reflect the observed average counts on BBS routes in a given stratum</w:t>
      </w:r>
      <w:r w:rsidR="00AF16ED">
        <w:t xml:space="preserve">, and </w:t>
      </w:r>
      <w:r w:rsidR="00E26954">
        <w:t>therefore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 is an area of ongoing research (Link et al. 2019). </w:t>
      </w:r>
    </w:p>
    <w:p w14:paraId="79174225" w14:textId="56AF6D80"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proofErr w:type="gramStart"/>
      <w:r>
        <w:t>one which</w:t>
      </w:r>
      <w:proofErr w:type="gramEnd"/>
      <w:r>
        <w:t xml:space="preserve"> </w:t>
      </w:r>
      <w:r w:rsidR="00DE0E93">
        <w:t>included</w:t>
      </w:r>
      <w:r>
        <w:t xml:space="preserve"> the annual variation in the trajectory,</w:t>
      </w:r>
    </w:p>
    <w:p w14:paraId="79174225" w14:textId="56AF6D80" w:rsidR="00B02BC2" w:rsidRDefault="00B02BC2"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7F30EDD4" w:rsidR="00B02BC2" w:rsidRDefault="00E26954" w:rsidP="00F458FB">
      <w:proofErr w:type="gramStart"/>
      <w:r>
        <w:t>a</w:t>
      </w:r>
      <w:r w:rsidR="00B02BC2">
        <w:t>nd</w:t>
      </w:r>
      <w:proofErr w:type="gramEnd"/>
      <w:r w:rsidR="00B02BC2">
        <w:t xml:space="preserve"> a second which </w:t>
      </w:r>
      <w:r w:rsidR="00DE0E93">
        <w:t>excluded</w:t>
      </w:r>
      <w:r w:rsidR="00B02BC2">
        <w:t xml:space="preserve"> the annual variations</w:t>
      </w:r>
      <w:r w:rsidR="00DE0E93">
        <w:t xml:space="preserve"> and only included the smoothing components of the GAM to estimate the time-series</w:t>
      </w:r>
      <w:r>
        <w:t>.</w:t>
      </w:r>
    </w:p>
    <w:p w14:paraId="1068A5DB" w14:textId="21B63739" w:rsidR="00F82BBF" w:rsidRDefault="00E26954">
      <m:oMathPara>
        <m:oMath>
          <m:sSub>
            <m:sSubPr>
              <m:ctrlPr>
                <w:rPr>
                  <w:rFonts w:ascii="Cambria Math" w:hAnsi="Cambria Math"/>
                  <w:i/>
                </w:rPr>
              </m:ctrlPr>
            </m:sSubPr>
            <m:e>
              <m:r>
                <m:rPr>
                  <m:sty m:val="p"/>
                </m:rPr>
                <w:rPr>
                  <w:rFonts w:ascii="Cambria Math" w:hAnsi="Cambria Math"/>
                </w:rPr>
                <m:t>Α</m:t>
              </m:r>
              <m:r>
                <m:rPr>
                  <m:sty m:val="p"/>
                </m:rP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68908568" w:rsidR="005E43C8" w:rsidRDefault="001D0D44">
      <w:r>
        <w:t>We calculated population trajectories and trends from the GAMYE model using both sets of annual indices</w:t>
      </w:r>
      <w:r w:rsidR="00127CB6">
        <w:t xml:space="preserve"> for comparison.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Pr>
          <w:rFonts w:eastAsiaTheme="minorEastAsia"/>
        </w:rPr>
        <w:t xml:space="preserve"> values to plot and compare the population trajectories, and the </w:t>
      </w:r>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oMath>
      <w:r>
        <w:rPr>
          <w:rFonts w:eastAsiaTheme="minorEastAsia"/>
        </w:rPr>
        <w:t xml:space="preserve"> values to calculate the trends</w:t>
      </w:r>
      <w:r w:rsidR="00E26954">
        <w:t xml:space="preserve">. In the R-package </w:t>
      </w:r>
      <w:proofErr w:type="spellStart"/>
      <w:r w:rsidR="00E26954">
        <w:t>bbsBayes</w:t>
      </w:r>
      <w:proofErr w:type="spellEnd"/>
      <w:r w:rsidR="00E26954">
        <w:t xml:space="preserve">, both versions of N are available for all of the models,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2D1FC2DC" w14:textId="1835F44D" w:rsidR="00C42929" w:rsidRDefault="00F82BBF">
      <w:r>
        <w:t xml:space="preserve">The GAM and GAMYE models generate trajectories that are more likely to vary in the medium- and long-term. </w:t>
      </w:r>
    </w:p>
    <w:p w14:paraId="4E0DCC04" w14:textId="536A9AC9" w:rsidR="000D5DBF" w:rsidRDefault="00636713">
      <w:r>
        <w:t xml:space="preserve">The survey-wide population trajectories for the </w:t>
      </w:r>
      <w:r w:rsidR="00F57F60">
        <w:t>GAMYE</w:t>
      </w:r>
      <w:r>
        <w:t xml:space="preserve"> models are very similar to trajectories from the </w:t>
      </w:r>
      <w:r w:rsidR="00FE2F7E">
        <w:t>DIFFERENCE</w:t>
      </w:r>
      <w:r>
        <w:t xml:space="preserve"> model. Trajectories from the GAM</w:t>
      </w:r>
      <w:r w:rsidR="00FE2F7E">
        <w:t xml:space="preserve">, </w:t>
      </w:r>
      <w:r>
        <w:t xml:space="preserve">follow the overall pattern of the </w:t>
      </w:r>
      <w:r w:rsidR="00F57F60">
        <w:t>GAMYE</w:t>
      </w:r>
      <w:r>
        <w:t xml:space="preserve"> and</w:t>
      </w:r>
      <w:r w:rsidR="00FE2F7E">
        <w:t xml:space="preserve"> are generally similar to</w:t>
      </w:r>
      <w:r>
        <w:t xml:space="preserve"> the </w:t>
      </w:r>
      <w:r w:rsidR="00FE2F7E">
        <w:t>DIFFERENCE</w:t>
      </w:r>
      <w:r>
        <w:t xml:space="preserve"> model</w:t>
      </w:r>
      <w:r w:rsidR="00BD4EF4">
        <w:t xml:space="preserve">, but </w:t>
      </w:r>
      <w:r w:rsidR="00C42929">
        <w:t>show effectively no</w:t>
      </w:r>
      <w:r w:rsidR="00BD4EF4">
        <w:t xml:space="preserve"> </w:t>
      </w:r>
      <w:r>
        <w:t xml:space="preserve">annual fluctuations. Trajectories from </w:t>
      </w:r>
      <w:r w:rsidR="00BD4EF4">
        <w:t>all four models are very similar</w:t>
      </w:r>
      <w:r>
        <w:t xml:space="preserve"> in the </w:t>
      </w:r>
      <w:r w:rsidR="000B4FC7">
        <w:t>latter</w:t>
      </w:r>
      <w:r w:rsidR="003B5CEA">
        <w:t xml:space="preserve"> half</w:t>
      </w:r>
      <w:r>
        <w:t xml:space="preserve"> of the time-series</w:t>
      </w:r>
      <w:r w:rsidR="00BD4EF4">
        <w:t xml:space="preserve"> when there are more data</w:t>
      </w:r>
      <w:r>
        <w:t xml:space="preserve">, but less </w:t>
      </w:r>
      <w:r w:rsidR="00BD4EF4">
        <w:t>similar</w:t>
      </w:r>
      <w:r>
        <w:t xml:space="preserve"> in the earlier portion of the time-series</w:t>
      </w:r>
      <w:r w:rsidR="00BD4EF4">
        <w:t xml:space="preserve"> when there are fewer data (Figure 1 [panel of 4 species plots with continental trajectories])</w:t>
      </w:r>
      <w:r>
        <w:t>.</w:t>
      </w:r>
      <w:r w:rsidR="00BD4EF4">
        <w:t xml:space="preserve"> The overall cross-validation results suggest that the </w:t>
      </w:r>
      <w:r w:rsidR="00F57F60">
        <w:t>GAMYE</w:t>
      </w:r>
      <w:r w:rsidR="00BD4EF4">
        <w:t xml:space="preserve"> and the </w:t>
      </w:r>
      <w:r w:rsidR="00FE2F7E">
        <w:t>DIFFERENCE</w:t>
      </w:r>
      <w:r w:rsidR="00BD4EF4">
        <w:t xml:space="preserve"> models are comparable in their prediction accuracy, at least for these species, and outperformed both of the other models. </w:t>
      </w:r>
    </w:p>
    <w:p w14:paraId="1CD0D95D" w14:textId="416C78BA" w:rsidR="00951E0B" w:rsidRDefault="001527F6">
      <w:r>
        <w:t>GAM results</w:t>
      </w:r>
      <w:r w:rsidR="00636713">
        <w:t xml:space="preserve"> – continental plots for 4 species, compared to the </w:t>
      </w:r>
    </w:p>
    <w:p w14:paraId="1D393D6D" w14:textId="77777777" w:rsidR="001527F6" w:rsidRDefault="001527F6" w:rsidP="001527F6">
      <w:r>
        <w:t>Figures</w:t>
      </w:r>
    </w:p>
    <w:p w14:paraId="37F639F1" w14:textId="77777777" w:rsidR="001527F6" w:rsidRDefault="001527F6" w:rsidP="001527F6">
      <w:r>
        <w:t>Plots of the betas, and the shrinkage factors for each beta</w:t>
      </w:r>
    </w:p>
    <w:p w14:paraId="7C19A6FE" w14:textId="77777777" w:rsidR="001527F6" w:rsidRDefault="001527F6" w:rsidP="001527F6">
      <w:r>
        <w:t>GAM trajectories – continental index, continental mean Betas… some regional estimates, plotted against the observed mean counts and the number of counts.</w:t>
      </w:r>
    </w:p>
    <w:p w14:paraId="0351AD3C" w14:textId="7A3DE42C" w:rsidR="001527F6" w:rsidRDefault="00C42929">
      <w:r>
        <w:t>Annual variation in trend estimates from the different models…</w:t>
      </w:r>
    </w:p>
    <w:p w14:paraId="22DF4AB6" w14:textId="6B41FC8F" w:rsidR="001527F6" w:rsidRDefault="001527F6"/>
    <w:p w14:paraId="5D82EEFC" w14:textId="5FF56E9E" w:rsidR="001527F6" w:rsidRDefault="001527F6">
      <w:r>
        <w:t>Model comparisons</w:t>
      </w:r>
    </w:p>
    <w:p w14:paraId="73BAB2B7" w14:textId="5C670FA3" w:rsidR="00885C52" w:rsidRDefault="00885C52"/>
    <w:p w14:paraId="6D5CD396" w14:textId="7F28534F" w:rsidR="00885C52" w:rsidRDefault="00885C52">
      <w:r>
        <w:t xml:space="preserve">Trajectories for all </w:t>
      </w:r>
      <w:proofErr w:type="gramStart"/>
      <w:r>
        <w:t>4</w:t>
      </w:r>
      <w:proofErr w:type="gramEnd"/>
      <w:r>
        <w:t xml:space="preserve"> models</w:t>
      </w:r>
    </w:p>
    <w:p w14:paraId="390D1C51" w14:textId="5A23C4B3" w:rsidR="001527F6" w:rsidRDefault="001527F6">
      <w:r>
        <w:t xml:space="preserve">Trajectories of BPIC or </w:t>
      </w:r>
      <w:proofErr w:type="spellStart"/>
      <w:proofErr w:type="gramStart"/>
      <w:r>
        <w:t>Vj</w:t>
      </w:r>
      <w:proofErr w:type="spellEnd"/>
      <w:proofErr w:type="gramEnd"/>
    </w:p>
    <w:p w14:paraId="4910F369" w14:textId="059ED2E4" w:rsidR="001527F6" w:rsidRDefault="001527F6">
      <w:r>
        <w:t>Maps of best model</w:t>
      </w:r>
    </w:p>
    <w:p w14:paraId="47E3B4E0" w14:textId="76521988" w:rsidR="001527F6" w:rsidRDefault="001527F6">
      <w:r>
        <w:t>Plots of BPIC vs count-value</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5F0FBA2B" w14:textId="77777777" w:rsidR="008963EF" w:rsidRDefault="008963EF">
      <w:r>
        <w:t xml:space="preserve">This model provides useful estimates of population trajectories and trends with comparable out of sample predictive accuracy as other models. </w:t>
      </w:r>
    </w:p>
    <w:p w14:paraId="66A56FE9" w14:textId="77777777" w:rsidR="001D1ACF" w:rsidRDefault="001D1ACF">
      <w:r>
        <w:t xml:space="preserve">Predictive accuracy varies in space and time. </w:t>
      </w:r>
    </w:p>
    <w:p w14:paraId="77D3B2A3" w14:textId="795F36F6" w:rsidR="001D495F" w:rsidRDefault="001D1ACF">
      <w:r>
        <w:t xml:space="preserve">Predictive accuracy is not the only consideration, given that even among models with comparable </w:t>
      </w:r>
      <w:proofErr w:type="gramStart"/>
      <w:r>
        <w:t>BPIC,</w:t>
      </w:r>
      <w:proofErr w:type="gramEnd"/>
      <w:r>
        <w:t xml:space="preserve"> estimates of trend and trajectory were different in ways with implications for conservation.</w:t>
      </w:r>
    </w:p>
    <w:p w14:paraId="54CC71D4" w14:textId="50D7DE8F" w:rsidR="001D495F" w:rsidRDefault="005A592E">
      <w:r>
        <w:t xml:space="preserve">The smoothed GAM components are particularly useful for many conservation-relevant uses. Intermediate trends, short-term trends that </w:t>
      </w:r>
      <w:proofErr w:type="gramStart"/>
      <w:r>
        <w:t>don’t</w:t>
      </w:r>
      <w:proofErr w:type="gramEnd"/>
      <w:r>
        <w:t xml:space="preserve"> fluctuate from year-year, short-term trends that are not influenced by the long-term trend.</w:t>
      </w:r>
    </w:p>
    <w:p w14:paraId="0481F416" w14:textId="06C00F30" w:rsidR="00326B8A" w:rsidRDefault="00326B8A">
      <w:r>
        <w:t xml:space="preserve">We recommend the GAM-ye model for status and trend analyses, where the trend components </w:t>
      </w:r>
      <w:proofErr w:type="gramStart"/>
      <w:r>
        <w:t>are derived</w:t>
      </w:r>
      <w:proofErr w:type="gramEnd"/>
      <w:r>
        <w:t xml:space="preserve"> from the smooth and two estimates of trajectories can be used to examine the intermediate and long-term patterns, and the year-effects can be added to examine annual fluctuations.</w:t>
      </w:r>
    </w:p>
    <w:p w14:paraId="111369C0" w14:textId="6AB87B7E" w:rsidR="00BC4F82" w:rsidRDefault="00C35E81">
      <w:r>
        <w:rPr>
          <w:rFonts w:eastAsiaTheme="minorEastAsia"/>
        </w:rPr>
        <w:t xml:space="preserve">There are alternative measures of trend that integrate information from all annual indices in a given trend period, such as the slope of a log-linear regression through the estimated annual indices (e.g., PIF trend estimates). </w:t>
      </w:r>
      <w:proofErr w:type="gramStart"/>
      <w:r>
        <w:rPr>
          <w:rFonts w:eastAsiaTheme="minorEastAsia"/>
        </w:rPr>
        <w:t>However</w:t>
      </w:r>
      <w:proofErr w:type="gramEnd"/>
      <w:r>
        <w:rPr>
          <w:rFonts w:eastAsiaTheme="minorEastAsia"/>
        </w:rPr>
        <w:t xml:space="preserve"> this end-point trend estimate is useful because it can be derived for any two points within the time-series and it is a derived parameter that is simple to calculate using estimates from any of the models presented here.</w:t>
      </w:r>
    </w:p>
    <w:p w14:paraId="34F8C794" w14:textId="470D536E" w:rsidR="00BC4F82" w:rsidRDefault="00BC4F82">
      <w:r>
        <w:t>This decomposition serves a practical purpose in that it allows for estimates of population change and population status that exclude the annual fluctuations (</w:t>
      </w:r>
      <w:proofErr w:type="spellStart"/>
      <w:r>
        <w:t>Knape</w:t>
      </w:r>
      <w:proofErr w:type="spellEnd"/>
      <w:r>
        <w:t xml:space="preserve"> 2016). Excluding the annual fluctuations makes short- and medium-term trend estimates more stable between successive years and is therefore particularly useful for conservation status assessments such as population-trend criteria used in the IUCN </w:t>
      </w:r>
      <w:proofErr w:type="gramStart"/>
      <w:r>
        <w:t>red-listing</w:t>
      </w:r>
      <w:proofErr w:type="gramEnd"/>
      <w:r>
        <w:t xml:space="preserve"> and COSEWIC species at risk </w:t>
      </w:r>
      <w:proofErr w:type="spellStart"/>
      <w:r>
        <w:t>assesments</w:t>
      </w:r>
      <w:proofErr w:type="spellEnd"/>
      <w:r>
        <w:t xml:space="preserve">. For both of these assessments, population declines beyond a particular threshold trigger large investments of resources related to policy and conservation actions, and so if the rate of population decline is strongly dependent on the particular year in which a species is assessed there is an increased risk of inefficient investments of those resources.   </w:t>
      </w:r>
    </w:p>
    <w:p w14:paraId="260031D4" w14:textId="2A8327EF" w:rsidR="00326B8A" w:rsidRDefault="002825D9">
      <w:r>
        <w:t xml:space="preserve">The model </w:t>
      </w:r>
      <w:proofErr w:type="gramStart"/>
      <w:r>
        <w:t>can be accessed</w:t>
      </w:r>
      <w:proofErr w:type="gramEnd"/>
    </w:p>
    <w:p w14:paraId="0319A954" w14:textId="77777777" w:rsidR="002825D9" w:rsidRDefault="002825D9">
      <w:pPr>
        <w:rPr>
          <w:color w:val="000000"/>
        </w:rPr>
      </w:pPr>
      <w:r>
        <w:rPr>
          <w:color w:val="000000"/>
        </w:rPr>
        <w:br w:type="page"/>
      </w:r>
    </w:p>
    <w:p w14:paraId="22A36BCB" w14:textId="049FD777"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77777777" w:rsidR="008A5A2D" w:rsidRPr="008A5A2D" w:rsidRDefault="008A5A2D" w:rsidP="008A5A2D">
      <w:pPr>
        <w:rPr>
          <w:rStyle w:val="self-citation-authors"/>
        </w:rPr>
      </w:pP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56"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57"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hyperlink r:id="rId58" w:history="1">
        <w:r w:rsidRPr="009A4418">
          <w:rPr>
            <w:rStyle w:val="Hyperlink"/>
          </w:rPr>
          <w:t>https://www.R-project.org/</w:t>
        </w:r>
      </w:hyperlink>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6C6B4FA0" w:rsidR="00D3609B" w:rsidRDefault="00D3609B" w:rsidP="00D3609B">
      <w:r>
        <w:t>H. Wickham. ggplot2: Elegant Graphics for Data Analysis. Springer-</w:t>
      </w:r>
      <w:proofErr w:type="spellStart"/>
      <w:r>
        <w:t>Verlag</w:t>
      </w:r>
      <w:proofErr w:type="spellEnd"/>
      <w:r>
        <w:t xml:space="preserve"> New York, 2016.</w:t>
      </w:r>
    </w:p>
    <w:p w14:paraId="62BE163A" w14:textId="77777777" w:rsidR="00951E0B" w:rsidRDefault="00951E0B">
      <w:bookmarkStart w:id="2" w:name="_GoBack"/>
      <w:bookmarkEnd w:id="2"/>
    </w:p>
    <w:sectPr w:rsidR="00951E0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3504BE" w:rsidRDefault="003504BE"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3504BE" w:rsidRDefault="003504BE"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3504BE" w:rsidRDefault="003504BE"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71744A" w:rsidRDefault="0071744A" w:rsidP="0071744A">
      <w:pPr>
        <w:pStyle w:val="Default"/>
      </w:pPr>
      <w:r>
        <w:rPr>
          <w:rStyle w:val="CommentReference"/>
        </w:rPr>
        <w:annotationRef/>
      </w:r>
    </w:p>
    <w:p w14:paraId="6FA3E390" w14:textId="21A14534" w:rsidR="0071744A" w:rsidRDefault="0071744A"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71744A" w:rsidRDefault="0071744A" w:rsidP="0071744A">
      <w:pPr>
        <w:pStyle w:val="CommentText"/>
      </w:pPr>
      <w:r>
        <w:t xml:space="preserve"> </w:t>
      </w:r>
      <w:r>
        <w:rPr>
          <w:sz w:val="22"/>
          <w:szCs w:val="22"/>
        </w:rPr>
        <w:t>Journal of the American Statistical Association, Vol. 78, No. 383 (Sep., 1983), pp. 605-610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5378F"/>
    <w:rsid w:val="00054710"/>
    <w:rsid w:val="00063FEC"/>
    <w:rsid w:val="00084F03"/>
    <w:rsid w:val="00090EF5"/>
    <w:rsid w:val="000A6F62"/>
    <w:rsid w:val="000B286C"/>
    <w:rsid w:val="000B3BC2"/>
    <w:rsid w:val="000B4FC7"/>
    <w:rsid w:val="000D5DBF"/>
    <w:rsid w:val="000D7A0A"/>
    <w:rsid w:val="000E2D3B"/>
    <w:rsid w:val="000F0E8F"/>
    <w:rsid w:val="00100982"/>
    <w:rsid w:val="00117136"/>
    <w:rsid w:val="00117EBD"/>
    <w:rsid w:val="00127CB6"/>
    <w:rsid w:val="001527F6"/>
    <w:rsid w:val="0016530C"/>
    <w:rsid w:val="00181669"/>
    <w:rsid w:val="00182182"/>
    <w:rsid w:val="00183FBC"/>
    <w:rsid w:val="001B07D7"/>
    <w:rsid w:val="001B170F"/>
    <w:rsid w:val="001B2AB7"/>
    <w:rsid w:val="001C36D1"/>
    <w:rsid w:val="001C7B51"/>
    <w:rsid w:val="001D0D44"/>
    <w:rsid w:val="001D1ACF"/>
    <w:rsid w:val="001D495F"/>
    <w:rsid w:val="001D76F7"/>
    <w:rsid w:val="001E7DDD"/>
    <w:rsid w:val="002124ED"/>
    <w:rsid w:val="0021546B"/>
    <w:rsid w:val="00215F2B"/>
    <w:rsid w:val="00221123"/>
    <w:rsid w:val="00232200"/>
    <w:rsid w:val="002425B8"/>
    <w:rsid w:val="00252DBA"/>
    <w:rsid w:val="00260D04"/>
    <w:rsid w:val="00271A7E"/>
    <w:rsid w:val="002825D9"/>
    <w:rsid w:val="0028284F"/>
    <w:rsid w:val="002C06C8"/>
    <w:rsid w:val="002D21BE"/>
    <w:rsid w:val="002E0C96"/>
    <w:rsid w:val="002F0604"/>
    <w:rsid w:val="002F1266"/>
    <w:rsid w:val="00301A67"/>
    <w:rsid w:val="00313FC9"/>
    <w:rsid w:val="00317C34"/>
    <w:rsid w:val="00326B8A"/>
    <w:rsid w:val="00341D42"/>
    <w:rsid w:val="003504BE"/>
    <w:rsid w:val="00352290"/>
    <w:rsid w:val="00354BDE"/>
    <w:rsid w:val="00356846"/>
    <w:rsid w:val="003935F3"/>
    <w:rsid w:val="003A15FE"/>
    <w:rsid w:val="003B0B14"/>
    <w:rsid w:val="003B5CEA"/>
    <w:rsid w:val="003D40AF"/>
    <w:rsid w:val="003D71C1"/>
    <w:rsid w:val="00421401"/>
    <w:rsid w:val="004277F9"/>
    <w:rsid w:val="0044376C"/>
    <w:rsid w:val="00471237"/>
    <w:rsid w:val="004A7143"/>
    <w:rsid w:val="004E1F2B"/>
    <w:rsid w:val="004E40A1"/>
    <w:rsid w:val="004E6A3E"/>
    <w:rsid w:val="00521E0D"/>
    <w:rsid w:val="0054506F"/>
    <w:rsid w:val="00553A37"/>
    <w:rsid w:val="005665F5"/>
    <w:rsid w:val="00566791"/>
    <w:rsid w:val="00570793"/>
    <w:rsid w:val="005959D2"/>
    <w:rsid w:val="005A592E"/>
    <w:rsid w:val="005C6043"/>
    <w:rsid w:val="005E1D4F"/>
    <w:rsid w:val="005E43C8"/>
    <w:rsid w:val="005F19E6"/>
    <w:rsid w:val="00617D3B"/>
    <w:rsid w:val="00627F11"/>
    <w:rsid w:val="00634DDD"/>
    <w:rsid w:val="00636713"/>
    <w:rsid w:val="00641336"/>
    <w:rsid w:val="00657BD5"/>
    <w:rsid w:val="00673EDA"/>
    <w:rsid w:val="00681CA4"/>
    <w:rsid w:val="00693DD9"/>
    <w:rsid w:val="006A50F1"/>
    <w:rsid w:val="006F0D1A"/>
    <w:rsid w:val="006F66D1"/>
    <w:rsid w:val="0070604D"/>
    <w:rsid w:val="0071744A"/>
    <w:rsid w:val="00721B12"/>
    <w:rsid w:val="007246BE"/>
    <w:rsid w:val="00743569"/>
    <w:rsid w:val="0075190E"/>
    <w:rsid w:val="0075267E"/>
    <w:rsid w:val="007634D3"/>
    <w:rsid w:val="007707B3"/>
    <w:rsid w:val="00773B5F"/>
    <w:rsid w:val="007A5C62"/>
    <w:rsid w:val="007B79B7"/>
    <w:rsid w:val="007D113A"/>
    <w:rsid w:val="007E17F7"/>
    <w:rsid w:val="007E6DDB"/>
    <w:rsid w:val="00833A6E"/>
    <w:rsid w:val="00845AC6"/>
    <w:rsid w:val="00885C52"/>
    <w:rsid w:val="008963EF"/>
    <w:rsid w:val="008A5A2D"/>
    <w:rsid w:val="008B69AF"/>
    <w:rsid w:val="008F1847"/>
    <w:rsid w:val="00904297"/>
    <w:rsid w:val="00913140"/>
    <w:rsid w:val="00915E67"/>
    <w:rsid w:val="009232CB"/>
    <w:rsid w:val="0093732C"/>
    <w:rsid w:val="00944F2C"/>
    <w:rsid w:val="00951E0B"/>
    <w:rsid w:val="009538FC"/>
    <w:rsid w:val="00967A4C"/>
    <w:rsid w:val="00990F31"/>
    <w:rsid w:val="009A722D"/>
    <w:rsid w:val="009B6C41"/>
    <w:rsid w:val="009C68BB"/>
    <w:rsid w:val="00A11516"/>
    <w:rsid w:val="00A6292C"/>
    <w:rsid w:val="00A66E1C"/>
    <w:rsid w:val="00A76187"/>
    <w:rsid w:val="00A7662D"/>
    <w:rsid w:val="00A83BA1"/>
    <w:rsid w:val="00AA1DF1"/>
    <w:rsid w:val="00AA31B3"/>
    <w:rsid w:val="00AC49E5"/>
    <w:rsid w:val="00AF16ED"/>
    <w:rsid w:val="00B02BC2"/>
    <w:rsid w:val="00B43169"/>
    <w:rsid w:val="00B86AB3"/>
    <w:rsid w:val="00B87D37"/>
    <w:rsid w:val="00BA6AA3"/>
    <w:rsid w:val="00BC4F82"/>
    <w:rsid w:val="00BD4C89"/>
    <w:rsid w:val="00BD4EF4"/>
    <w:rsid w:val="00C02DDC"/>
    <w:rsid w:val="00C32413"/>
    <w:rsid w:val="00C35E81"/>
    <w:rsid w:val="00C41812"/>
    <w:rsid w:val="00C42929"/>
    <w:rsid w:val="00C859D2"/>
    <w:rsid w:val="00CC1D3E"/>
    <w:rsid w:val="00CD3CD2"/>
    <w:rsid w:val="00CF3293"/>
    <w:rsid w:val="00D03E7F"/>
    <w:rsid w:val="00D05281"/>
    <w:rsid w:val="00D13D2B"/>
    <w:rsid w:val="00D3609B"/>
    <w:rsid w:val="00D36FD9"/>
    <w:rsid w:val="00D474CC"/>
    <w:rsid w:val="00D57997"/>
    <w:rsid w:val="00D64FB0"/>
    <w:rsid w:val="00D723F2"/>
    <w:rsid w:val="00D800EB"/>
    <w:rsid w:val="00DB67C9"/>
    <w:rsid w:val="00DD535A"/>
    <w:rsid w:val="00DE0E93"/>
    <w:rsid w:val="00E02722"/>
    <w:rsid w:val="00E04314"/>
    <w:rsid w:val="00E26954"/>
    <w:rsid w:val="00E92107"/>
    <w:rsid w:val="00E95221"/>
    <w:rsid w:val="00E96FC6"/>
    <w:rsid w:val="00EB38C2"/>
    <w:rsid w:val="00EC54D7"/>
    <w:rsid w:val="00EC5C6A"/>
    <w:rsid w:val="00EF0409"/>
    <w:rsid w:val="00F323A5"/>
    <w:rsid w:val="00F44F2A"/>
    <w:rsid w:val="00F458FB"/>
    <w:rsid w:val="00F57F60"/>
    <w:rsid w:val="00F76A8E"/>
    <w:rsid w:val="00F82BBF"/>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6.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18.wmf"/><Relationship Id="rId54"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hyperlink" Target="https://www.R-project.org/" TargetMode="External"/><Relationship Id="rId5" Type="http://schemas.microsoft.com/office/2011/relationships/commentsExtended" Target="commentsExtended.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hyperlink" Target="https://doi.org/10.7287/peerj.preprints.27320v1" TargetMode="External"/><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3.wmf"/><Relationship Id="rId60" Type="http://schemas.microsoft.com/office/2011/relationships/people" Target="people.xml"/><Relationship Id="rId4" Type="http://schemas.openxmlformats.org/officeDocument/2006/relationships/comments" Target="comment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hyperlink" Target="https://CRAN.R-project.org/package=foreach" TargetMode="Externa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12</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30</cp:revision>
  <dcterms:created xsi:type="dcterms:W3CDTF">2019-12-12T23:04:00Z</dcterms:created>
  <dcterms:modified xsi:type="dcterms:W3CDTF">2020-01-10T21:38:00Z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