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1F0CAF01"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 xml:space="preserve">This is not a criticism of the standard model; it is true of any model. </w:t>
      </w:r>
      <w:r w:rsidR="0005378F">
        <w:t>For example, t</w:t>
      </w:r>
      <w:r w:rsidR="00CD3CD2">
        <w:t xml:space="preserve">he standard models </w:t>
      </w:r>
      <w:r>
        <w:t xml:space="preserve">use </w:t>
      </w:r>
      <w:r w:rsidR="00CD3CD2">
        <w:t>slope-parameters</w:t>
      </w:r>
      <w:r>
        <w:t xml:space="preserve"> </w:t>
      </w:r>
      <w:r w:rsidR="00CD3CD2">
        <w:t>and</w:t>
      </w:r>
      <w:r>
        <w:t xml:space="preserve"> random year-effects in a hierarchical Bayesian framework (Sauer and Link 2011, Smith et al. 2014)</w:t>
      </w:r>
      <w:r w:rsidR="00CD3CD2">
        <w:t xml:space="preserve"> to estimate population change</w:t>
      </w:r>
      <w:r>
        <w:t xml:space="preserve">.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recent rates of population change. </w:t>
      </w:r>
      <w:r w:rsidR="00AA31B3">
        <w:t>The random walk structure of a first-difference model (</w:t>
      </w:r>
      <w:r w:rsidR="00C42929">
        <w:t xml:space="preserve">Link et al. </w:t>
      </w:r>
      <w:r w:rsidR="00C42929">
        <w:lastRenderedPageBreak/>
        <w:t>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1AAB8599"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6" o:title=""/>
          </v:shape>
          <o:OLEObject Type="Embed" ProgID="Equation.DSMT4" ShapeID="_x0000_i1025" DrawAspect="Content" ObjectID="_1641124584" r:id="rId7"/>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8" o:title=""/>
          </v:shape>
          <o:OLEObject Type="Embed" ProgID="Equation.DSMT4" ShapeID="_x0000_i1026" DrawAspect="Content" ObjectID="_1641124585" r:id="rId9"/>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0" o:title=""/>
          </v:shape>
          <o:OLEObject Type="Embed" ProgID="Equation.DSMT4" ShapeID="_x0000_i1027" DrawAspect="Content" ObjectID="_1641124586" r:id="rId11"/>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2" o:title=""/>
          </v:shape>
          <o:OLEObject Type="Embed" ProgID="Equation.DSMT4" ShapeID="_x0000_i1028" DrawAspect="Content" ObjectID="_1641124587" r:id="rId13"/>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01516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4" o:title=""/>
          </v:shape>
          <o:OLEObject Type="Embed" ProgID="Equation.DSMT4" ShapeID="_x0000_i1029" DrawAspect="Content" ObjectID="_1641124588" r:id="rId15"/>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6" o:title=""/>
          </v:shape>
          <o:OLEObject Type="Embed" ProgID="Equation.DSMT4" ShapeID="_x0000_i1030" DrawAspect="Content" ObjectID="_1641124589" r:id="rId17"/>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8" o:title=""/>
          </v:shape>
          <o:OLEObject Type="Embed" ProgID="Equation.DSMT4" ShapeID="_x0000_i1031" DrawAspect="Content" ObjectID="_1641124590" r:id="rId19"/>
        </w:object>
      </w:r>
      <w:r w:rsidR="000035BE">
        <w:t>).</w:t>
      </w:r>
    </w:p>
    <w:p w14:paraId="31BC904B" w14:textId="1E05D0F2" w:rsidR="00617D3B" w:rsidRDefault="0001516F">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0" o:title=""/>
          </v:shape>
          <o:OLEObject Type="Embed" ProgID="Equation.DSMT4" ShapeID="_x0000_i1032" DrawAspect="Content" ObjectID="_1641124591" r:id="rId21"/>
        </w:object>
      </w:r>
      <w:r>
        <w:t xml:space="preserve"> ) has a row for each year, and a column for each of </w:t>
      </w:r>
      <w:r w:rsidRPr="00617D3B">
        <w:rPr>
          <w:position w:val="-4"/>
        </w:rPr>
        <w:object w:dxaOrig="260" w:dyaOrig="240" w14:anchorId="5777A2F2">
          <v:shape id="_x0000_i1033" type="#_x0000_t75" style="width:12.55pt;height:11.7pt" o:ole="">
            <v:imagedata r:id="rId22" o:title=""/>
          </v:shape>
          <o:OLEObject Type="Embed" ProgID="Equation.DSMT4" ShapeID="_x0000_i1033" DrawAspect="Content" ObjectID="_1641124592" r:id="rId23"/>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4" o:title=""/>
          </v:shape>
          <o:OLEObject Type="Embed" ProgID="Equation.DSMT4" ShapeID="_x0000_i1034" DrawAspect="Content" ObjectID="_1641124593" r:id="rId25"/>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01516F">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01516F">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6" o:title=""/>
          </v:shape>
          <o:OLEObject Type="Embed" ProgID="Equation.DSMT4" ShapeID="_x0000_i1035" DrawAspect="Content" ObjectID="_1641124594" r:id="rId27"/>
        </w:object>
      </w:r>
      <w:r w:rsidR="002F0604">
        <w:t xml:space="preserve">.  </w:t>
      </w:r>
    </w:p>
    <w:p w14:paraId="7829B49B" w14:textId="41C0A0C4" w:rsidR="00544ECC" w:rsidRDefault="0001516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1B5E5277"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 xml:space="preserve">We suggest that this is a useful feature of this model for </w:t>
      </w:r>
      <w:r w:rsidR="0057328C">
        <w:t>many conservation-applications</w:t>
      </w:r>
      <w:r>
        <w:t>, because it allows us to estimate trends</w:t>
      </w:r>
      <w:r w:rsidR="0057328C">
        <w:t xml:space="preserve"> and trajectories</w:t>
      </w:r>
      <w:r>
        <w:t xml:space="preserve"> that either include the effects of the annual fluctuations or that remove these annual fluctuations.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01516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4F14134F" w:rsidR="009A0192" w:rsidRDefault="0057328C">
      <w:r>
        <w:t>Secondly,</w:t>
      </w:r>
      <w:r w:rsidR="00A83BA1">
        <w:t xml:space="preserve"> the first-difference year effect model (</w:t>
      </w:r>
      <w:r w:rsidR="00FE2F7E">
        <w:t>DIFFERENCE</w:t>
      </w:r>
      <w:r w:rsidR="00A83BA1">
        <w:t>) 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01516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0CA2BC7B" w:rsidR="008F1847" w:rsidRDefault="00B86AB3" w:rsidP="008F1847">
      <w:r>
        <w:t xml:space="preserve">All analyses in this paper </w:t>
      </w:r>
      <w:proofErr w:type="gramStart"/>
      <w:r>
        <w:t>were conducted</w:t>
      </w:r>
      <w:proofErr w:type="gramEnd"/>
      <w:r>
        <w:t xml:space="preserve"> in R (R Core Team, 2019), using JAGS to implement the Bayesian analyses</w:t>
      </w:r>
      <w:r w:rsidR="00D3609B">
        <w:t xml:space="preserve"> (Plummer 2003)</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lastRenderedPageBreak/>
        <w:t>Cross-validation</w:t>
      </w:r>
    </w:p>
    <w:p w14:paraId="75FD2EAC" w14:textId="1C658CF2" w:rsidR="002C06C8" w:rsidRDefault="00D800EB">
      <w:r>
        <w:t xml:space="preserve">We used a </w:t>
      </w:r>
      <w:r w:rsidR="007D113A">
        <w:t xml:space="preserve">temporally and spatially </w:t>
      </w:r>
      <w:r w:rsidR="00703BCA">
        <w:t>stratified</w:t>
      </w:r>
      <w:r>
        <w:t xml:space="preserve">, k-fold cross-validation with k = </w:t>
      </w:r>
      <w:r w:rsidR="007D113A">
        <w:t>15</w:t>
      </w:r>
      <w:r>
        <w:t xml:space="preserve">, where we </w:t>
      </w:r>
      <w:r w:rsidR="002C06C8">
        <w:t>held-out</w:t>
      </w:r>
      <w:r>
        <w:t xml:space="preserve"> </w:t>
      </w:r>
      <w:r w:rsidR="007D113A">
        <w:t xml:space="preserve">random sets of counts, </w:t>
      </w:r>
      <w:r w:rsidR="00703BCA">
        <w:t>stratified</w:t>
      </w:r>
      <w:r w:rsidR="007D113A">
        <w:t xml:space="preserve"> across all years</w:t>
      </w:r>
      <w:r w:rsidR="003D40AF">
        <w:t xml:space="preserve"> and strata so that each of the 15-folds included some observations from every combination of strata and years</w:t>
      </w:r>
      <w:r w:rsidR="002C06C8">
        <w:t>. We chose this approach</w:t>
      </w:r>
      <w:r w:rsidR="00100982">
        <w:t xml:space="preserve"> over </w:t>
      </w:r>
      <w:proofErr w:type="gramStart"/>
      <w:r w:rsidR="00100982">
        <w:t>a leave-one-out approach using a random subset of counts (</w:t>
      </w:r>
      <w:r w:rsidR="00703BCA">
        <w:t xml:space="preserve">e.g., </w:t>
      </w:r>
      <w:r w:rsidR="00100982">
        <w:t xml:space="preserve">Link </w:t>
      </w:r>
      <w:r w:rsidR="00C42929">
        <w:t>et al.</w:t>
      </w:r>
      <w:r w:rsidR="00100982">
        <w:t xml:space="preserve"> 2019), because we wanted to assess the predictive success a</w:t>
      </w:r>
      <w:r w:rsidR="00C42929">
        <w:t xml:space="preserve">cross all counts in the dataset, </w:t>
      </w:r>
      <w:r w:rsidR="001D0D44">
        <w:t>and because we wanted to</w:t>
      </w:r>
      <w:r w:rsidR="00C42929">
        <w:t xml:space="preserve"> </w:t>
      </w:r>
      <w:r w:rsidR="00100982">
        <w:t>explore the temporal and spatial patterns in predictive success</w:t>
      </w:r>
      <w:proofErr w:type="gramEnd"/>
      <w:r w:rsidR="00100982">
        <w:t xml:space="preserve">. </w:t>
      </w:r>
      <w:r w:rsidR="001D0D44">
        <w:t xml:space="preserve">We followed the same procedure outlined in Link et al. 2017 to implement the cross-validation in a parallel computing environment, using the R-packages </w:t>
      </w:r>
      <w:r w:rsidR="001D0D44" w:rsidRPr="001D0D44">
        <w:rPr>
          <w:highlight w:val="yellow"/>
        </w:rPr>
        <w:t xml:space="preserve">parallel and </w:t>
      </w:r>
      <w:proofErr w:type="spellStart"/>
      <w:r w:rsidR="001D0D44" w:rsidRPr="001D0D44">
        <w:rPr>
          <w:highlight w:val="yellow"/>
        </w:rPr>
        <w:t>foreach</w:t>
      </w:r>
      <w:proofErr w:type="spellEnd"/>
      <w:r w:rsidR="001D0D44" w:rsidRPr="001D0D44">
        <w:rPr>
          <w:highlight w:val="yellow"/>
        </w:rPr>
        <w:t>.</w:t>
      </w:r>
      <w:r w:rsidR="001D0D44">
        <w:t xml:space="preserve"> </w:t>
      </w:r>
      <w:r w:rsidR="00100982">
        <w:t>We did not calculate</w:t>
      </w:r>
      <w:r w:rsidR="007634D3">
        <w:t xml:space="preserve"> WAIC </w:t>
      </w:r>
      <w:r w:rsidR="00100982">
        <w:t xml:space="preserve">because previous work has shown that WAIC </w:t>
      </w:r>
      <w:proofErr w:type="gramStart"/>
      <w:r w:rsidR="007634D3">
        <w:t>does</w:t>
      </w:r>
      <w:proofErr w:type="gramEnd"/>
      <w:r w:rsidR="007634D3">
        <w:t xml:space="preserve"> not approximate </w:t>
      </w:r>
      <w:proofErr w:type="spellStart"/>
      <w:r w:rsidR="007634D3">
        <w:t>loocv</w:t>
      </w:r>
      <w:proofErr w:type="spellEnd"/>
      <w:r w:rsidR="007634D3">
        <w:t xml:space="preserve"> well for the BBS data (Li</w:t>
      </w:r>
      <w:r w:rsidR="00100982">
        <w:t>nk et al. 2017).</w:t>
      </w:r>
    </w:p>
    <w:p w14:paraId="01309F40" w14:textId="74633C0D" w:rsidR="007E6DDB" w:rsidRDefault="007E6DDB">
      <w:r>
        <w:t>We used the Bayesian Predictive Information Criterion (BPIC) to compare the out-of-sample predictive error among our four models (Link et al. 201</w:t>
      </w:r>
      <w:r w:rsidR="00183FBC">
        <w:t>9</w:t>
      </w:r>
      <w:r>
        <w:t xml:space="preserve">). BPIC is </w:t>
      </w:r>
      <w:r w:rsidR="00117EBD">
        <w:t xml:space="preserve">the </w:t>
      </w:r>
      <w:r>
        <w:t xml:space="preserve">sum of the log posterior probabilities of each observation when </w:t>
      </w:r>
      <w:r w:rsidR="00117EBD">
        <w:t xml:space="preserve">the observations </w:t>
      </w:r>
      <w:proofErr w:type="gramStart"/>
      <w:r w:rsidR="00117EBD">
        <w:t>are</w:t>
      </w:r>
      <w:r>
        <w:t xml:space="preserve"> held-out</w:t>
      </w:r>
      <w:proofErr w:type="gramEnd"/>
      <w:r>
        <w:t xml:space="preserve"> from the data used to fit the model.</w:t>
      </w:r>
      <w:r w:rsidR="00D05281">
        <w:t xml:space="preserve"> </w:t>
      </w:r>
      <w:r w:rsidR="000144FA">
        <w:t>Following Link et al. 201</w:t>
      </w:r>
      <w:r w:rsidR="007D113A">
        <w:t>9</w:t>
      </w:r>
      <w:r w:rsidR="000144FA">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indicate better predictive success</w:t>
      </w:r>
      <w:r w:rsidR="000144FA">
        <w:t>.</w:t>
      </w:r>
    </w:p>
    <w:p w14:paraId="73F7478D" w14:textId="740F3228" w:rsidR="00054710" w:rsidRDefault="002C06C8">
      <w:r>
        <w:t xml:space="preserve">We </w:t>
      </w:r>
      <w:r w:rsidR="00183FBC">
        <w:t>summarized the</w:t>
      </w:r>
      <w:r>
        <w:t xml:space="preserve"> </w:t>
      </w:r>
      <w:r w:rsidR="0093732C">
        <w:t>count</w:t>
      </w:r>
      <w:r>
        <w:t xml:space="preserve">-level BPIC values (i.e., </w:t>
      </w:r>
      <w:r w:rsidR="0001254A">
        <w:t xml:space="preserve">observation-level </w:t>
      </w:r>
      <w:r>
        <w:t>prediction error estimates for every count in the data</w:t>
      </w:r>
      <w:r w:rsidR="00183FBC">
        <w:t>set</w:t>
      </w:r>
      <w:r>
        <w:t xml:space="preserve">), and </w:t>
      </w:r>
      <w:r w:rsidR="0093732C">
        <w:t xml:space="preserve">summarized these BPIC values in multiple ways </w:t>
      </w:r>
      <w:r>
        <w:t xml:space="preserve">to explore the temporal and spatial patterns </w:t>
      </w:r>
      <w:r w:rsidR="0001254A">
        <w:t xml:space="preserve">in support </w:t>
      </w:r>
      <w:r w:rsidR="00183FBC">
        <w:t>of</w:t>
      </w:r>
      <w:r w:rsidR="0001254A">
        <w:t xml:space="preserve"> different models, as well as the relative influence of different kinds of counts </w:t>
      </w:r>
      <w:r>
        <w:t>(Table X).</w:t>
      </w:r>
      <w:r w:rsidR="00182182">
        <w:t xml:space="preserve"> </w:t>
      </w:r>
      <w:r w:rsidR="00AA1DF1" w:rsidRPr="00183FBC">
        <w:rPr>
          <w:highlight w:val="yellow"/>
        </w:rPr>
        <w:t xml:space="preserve">We </w:t>
      </w:r>
      <w:r w:rsidR="007D113A" w:rsidRPr="00183FBC">
        <w:rPr>
          <w:highlight w:val="yellow"/>
        </w:rPr>
        <w:t xml:space="preserve">also </w:t>
      </w:r>
      <w:proofErr w:type="spellStart"/>
      <w:r w:rsidR="007D113A" w:rsidRPr="00183FBC">
        <w:rPr>
          <w:highlight w:val="yellow"/>
        </w:rPr>
        <w:t>analysed</w:t>
      </w:r>
      <w:proofErr w:type="spellEnd"/>
      <w:r w:rsidR="007D113A" w:rsidRPr="00183FBC">
        <w:rPr>
          <w:highlight w:val="yellow"/>
        </w:rPr>
        <w:t xml:space="preserve"> the count-level BPIC values using </w:t>
      </w:r>
      <w:r w:rsidR="00054710" w:rsidRPr="00183FBC">
        <w:rPr>
          <w:highlight w:val="yellow"/>
        </w:rPr>
        <w:t xml:space="preserve">additional </w:t>
      </w:r>
      <w:r w:rsidR="007D113A" w:rsidRPr="00183FBC">
        <w:rPr>
          <w:highlight w:val="yellow"/>
        </w:rPr>
        <w:t>hierarchical Bayesian models that accounted for the posterior variance of each BPIC value to compare the predictive success among models, years, and geographic strata.</w:t>
      </w:r>
      <w:r w:rsidR="00AA1DF1" w:rsidRPr="00183FBC">
        <w:rPr>
          <w:highlight w:val="yellow"/>
        </w:rPr>
        <w:t xml:space="preserve"> </w:t>
      </w:r>
      <w:r w:rsidR="00054710" w:rsidRPr="00183FBC">
        <w:rPr>
          <w:highlight w:val="yellow"/>
        </w:rPr>
        <w:t>These models treated the posterior median BPIC for each count as random variates drawn from a normal distribution with a mean and a precision given by the inverse of the posterior variance of the BPIC values. This model therefore accounted for the precision of the BPIC calculation for each count in the dataset, which we suggest is an improvement over the Z-score, paired t-test approach of Link and Sauer 2019, because it</w:t>
      </w:r>
      <w:r w:rsidR="00566791" w:rsidRPr="00183FBC">
        <w:rPr>
          <w:highlight w:val="yellow"/>
        </w:rPr>
        <w:t xml:space="preserve"> will </w:t>
      </w:r>
      <w:proofErr w:type="spellStart"/>
      <w:r w:rsidR="00566791" w:rsidRPr="00183FBC">
        <w:rPr>
          <w:highlight w:val="yellow"/>
        </w:rPr>
        <w:t>downweight</w:t>
      </w:r>
      <w:proofErr w:type="spellEnd"/>
      <w:r w:rsidR="00566791" w:rsidRPr="00183FBC">
        <w:rPr>
          <w:highlight w:val="yellow"/>
        </w:rPr>
        <w:t xml:space="preserve"> the influence of a handful of extremely poorly predicted counts.</w:t>
      </w:r>
      <w:r w:rsidR="00566791">
        <w:t xml:space="preserve"> For example, Figure X shows the extremely non-normal distribution of the BPIC scores for Barn Swallow. </w:t>
      </w:r>
      <w:r w:rsidR="00054710">
        <w:t xml:space="preserve"> </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lastRenderedPageBreak/>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lastRenderedPageBreak/>
              <w:t>Temporal comparisons, looking for variation in predicti</w:t>
            </w:r>
            <w:r w:rsidR="00FC5A0C">
              <w:t xml:space="preserve">ve error across the time-series, as well </w:t>
            </w:r>
            <w:r w:rsidR="00FC5A0C">
              <w:lastRenderedPageBreak/>
              <w:t xml:space="preserve">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lastRenderedPageBreak/>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01516F">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01516F"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01516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675A9F08"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proofErr w:type="gramStart"/>
      <w:r>
        <w:t>one which</w:t>
      </w:r>
      <w:proofErr w:type="gramEnd"/>
      <w:r>
        <w:t xml:space="preserve"> </w:t>
      </w:r>
      <w:r w:rsidR="00DE0E93">
        <w:t>included</w:t>
      </w:r>
      <w:r>
        <w:t xml:space="preserve"> the annual variation in the trajectory,</w:t>
      </w:r>
    </w:p>
    <w:p w14:paraId="1A93D7C4" w14:textId="34C93639" w:rsidR="000865CD" w:rsidRDefault="0001516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01516F"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2631EF24" w:rsidR="00B02BC2" w:rsidRDefault="00E26954" w:rsidP="00F458FB">
      <w:proofErr w:type="gramStart"/>
      <w:r>
        <w:t>a</w:t>
      </w:r>
      <w:r w:rsidR="00B02BC2">
        <w:t>nd</w:t>
      </w:r>
      <w:proofErr w:type="gramEnd"/>
      <w:r w:rsidR="00B02BC2">
        <w:t xml:space="preserve"> a second which </w:t>
      </w:r>
      <w:r w:rsidR="00DE0E93">
        <w:t>excluded</w:t>
      </w:r>
      <w:r w:rsidR="00B02BC2">
        <w:t xml:space="preserve"> the annual variations</w:t>
      </w:r>
      <w:r w:rsidR="00DE0E93">
        <w:t xml:space="preserve"> and only included the smoothing components of the GAM to estimate the time-series</w:t>
      </w:r>
      <w:r>
        <w:t>.</w:t>
      </w:r>
    </w:p>
    <w:p w14:paraId="64B00806" w14:textId="7B396FD8" w:rsidR="000865CD" w:rsidRDefault="0001516F"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01516F">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bookmarkStart w:id="2" w:name="_GoBack"/>
      <w:bookmarkEnd w:id="2"/>
      <w:r w:rsidR="00E26954">
        <w:t xml:space="preserve">. In the R-package </w:t>
      </w:r>
      <w:proofErr w:type="spellStart"/>
      <w:r w:rsidR="00E26954">
        <w:t>bbsBayes</w:t>
      </w:r>
      <w:proofErr w:type="spellEnd"/>
      <w:r w:rsidR="00E26954">
        <w:t xml:space="preserve">, </w:t>
      </w:r>
      <w:r w:rsidR="00BE0A69">
        <w:t xml:space="preserve">both </w:t>
      </w:r>
      <w:r w:rsidR="00BE0A69">
        <w:lastRenderedPageBreak/>
        <w:t>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18BB1C45" w14:textId="77777777" w:rsidR="00992690" w:rsidRDefault="00992690" w:rsidP="000865CD">
      <w:r>
        <w:t>GAM trends</w:t>
      </w:r>
    </w:p>
    <w:p w14:paraId="6DA26A61" w14:textId="0EA63139" w:rsidR="000865CD" w:rsidRDefault="00F82BBF" w:rsidP="000865CD">
      <w:r>
        <w:t xml:space="preserve">The GAM and GAMYE models generate trajectories that are more likely to vary in the medium- and long-term. </w:t>
      </w:r>
    </w:p>
    <w:p w14:paraId="199B497F" w14:textId="2BBC1355" w:rsidR="000865CD" w:rsidRDefault="000865CD" w:rsidP="000865CD">
      <w:r>
        <w:t>Trajectories vary a great deal among the strata, but are generally similar to the continental means. For data-sparse species, there is more similarity among the strata in the trajectories</w:t>
      </w:r>
      <w:r w:rsidR="00992690">
        <w:t>.</w:t>
      </w:r>
    </w:p>
    <w:p w14:paraId="0B91FB3C" w14:textId="3CAD9AC0" w:rsidR="000865CD" w:rsidRDefault="000865CD" w:rsidP="000865CD">
      <w:r>
        <w:t xml:space="preserve">The smooth trajectories are very similar between the GAM and GAMYE. </w:t>
      </w:r>
    </w:p>
    <w:p w14:paraId="662F8B50" w14:textId="76FD1CDB" w:rsidR="000865CD" w:rsidRDefault="00992690" w:rsidP="000865CD">
      <w:r>
        <w:t xml:space="preserve">The decomposed trajectories from the GAMYE allow us to calculate trends from the smooth and plot trajectories that show the annual fluctuations. </w:t>
      </w:r>
    </w:p>
    <w:p w14:paraId="6748F0DF" w14:textId="18118499" w:rsidR="00992690" w:rsidRDefault="00992690" w:rsidP="000865CD">
      <w:r>
        <w:t>Trends from the smooth components are generally more stable from year-year than other trends.</w:t>
      </w:r>
    </w:p>
    <w:p w14:paraId="51B956D9" w14:textId="77777777" w:rsidR="00992690" w:rsidRDefault="00992690"/>
    <w:p w14:paraId="6357904D" w14:textId="5D383E42" w:rsidR="00992690" w:rsidRDefault="00992690">
      <w:r>
        <w:t>Cross-validation</w:t>
      </w:r>
    </w:p>
    <w:p w14:paraId="2BE17894" w14:textId="108898B8" w:rsidR="00E02252" w:rsidRDefault="00E02252">
      <w:r>
        <w:t xml:space="preserve">Out-perform the standard model in all cases here. </w:t>
      </w:r>
    </w:p>
    <w:p w14:paraId="4E0DCC04" w14:textId="2830173A" w:rsidR="000D5DBF" w:rsidRDefault="00992690">
      <w:r>
        <w:t xml:space="preserve">Similar to the difference model. </w:t>
      </w:r>
      <w:r w:rsidR="00636713">
        <w:t xml:space="preserve">The survey-wide population trajectories for the </w:t>
      </w:r>
      <w:r w:rsidR="00F57F60">
        <w:t>GAMYE</w:t>
      </w:r>
      <w:r w:rsidR="00636713">
        <w:t xml:space="preserve"> models are very similar to trajectories from the </w:t>
      </w:r>
      <w:r w:rsidR="00FE2F7E">
        <w:t>DIFFERENCE</w:t>
      </w:r>
      <w:r w:rsidR="00636713">
        <w:t xml:space="preserve"> model. Trajectories from the GAM</w:t>
      </w:r>
      <w:r w:rsidR="00FE2F7E">
        <w:t xml:space="preserve">, </w:t>
      </w:r>
      <w:r w:rsidR="00636713">
        <w:t xml:space="preserve">follow the overall pattern of the </w:t>
      </w:r>
      <w:r w:rsidR="00F57F60">
        <w:t>GAMYE</w:t>
      </w:r>
      <w:r w:rsidR="00636713">
        <w:t xml:space="preserve"> and</w:t>
      </w:r>
      <w:r w:rsidR="00FE2F7E">
        <w:t xml:space="preserve"> are generally similar to</w:t>
      </w:r>
      <w:r w:rsidR="00636713">
        <w:t xml:space="preserve"> the </w:t>
      </w:r>
      <w:r w:rsidR="00FE2F7E">
        <w:t>DIFFERENCE</w:t>
      </w:r>
      <w:r w:rsidR="00636713">
        <w:t xml:space="preserve"> model</w:t>
      </w:r>
      <w:r w:rsidR="00BD4EF4">
        <w:t xml:space="preserve">, but </w:t>
      </w:r>
      <w:r w:rsidR="00C42929">
        <w:t>show effectively no</w:t>
      </w:r>
      <w:r w:rsidR="00BD4EF4">
        <w:t xml:space="preserve"> </w:t>
      </w:r>
      <w:r w:rsidR="00636713">
        <w:t xml:space="preserve">annual fluctuations. Trajectories from </w:t>
      </w:r>
      <w:r w:rsidR="00BD4EF4">
        <w:t>all four models are very similar</w:t>
      </w:r>
      <w:r w:rsidR="00636713">
        <w:t xml:space="preserve"> in the </w:t>
      </w:r>
      <w:r w:rsidR="000B4FC7">
        <w:t>latter</w:t>
      </w:r>
      <w:r w:rsidR="003B5CEA">
        <w:t xml:space="preserve"> half</w:t>
      </w:r>
      <w:r w:rsidR="00636713">
        <w:t xml:space="preserve"> of the time-series</w:t>
      </w:r>
      <w:r w:rsidR="00BD4EF4">
        <w:t xml:space="preserve"> when there are more data</w:t>
      </w:r>
      <w:r w:rsidR="00636713">
        <w:t xml:space="preserve">, but less </w:t>
      </w:r>
      <w:r w:rsidR="00BD4EF4">
        <w:t>similar</w:t>
      </w:r>
      <w:r w:rsidR="00636713">
        <w:t xml:space="preserve"> in the earlier portion of the time-series</w:t>
      </w:r>
      <w:r w:rsidR="00BD4EF4">
        <w:t xml:space="preserve"> when there are fewer data (Figure 1 [panel of 4 species plots with continental trajectories])</w:t>
      </w:r>
      <w:r w:rsidR="00636713">
        <w:t>.</w:t>
      </w:r>
      <w:r w:rsidR="00BD4EF4">
        <w:t xml:space="preserve"> The overall cross-validation results suggest that the </w:t>
      </w:r>
      <w:r w:rsidR="00F57F60">
        <w:t>GAMYE</w:t>
      </w:r>
      <w:r w:rsidR="00BD4EF4">
        <w:t xml:space="preserve"> and the </w:t>
      </w:r>
      <w:r w:rsidR="00FE2F7E">
        <w:t>DIFFERENCE</w:t>
      </w:r>
      <w:r w:rsidR="00BD4EF4">
        <w:t xml:space="preserve"> models are comparable in their prediction accuracy, at least for these species, and outperformed both of the other models. </w:t>
      </w:r>
    </w:p>
    <w:p w14:paraId="1CD0D95D" w14:textId="3588DF4F" w:rsidR="00951E0B" w:rsidRDefault="00992690">
      <w:r>
        <w:t>Do better in years and regions with sparse data?</w:t>
      </w:r>
    </w:p>
    <w:p w14:paraId="5EEBAF6A" w14:textId="0F47FF49" w:rsidR="00992690" w:rsidRDefault="00992690">
      <w:r>
        <w:t xml:space="preserve">Best model varies by region and year. </w:t>
      </w:r>
    </w:p>
    <w:p w14:paraId="1D393D6D" w14:textId="77777777" w:rsidR="001527F6" w:rsidRDefault="001527F6" w:rsidP="001527F6">
      <w:r>
        <w:t>Figures</w:t>
      </w:r>
    </w:p>
    <w:p w14:paraId="7C19A6FE" w14:textId="77777777" w:rsidR="001527F6" w:rsidRDefault="001527F6" w:rsidP="001527F6">
      <w:r>
        <w:t>GAM trajectories – continental index, continental mean Betas… some regional estimates, plotted against the observed mean counts and the number of counts.</w:t>
      </w:r>
    </w:p>
    <w:p w14:paraId="0351AD3C" w14:textId="7A3DE42C" w:rsidR="001527F6" w:rsidRDefault="00C42929">
      <w:r>
        <w:t>Annual variation in trend estimates from the different models…</w:t>
      </w:r>
    </w:p>
    <w:p w14:paraId="22DF4AB6" w14:textId="6B41FC8F" w:rsidR="001527F6" w:rsidRDefault="001527F6"/>
    <w:p w14:paraId="5D82EEFC" w14:textId="5FF56E9E" w:rsidR="001527F6" w:rsidRDefault="001527F6">
      <w:r>
        <w:t>Model comparisons</w:t>
      </w:r>
    </w:p>
    <w:p w14:paraId="73BAB2B7" w14:textId="5C670FA3" w:rsidR="00885C52" w:rsidRDefault="00885C52"/>
    <w:p w14:paraId="6D5CD396" w14:textId="7F28534F" w:rsidR="00885C52" w:rsidRDefault="00885C52">
      <w:r>
        <w:lastRenderedPageBreak/>
        <w:t xml:space="preserve">Trajectories for all </w:t>
      </w:r>
      <w:proofErr w:type="gramStart"/>
      <w:r>
        <w:t>4</w:t>
      </w:r>
      <w:proofErr w:type="gramEnd"/>
      <w:r>
        <w:t xml:space="preserve"> models</w:t>
      </w:r>
    </w:p>
    <w:p w14:paraId="390D1C51" w14:textId="5A23C4B3" w:rsidR="001527F6" w:rsidRDefault="001527F6">
      <w:r>
        <w:t xml:space="preserve">Trajectories of BPIC or </w:t>
      </w:r>
      <w:proofErr w:type="spellStart"/>
      <w:proofErr w:type="gramStart"/>
      <w:r>
        <w:t>Vj</w:t>
      </w:r>
      <w:proofErr w:type="spellEnd"/>
      <w:proofErr w:type="gramEnd"/>
    </w:p>
    <w:p w14:paraId="4910F369" w14:textId="059ED2E4" w:rsidR="001527F6" w:rsidRDefault="001527F6">
      <w:r>
        <w:t>Maps of best model</w:t>
      </w:r>
    </w:p>
    <w:p w14:paraId="47E3B4E0" w14:textId="76521988" w:rsidR="001527F6" w:rsidRDefault="001527F6">
      <w:r>
        <w:t>Plots of BPIC vs count-value</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5F0FBA2B" w14:textId="77777777" w:rsidR="008963EF" w:rsidRDefault="008963EF">
      <w:r>
        <w:t xml:space="preserve">This model provides useful estimates of population trajectories and trends with comparable out of sample predictive accuracy as other models. </w:t>
      </w:r>
    </w:p>
    <w:p w14:paraId="66A56FE9" w14:textId="77777777" w:rsidR="001D1ACF" w:rsidRDefault="001D1ACF">
      <w:r>
        <w:t xml:space="preserve">Predictive accuracy varies in space and time. </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54CC71D4" w14:textId="50D7DE8F" w:rsidR="001D495F" w:rsidRDefault="005A592E">
      <w:r>
        <w:t xml:space="preserve">The smoothed GAM components are particularly useful for many conservation-relevant uses. Intermediate trends, short-term trends that </w:t>
      </w:r>
      <w:proofErr w:type="gramStart"/>
      <w:r>
        <w:t>don’t</w:t>
      </w:r>
      <w:proofErr w:type="gramEnd"/>
      <w:r>
        <w:t xml:space="preserve"> fluctuate from year-year, short-term trends that are not influenced by the long-term trend.</w:t>
      </w:r>
    </w:p>
    <w:p w14:paraId="0481F416" w14:textId="06C00F30" w:rsidR="00326B8A" w:rsidRDefault="00326B8A">
      <w:r>
        <w:t xml:space="preserve">We recommend the GAM-ye model for status and trend analyses, where the trend components </w:t>
      </w:r>
      <w:proofErr w:type="gramStart"/>
      <w:r>
        <w:t>are derived</w:t>
      </w:r>
      <w:proofErr w:type="gramEnd"/>
      <w:r>
        <w:t xml:space="preserve"> from the smooth and two estimates of trajectories can be used to examine the intermediate and long-term patterns, and the year-effects can be added to examine annual fluctuations.</w:t>
      </w:r>
    </w:p>
    <w:p w14:paraId="111369C0" w14:textId="6AB87B7E" w:rsidR="00BC4F82" w:rsidRDefault="00C35E81">
      <w:r>
        <w:rPr>
          <w:rFonts w:eastAsiaTheme="minorEastAsia"/>
        </w:rPr>
        <w:t xml:space="preserve">There are alternative measures of trend that integrate information from all annual indices in a given trend period, such as the slope of a log-linear regression through the estimated annual indices (e.g., PIF trend estimates). </w:t>
      </w:r>
      <w:proofErr w:type="gramStart"/>
      <w:r>
        <w:rPr>
          <w:rFonts w:eastAsiaTheme="minorEastAsia"/>
        </w:rPr>
        <w:t>However</w:t>
      </w:r>
      <w:proofErr w:type="gramEnd"/>
      <w:r>
        <w:rPr>
          <w:rFonts w:eastAsiaTheme="minorEastAsia"/>
        </w:rPr>
        <w:t xml:space="preserve"> this end-point trend estimate is useful because it can be derived for any two points within the time-series and it is a derived parameter that is simple to calculate using estimates from any of the models presented here.</w:t>
      </w:r>
    </w:p>
    <w:p w14:paraId="34F8C794" w14:textId="470D536E" w:rsidR="00BC4F82" w:rsidRDefault="00BC4F82">
      <w:r>
        <w:t>This decomposition serves a practical purpose in that it allows for estimates of population change and population status that exclude the annual fluctuations (</w:t>
      </w:r>
      <w:proofErr w:type="spellStart"/>
      <w:r>
        <w:t>Knape</w:t>
      </w:r>
      <w:proofErr w:type="spellEnd"/>
      <w:r>
        <w:t xml:space="preserve"> 2016). Excluding the annual fluctuations makes short- and medium-term trend estimates more stable between successive years and is therefore particularly useful for conservation status assessments such as population-trend criteria used in the IUCN </w:t>
      </w:r>
      <w:proofErr w:type="gramStart"/>
      <w:r>
        <w:t>red-listing</w:t>
      </w:r>
      <w:proofErr w:type="gramEnd"/>
      <w:r>
        <w:t xml:space="preserve"> and COSEWIC species at risk </w:t>
      </w:r>
      <w:proofErr w:type="spellStart"/>
      <w:r>
        <w:t>assesments</w:t>
      </w:r>
      <w:proofErr w:type="spellEnd"/>
      <w:r>
        <w:t xml:space="preserve">. For both of these assessments, population declines beyond a particular threshold trigger large investments of resources related to policy and conservation actions, and so if the rate of population decline is strongly dependent on the particular year in which a species is assessed there is an increased risk of inefficient investments of those resources.   </w:t>
      </w:r>
    </w:p>
    <w:p w14:paraId="260031D4" w14:textId="2A8327EF" w:rsidR="00326B8A" w:rsidRDefault="002825D9">
      <w:r>
        <w:t xml:space="preserve">The model </w:t>
      </w:r>
      <w:proofErr w:type="gramStart"/>
      <w:r>
        <w:t>can be accessed</w:t>
      </w:r>
      <w:proofErr w:type="gramEnd"/>
    </w:p>
    <w:p w14:paraId="0319A954" w14:textId="77777777" w:rsidR="002825D9" w:rsidRDefault="002825D9">
      <w:pPr>
        <w:rPr>
          <w:color w:val="000000"/>
        </w:rPr>
      </w:pPr>
      <w:r>
        <w:rPr>
          <w:color w:val="000000"/>
        </w:rPr>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77777777" w:rsidR="008A5A2D" w:rsidRPr="008A5A2D" w:rsidRDefault="008A5A2D" w:rsidP="008A5A2D">
      <w:pPr>
        <w:rPr>
          <w:rStyle w:val="self-citation-authors"/>
        </w:rPr>
      </w:pP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28"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29"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hyperlink r:id="rId30" w:history="1">
        <w:r w:rsidRPr="009A4418">
          <w:rPr>
            <w:rStyle w:val="Hyperlink"/>
          </w:rPr>
          <w:t>https://www.R-project.org/</w:t>
        </w:r>
      </w:hyperlink>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6C6B4FA0" w:rsidR="00D3609B" w:rsidRDefault="00D3609B" w:rsidP="00D3609B">
      <w:r>
        <w:t>H. Wickham. ggplot2: Elegant Graphics for Data Analysis. Springer-</w:t>
      </w:r>
      <w:proofErr w:type="spellStart"/>
      <w:r>
        <w:t>Verlag</w:t>
      </w:r>
      <w:proofErr w:type="spellEnd"/>
      <w:r>
        <w:t xml:space="preserve"> New York, 2016.</w:t>
      </w:r>
    </w:p>
    <w:p w14:paraId="62BE163A" w14:textId="77777777" w:rsidR="00951E0B" w:rsidRDefault="00951E0B"/>
    <w:sectPr w:rsidR="00951E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01516F" w:rsidRDefault="0001516F"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01516F" w:rsidRDefault="0001516F"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01516F" w:rsidRDefault="0001516F"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01516F" w:rsidRDefault="0001516F" w:rsidP="0071744A">
      <w:pPr>
        <w:pStyle w:val="Default"/>
      </w:pPr>
      <w:r>
        <w:rPr>
          <w:rStyle w:val="CommentReference"/>
        </w:rPr>
        <w:annotationRef/>
      </w:r>
    </w:p>
    <w:p w14:paraId="6FA3E390" w14:textId="21A14534" w:rsidR="0001516F" w:rsidRDefault="0001516F"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01516F" w:rsidRDefault="0001516F" w:rsidP="0071744A">
      <w:pPr>
        <w:pStyle w:val="CommentText"/>
      </w:pPr>
      <w:r>
        <w:t xml:space="preserve"> </w:t>
      </w:r>
      <w:r>
        <w:rPr>
          <w:sz w:val="22"/>
          <w:szCs w:val="22"/>
        </w:rPr>
        <w:t>Journal of the American Statistical Association, Vol. 78, No. 383 (Sep., 1983), pp. 605-610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84F03"/>
    <w:rsid w:val="000865CD"/>
    <w:rsid w:val="00090EF5"/>
    <w:rsid w:val="000A6F62"/>
    <w:rsid w:val="000B286C"/>
    <w:rsid w:val="000B3BC2"/>
    <w:rsid w:val="000B4FC7"/>
    <w:rsid w:val="000D5DBF"/>
    <w:rsid w:val="000D7A0A"/>
    <w:rsid w:val="000E2D3B"/>
    <w:rsid w:val="000F0E8F"/>
    <w:rsid w:val="00100982"/>
    <w:rsid w:val="00117136"/>
    <w:rsid w:val="00117EBD"/>
    <w:rsid w:val="00127CB6"/>
    <w:rsid w:val="001527F6"/>
    <w:rsid w:val="0016530C"/>
    <w:rsid w:val="00181669"/>
    <w:rsid w:val="00182182"/>
    <w:rsid w:val="00183FBC"/>
    <w:rsid w:val="001B07D7"/>
    <w:rsid w:val="001B170F"/>
    <w:rsid w:val="001B2AB7"/>
    <w:rsid w:val="001C36D1"/>
    <w:rsid w:val="001C7B51"/>
    <w:rsid w:val="001D0D44"/>
    <w:rsid w:val="001D1ACF"/>
    <w:rsid w:val="001D495F"/>
    <w:rsid w:val="001D76F7"/>
    <w:rsid w:val="001E7DDD"/>
    <w:rsid w:val="002124ED"/>
    <w:rsid w:val="0021546B"/>
    <w:rsid w:val="00215F2B"/>
    <w:rsid w:val="00221123"/>
    <w:rsid w:val="00232200"/>
    <w:rsid w:val="002425B8"/>
    <w:rsid w:val="00252DBA"/>
    <w:rsid w:val="00260D04"/>
    <w:rsid w:val="00271A7E"/>
    <w:rsid w:val="002825D9"/>
    <w:rsid w:val="0028284F"/>
    <w:rsid w:val="002C06C8"/>
    <w:rsid w:val="002D21BE"/>
    <w:rsid w:val="002E0C96"/>
    <w:rsid w:val="002F0604"/>
    <w:rsid w:val="002F1266"/>
    <w:rsid w:val="00301A67"/>
    <w:rsid w:val="00313FC9"/>
    <w:rsid w:val="00317C34"/>
    <w:rsid w:val="00326B8A"/>
    <w:rsid w:val="00341D42"/>
    <w:rsid w:val="003504BE"/>
    <w:rsid w:val="00352290"/>
    <w:rsid w:val="00354BDE"/>
    <w:rsid w:val="00356846"/>
    <w:rsid w:val="003935F3"/>
    <w:rsid w:val="003A15FE"/>
    <w:rsid w:val="003B0B14"/>
    <w:rsid w:val="003B5CEA"/>
    <w:rsid w:val="003D40AF"/>
    <w:rsid w:val="003D71C1"/>
    <w:rsid w:val="00421401"/>
    <w:rsid w:val="004277F9"/>
    <w:rsid w:val="0044376C"/>
    <w:rsid w:val="00471237"/>
    <w:rsid w:val="004A7143"/>
    <w:rsid w:val="004E1F2B"/>
    <w:rsid w:val="004E40A1"/>
    <w:rsid w:val="004E6A3E"/>
    <w:rsid w:val="00521E0D"/>
    <w:rsid w:val="00544ECC"/>
    <w:rsid w:val="0054506F"/>
    <w:rsid w:val="00553A37"/>
    <w:rsid w:val="005603B2"/>
    <w:rsid w:val="005665F5"/>
    <w:rsid w:val="00566791"/>
    <w:rsid w:val="00570793"/>
    <w:rsid w:val="0057328C"/>
    <w:rsid w:val="005959D2"/>
    <w:rsid w:val="005A592E"/>
    <w:rsid w:val="005C6043"/>
    <w:rsid w:val="005E1D4F"/>
    <w:rsid w:val="005E43C8"/>
    <w:rsid w:val="005F19E6"/>
    <w:rsid w:val="00617D3B"/>
    <w:rsid w:val="00627F11"/>
    <w:rsid w:val="00634DDD"/>
    <w:rsid w:val="00636713"/>
    <w:rsid w:val="00641336"/>
    <w:rsid w:val="00657BD5"/>
    <w:rsid w:val="00673EDA"/>
    <w:rsid w:val="00681CA4"/>
    <w:rsid w:val="00693DD9"/>
    <w:rsid w:val="006A50F1"/>
    <w:rsid w:val="006F0D1A"/>
    <w:rsid w:val="006F66D1"/>
    <w:rsid w:val="00703BCA"/>
    <w:rsid w:val="0070604D"/>
    <w:rsid w:val="0071744A"/>
    <w:rsid w:val="00721B12"/>
    <w:rsid w:val="007246BE"/>
    <w:rsid w:val="00743569"/>
    <w:rsid w:val="0075190E"/>
    <w:rsid w:val="0075267E"/>
    <w:rsid w:val="007634D3"/>
    <w:rsid w:val="007707B3"/>
    <w:rsid w:val="00773B5F"/>
    <w:rsid w:val="007A5C62"/>
    <w:rsid w:val="007B79B7"/>
    <w:rsid w:val="007D113A"/>
    <w:rsid w:val="007E17F7"/>
    <w:rsid w:val="007E6DDB"/>
    <w:rsid w:val="00833A6E"/>
    <w:rsid w:val="00845AC6"/>
    <w:rsid w:val="00885C52"/>
    <w:rsid w:val="008963EF"/>
    <w:rsid w:val="008A5A2D"/>
    <w:rsid w:val="008B69AF"/>
    <w:rsid w:val="008F1847"/>
    <w:rsid w:val="00904297"/>
    <w:rsid w:val="00913140"/>
    <w:rsid w:val="00915E67"/>
    <w:rsid w:val="009232CB"/>
    <w:rsid w:val="0093732C"/>
    <w:rsid w:val="00944F2C"/>
    <w:rsid w:val="00951E0B"/>
    <w:rsid w:val="009538FC"/>
    <w:rsid w:val="00967A4C"/>
    <w:rsid w:val="00985F5B"/>
    <w:rsid w:val="00990F31"/>
    <w:rsid w:val="00992690"/>
    <w:rsid w:val="009A0192"/>
    <w:rsid w:val="009A722D"/>
    <w:rsid w:val="009B6C41"/>
    <w:rsid w:val="009C68BB"/>
    <w:rsid w:val="00A11516"/>
    <w:rsid w:val="00A6292C"/>
    <w:rsid w:val="00A66E1C"/>
    <w:rsid w:val="00A76187"/>
    <w:rsid w:val="00A7662D"/>
    <w:rsid w:val="00A83BA1"/>
    <w:rsid w:val="00AA1DF1"/>
    <w:rsid w:val="00AA31B3"/>
    <w:rsid w:val="00AC49E5"/>
    <w:rsid w:val="00AF16ED"/>
    <w:rsid w:val="00B02BC2"/>
    <w:rsid w:val="00B43169"/>
    <w:rsid w:val="00B67E12"/>
    <w:rsid w:val="00B86AB3"/>
    <w:rsid w:val="00B87D37"/>
    <w:rsid w:val="00BA6AA3"/>
    <w:rsid w:val="00BC4F82"/>
    <w:rsid w:val="00BD4C89"/>
    <w:rsid w:val="00BD4EF4"/>
    <w:rsid w:val="00BE0A69"/>
    <w:rsid w:val="00C02DDC"/>
    <w:rsid w:val="00C32413"/>
    <w:rsid w:val="00C35E81"/>
    <w:rsid w:val="00C41812"/>
    <w:rsid w:val="00C42929"/>
    <w:rsid w:val="00C859D2"/>
    <w:rsid w:val="00CC1D3E"/>
    <w:rsid w:val="00CD3CD2"/>
    <w:rsid w:val="00CE0B41"/>
    <w:rsid w:val="00CF3293"/>
    <w:rsid w:val="00D03E7F"/>
    <w:rsid w:val="00D05281"/>
    <w:rsid w:val="00D13D2B"/>
    <w:rsid w:val="00D3609B"/>
    <w:rsid w:val="00D36FD9"/>
    <w:rsid w:val="00D474CC"/>
    <w:rsid w:val="00D57997"/>
    <w:rsid w:val="00D64FB0"/>
    <w:rsid w:val="00D723F2"/>
    <w:rsid w:val="00D800EB"/>
    <w:rsid w:val="00DB67C9"/>
    <w:rsid w:val="00DD535A"/>
    <w:rsid w:val="00DE0E93"/>
    <w:rsid w:val="00E02252"/>
    <w:rsid w:val="00E02722"/>
    <w:rsid w:val="00E04314"/>
    <w:rsid w:val="00E26954"/>
    <w:rsid w:val="00E92107"/>
    <w:rsid w:val="00E95221"/>
    <w:rsid w:val="00E96FC6"/>
    <w:rsid w:val="00EB38C2"/>
    <w:rsid w:val="00EC54D7"/>
    <w:rsid w:val="00EC5C6A"/>
    <w:rsid w:val="00EF0409"/>
    <w:rsid w:val="00F323A5"/>
    <w:rsid w:val="00F44F2A"/>
    <w:rsid w:val="00F458FB"/>
    <w:rsid w:val="00F57F60"/>
    <w:rsid w:val="00F76A8E"/>
    <w:rsid w:val="00F82BBF"/>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doi.org/10.7287/peerj.preprints.27320v1"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microsoft.com/office/2011/relationships/people" Target="people.xml"/><Relationship Id="rId5" Type="http://schemas.microsoft.com/office/2011/relationships/commentsExtended" Target="commentsExtended.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CRAN.R-project.org/package=foreach"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1</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37</cp:revision>
  <dcterms:created xsi:type="dcterms:W3CDTF">2019-12-12T23:04:00Z</dcterms:created>
  <dcterms:modified xsi:type="dcterms:W3CDTF">2020-01-21T20:10:00Z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