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8CF2D" w14:textId="77777777" w:rsidR="00B67E12" w:rsidRDefault="00693DD9">
      <w:r>
        <w:t>BBS GAM draft</w:t>
      </w:r>
    </w:p>
    <w:p w14:paraId="7070E1AA" w14:textId="77777777" w:rsidR="00693DD9" w:rsidRDefault="00693DD9">
      <w:r>
        <w:t>Abstract:</w:t>
      </w:r>
    </w:p>
    <w:p w14:paraId="358E1B63" w14:textId="77777777" w:rsidR="00693DD9" w:rsidRDefault="00693DD9">
      <w:r>
        <w:br w:type="page"/>
      </w:r>
    </w:p>
    <w:p w14:paraId="27BD7CB5" w14:textId="77777777" w:rsidR="00693DD9" w:rsidRDefault="00693DD9">
      <w:r>
        <w:lastRenderedPageBreak/>
        <w:t>Introduction</w:t>
      </w:r>
    </w:p>
    <w:p w14:paraId="2B65FA21" w14:textId="16472073"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967A4C">
        <w:t>form the foundation of avian conservation in North America</w:t>
      </w:r>
      <w:r>
        <w:t>.</w:t>
      </w:r>
      <w:r w:rsidR="00967A4C">
        <w:t xml:space="preserve"> The Canadian Wildlife Service (CWS, a division of Environment and Climate Change Canada) and the United States Geological Survey (USGS) produce national and regional status and trend estimates for 300-400 species of birds (Smith et al. 2019, Sauer et al. 2015).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w:t>
      </w:r>
      <w:proofErr w:type="gramStart"/>
      <w:r w:rsidR="00967A4C">
        <w:t xml:space="preserve">Producing these estimates requires significant analytical expertise, time, and computing resources, but the estimates are an invaluable resource that are used by many conservation organizations and researchers to visualize, analyze, and assess the population status of over 400 species of birds (e.g., </w:t>
      </w:r>
      <w:proofErr w:type="spellStart"/>
      <w:r w:rsidR="00967A4C">
        <w:t>Saracco</w:t>
      </w:r>
      <w:proofErr w:type="spellEnd"/>
      <w:r w:rsidR="00967A4C">
        <w:t xml:space="preserve"> et al. 2008, NABCI Canada 2019, NABCI U.S. 2014, Rosenberg et al. 2019, Stanton et al. 2019, </w:t>
      </w:r>
      <w:proofErr w:type="spellStart"/>
      <w:r w:rsidR="00967A4C">
        <w:t>Downes</w:t>
      </w:r>
      <w:proofErr w:type="spellEnd"/>
      <w:r w:rsidR="00967A4C">
        <w:t xml:space="preserve"> et al. 2017).</w:t>
      </w:r>
      <w:proofErr w:type="gramEnd"/>
    </w:p>
    <w:p w14:paraId="0EF659E9" w14:textId="5A50F07D" w:rsidR="007707B3" w:rsidRDefault="00967A4C">
      <w:r>
        <w:t xml:space="preserve">While the estimates of status and trend produced by the USGS and CWS </w:t>
      </w:r>
      <w:proofErr w:type="gramStart"/>
      <w:r>
        <w:t>are used</w:t>
      </w:r>
      <w:proofErr w:type="gramEnd"/>
      <w:r>
        <w:t xml:space="preserve"> for many different purposes, not </w:t>
      </w:r>
      <w:r w:rsidR="00CD3CD2">
        <w:t>all uses of the estimates</w:t>
      </w:r>
      <w:r>
        <w:t xml:space="preserve"> </w:t>
      </w:r>
      <w:r w:rsidR="00CD3CD2">
        <w:t>are</w:t>
      </w:r>
      <w:r>
        <w:t xml:space="preserve"> equally well supported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 short-term trends, changes in population trends, or annual fluctuations, and no single model can estimate all parameters equally well</w:t>
      </w:r>
      <w:r w:rsidR="00DB67C9">
        <w:t xml:space="preserve"> ()</w:t>
      </w:r>
      <w:r w:rsidR="009A722D">
        <w:t xml:space="preserve">.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commentRangeStart w:id="0"/>
      <w:proofErr w:type="spellStart"/>
      <w:r w:rsidR="003504BE">
        <w:t>Fewster</w:t>
      </w:r>
      <w:proofErr w:type="spellEnd"/>
      <w:r w:rsidR="003504BE">
        <w:t xml:space="preserve"> </w:t>
      </w:r>
      <w:commentRangeEnd w:id="0"/>
      <w:r w:rsidR="003504BE">
        <w:rPr>
          <w:rStyle w:val="CommentReference"/>
        </w:rPr>
        <w:commentReference w:id="0"/>
      </w:r>
      <w:r w:rsidR="003504BE">
        <w:t xml:space="preserve">et al. 2000, Smith et al. 2015, </w:t>
      </w:r>
      <w:proofErr w:type="gramStart"/>
      <w:r w:rsidR="003504BE">
        <w:t>Amano</w:t>
      </w:r>
      <w:proofErr w:type="gramEnd"/>
      <w:r w:rsidR="003504BE">
        <w:t xml:space="preserve"> et al. 2012).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e slope component of the model). This is a reasonable and useful assumption for data-sparse species and regions</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BD4C89">
        <w:t xml:space="preserve">declining species (e.g., recovery </w:t>
      </w:r>
      <w:r w:rsidR="00A66E1C">
        <w:t>of a species at risk</w:t>
      </w:r>
      <w:r w:rsidR="00BD4C89">
        <w:t>), this feat</w:t>
      </w:r>
      <w:r w:rsidR="009A722D">
        <w:t xml:space="preserve">ure of the model is problematic. </w:t>
      </w:r>
    </w:p>
    <w:p w14:paraId="529A48AE" w14:textId="63D94235" w:rsidR="007707B3" w:rsidRDefault="007707B3" w:rsidP="00E04314">
      <w:r>
        <w:t>GAMs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the addition of contemporary data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change </w:t>
      </w:r>
      <w:r w:rsidR="00EC5C6A">
        <w:t>as new data are added</w:t>
      </w:r>
      <w:r w:rsidR="000F0E8F">
        <w:t xml:space="preserve"> in response to contemporary data and </w:t>
      </w:r>
      <w:r w:rsidR="000F0E8F">
        <w:lastRenderedPageBreak/>
        <w:t xml:space="preserve">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assumption—but if data are sparse</w:t>
      </w:r>
      <w:r w:rsidR="00EC5C6A">
        <w:t xml:space="preserve"> in a given region and year</w:t>
      </w:r>
      <w:r w:rsidR="00681CA4">
        <w:t>,</w:t>
      </w:r>
      <w:r w:rsidR="00E04314">
        <w:t xml:space="preserve"> the population trends are shrunk towards zero</w:t>
      </w:r>
      <w:r w:rsidR="00913140">
        <w:t xml:space="preserve"> (i.e.,</w:t>
      </w:r>
      <w:r w:rsidR="00C42929">
        <w:t xml:space="preserve"> effectively assuming</w:t>
      </w:r>
      <w:r w:rsidR="00913140">
        <w:t xml:space="preserve"> a stable population)</w:t>
      </w:r>
      <w:r w:rsidR="00E04314">
        <w:t>.</w:t>
      </w:r>
      <w:r w:rsidR="002124ED">
        <w:t xml:space="preserve"> </w:t>
      </w:r>
    </w:p>
    <w:p w14:paraId="3A64B1DE" w14:textId="79B17D61"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sub-regions of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Although recent work has shown that the standard model is, for many species, out-performed by a first-difference model (Link et al. 2019),</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47B5B3B6" w:rsidR="0028284F" w:rsidRDefault="0028284F">
      <w:r>
        <w:t>The inherently smooth temporal patterns generated by GAMs are well suited to particularly common conservation uses, such as assessments of trends in populations from any portion of a time-series</w:t>
      </w:r>
      <w:r w:rsidR="00F76A8E">
        <w:t xml:space="preserve"> as well as assessments of the rate of change in the trends over time. </w:t>
      </w:r>
      <w:r w:rsidR="00BA6AA3">
        <w:t xml:space="preserve">For example, the population trend criteria of the IUCN or COSEWIC assessments for endangered or threatened </w:t>
      </w:r>
      <w:proofErr w:type="gramStart"/>
      <w:r w:rsidR="00BA6AA3">
        <w:t>species,</w:t>
      </w:r>
      <w:proofErr w:type="gramEnd"/>
      <w:r w:rsidR="00BA6AA3">
        <w:t xml:space="preserve"> are based on rates of change over 3 generations. For most bird species monitored by the BBS, this 3-generation</w:t>
      </w:r>
      <w:r w:rsidR="0016530C">
        <w:t xml:space="preserve"> time</w:t>
      </w:r>
      <w:r w:rsidR="00BA6AA3">
        <w:t xml:space="preserve"> is approximately 10-years and so short-term trends are generally used. Because of the annual fluctuations estimated by the standard model</w:t>
      </w:r>
      <w:r w:rsidR="0016530C">
        <w:t>,</w:t>
      </w:r>
      <w:r w:rsidR="00BA6AA3">
        <w:t xml:space="preserve"> these short-term trends can fluctuate from year to year</w:t>
      </w:r>
      <w:r w:rsidR="000F0E8F">
        <w:t>, greatly complicating the quantitative assessment of a species trend in comparison to the regulatory thresholds.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16530C">
        <w:t>was assessed</w:t>
      </w:r>
      <w:proofErr w:type="gramEnd"/>
      <w:r w:rsidR="000D7A0A">
        <w:t>.</w:t>
      </w:r>
    </w:p>
    <w:p w14:paraId="4CD18A4B" w14:textId="4CDBF806"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6117E7">
        <w:t xml:space="preserve">annual </w:t>
      </w:r>
      <w:r w:rsidR="00421401">
        <w:t xml:space="preserve">population </w:t>
      </w:r>
      <w:r>
        <w:t>status of birds</w:t>
      </w:r>
      <w:r w:rsidR="00421401">
        <w:t xml:space="preserve"> </w:t>
      </w:r>
      <w:r w:rsidR="008963EF">
        <w:t xml:space="preserve">using data </w:t>
      </w:r>
      <w:r w:rsidR="00421401">
        <w:t>from the BBS.</w:t>
      </w:r>
      <w:r>
        <w:t xml:space="preserve"> </w:t>
      </w:r>
      <w:r w:rsidR="00D64FB0">
        <w:t xml:space="preserve">This model allows for the sharing of information about a species’ population trajectory among geographic strata and for the decomposition of long- and medium-term population changes from annual fluctuations. </w:t>
      </w:r>
      <w:proofErr w:type="gramStart"/>
      <w:r w:rsidR="00D64FB0">
        <w:t>We also</w:t>
      </w:r>
      <w:r>
        <w:t xml:space="preserve"> compare the fit of the GAM, and a </w:t>
      </w:r>
      <w:r w:rsidR="00D64FB0">
        <w:t>version</w:t>
      </w:r>
      <w:r>
        <w:t xml:space="preserve"> that also includes random year-effects, to the </w:t>
      </w:r>
      <w:r w:rsidR="00D64FB0">
        <w:t xml:space="preserve">fit of the </w:t>
      </w:r>
      <w:r>
        <w:t>standard BBS status and trend model</w:t>
      </w:r>
      <w:r w:rsidR="00D64FB0">
        <w:t xml:space="preserve"> (Sauer and Link 2011, Smith et al. 2015, and Smith et al. 2019)</w:t>
      </w:r>
      <w:r>
        <w:t xml:space="preserve"> as well as</w:t>
      </w:r>
      <w:r w:rsidR="00D64FB0">
        <w:t xml:space="preserve"> the fit of</w:t>
      </w:r>
      <w:r>
        <w:t xml:space="preserve"> </w:t>
      </w:r>
      <w:r w:rsidR="00D64FB0">
        <w:t>a</w:t>
      </w:r>
      <w:r>
        <w:t xml:space="preserve"> first-difference model</w:t>
      </w:r>
      <w:r w:rsidR="00D64FB0">
        <w:t xml:space="preserve"> where trajectory is modeled as a random walk from year-1 (</w:t>
      </w:r>
      <w:r>
        <w:t>Link and Sauer 2015</w:t>
      </w:r>
      <w:r w:rsidR="00D64FB0">
        <w:t>, Link and Sauer 2019)</w:t>
      </w:r>
      <w:r>
        <w:t>.</w:t>
      </w:r>
      <w:proofErr w:type="gramEnd"/>
      <w:r>
        <w:t xml:space="preserve"> </w:t>
      </w:r>
    </w:p>
    <w:p w14:paraId="4E33AFD5" w14:textId="77777777" w:rsidR="007707B3" w:rsidRDefault="007707B3"/>
    <w:p w14:paraId="02399DAE" w14:textId="77777777" w:rsidR="00693DD9" w:rsidRDefault="00693DD9">
      <w:r>
        <w:lastRenderedPageBreak/>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w:t>
      </w:r>
      <w:proofErr w:type="gramStart"/>
      <w:r>
        <w:t xml:space="preserve">are </w:t>
      </w:r>
      <w:r w:rsidR="005F19E6">
        <w:t>treated</w:t>
      </w:r>
      <w:proofErr w:type="gramEnd"/>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Pr>
          <w:highlight w:val="yellow"/>
        </w:rPr>
        <w:t>an alternative parameterization</w:t>
      </w:r>
      <w:r w:rsidR="00D800EB" w:rsidRPr="009C68BB">
        <w:rPr>
          <w:highlight w:val="yellow"/>
        </w:rPr>
        <w:t xml:space="preserve"> to the </w:t>
      </w:r>
      <w:r w:rsidR="00063FEC">
        <w:rPr>
          <w:highlight w:val="yellow"/>
        </w:rPr>
        <w:t xml:space="preserve">“GS” </w:t>
      </w:r>
      <w:r w:rsidR="00D800EB" w:rsidRPr="009C68BB">
        <w:rPr>
          <w:highlight w:val="yellow"/>
        </w:rPr>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w:t>
      </w:r>
      <w:proofErr w:type="gramStart"/>
      <w:r w:rsidR="005F19E6">
        <w:t>have been used</w:t>
      </w:r>
      <w:proofErr w:type="gramEnd"/>
      <w:r w:rsidR="005F19E6">
        <w:t xml:space="preserve">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60243A4B"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oMath>
      </m:oMathPara>
    </w:p>
    <w:p w14:paraId="26A88FB3" w14:textId="0DF9D777" w:rsidR="00985F5B" w:rsidRDefault="00B67E12">
      <w:r>
        <w:t xml:space="preserve">The models </w:t>
      </w:r>
      <w:r w:rsidR="00F323A5">
        <w:t xml:space="preserve">treat the observed BBS counts as </w:t>
      </w:r>
      <w:proofErr w:type="spellStart"/>
      <w:r w:rsidR="00F323A5">
        <w:t>overdispersed</w:t>
      </w:r>
      <w:proofErr w:type="spellEnd"/>
      <w:r w:rsidR="00F323A5">
        <w:t xml:space="preserve"> Poisson random variables, with mean </w:t>
      </w:r>
      <w:r w:rsidR="00F323A5" w:rsidRPr="00F323A5">
        <w:rPr>
          <w:position w:val="-14"/>
        </w:rPr>
        <w:object w:dxaOrig="460" w:dyaOrig="380" w14:anchorId="3167A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18.4pt" o:ole="">
            <v:imagedata r:id="rId7" o:title=""/>
          </v:shape>
          <o:OLEObject Type="Embed" ProgID="Equation.DSMT4" ShapeID="_x0000_i1025" DrawAspect="Content" ObjectID="_1642534099" r:id="rId8"/>
        </w:object>
      </w:r>
      <w:r w:rsidR="00641336">
        <w:t>(</w:t>
      </w:r>
      <w:r w:rsidR="00721B12">
        <w:t xml:space="preserve">i.e., </w:t>
      </w:r>
      <w:r w:rsidR="00641336">
        <w:t>geographic stratum</w:t>
      </w:r>
      <w:r w:rsidR="00721B12">
        <w:t xml:space="preserve"> </w:t>
      </w:r>
      <w:proofErr w:type="spellStart"/>
      <w:r w:rsidR="00721B12">
        <w:t>i</w:t>
      </w:r>
      <w:proofErr w:type="spellEnd"/>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00F323A5">
        <w:t>), observer-route effects (</w:t>
      </w:r>
      <w:r w:rsidR="00641336" w:rsidRPr="00641336">
        <w:rPr>
          <w:position w:val="-14"/>
        </w:rPr>
        <w:object w:dxaOrig="300" w:dyaOrig="380" w14:anchorId="22C91B31">
          <v:shape id="_x0000_i1026" type="#_x0000_t75" style="width:15.05pt;height:18.4pt" o:ole="">
            <v:imagedata r:id="rId9" o:title=""/>
          </v:shape>
          <o:OLEObject Type="Embed" ProgID="Equation.DSMT4" ShapeID="_x0000_i1026" DrawAspect="Content" ObjectID="_1642534100" r:id="rId10"/>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7" type="#_x0000_t75" style="width:36.85pt;height:19.25pt" o:ole="">
            <v:imagedata r:id="rId11" o:title=""/>
          </v:shape>
          <o:OLEObject Type="Embed" ProgID="Equation.DSMT4" ShapeID="_x0000_i1027" DrawAspect="Content" ObjectID="_1642534101" r:id="rId12"/>
        </w:object>
      </w:r>
      <w:r w:rsidR="004E6A3E">
        <w:t>)</w:t>
      </w:r>
      <w:r w:rsidR="00990F31">
        <w:t xml:space="preserve">, </w:t>
      </w:r>
      <w:r w:rsidR="001C7B51">
        <w:t xml:space="preserve">a count-level random effect to model </w:t>
      </w:r>
      <w:proofErr w:type="spellStart"/>
      <w:r w:rsidR="001C7B51">
        <w:t>overdispersion</w:t>
      </w:r>
      <w:proofErr w:type="spellEnd"/>
      <w:r w:rsidR="001C7B51">
        <w:t xml:space="preserve"> (</w:t>
      </w:r>
      <w:r w:rsidR="001C7B51" w:rsidRPr="001C7B51">
        <w:rPr>
          <w:position w:val="-14"/>
        </w:rPr>
        <w:object w:dxaOrig="440" w:dyaOrig="380" w14:anchorId="5C408026">
          <v:shape id="_x0000_i1028" type="#_x0000_t75" style="width:21.75pt;height:18.4pt" o:ole="">
            <v:imagedata r:id="rId13" o:title=""/>
          </v:shape>
          <o:OLEObject Type="Embed" ProgID="Equation.DSMT4" ShapeID="_x0000_i1028" DrawAspect="Content" ObjectID="_1642534102" r:id="rId14"/>
        </w:object>
      </w:r>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6F1C799B" w:rsidR="005959D2" w:rsidRDefault="00985F5B">
      <w:r>
        <w:t xml:space="preserve">For the simpler of the two models that use the GAM smooth, the temporal component </w:t>
      </w:r>
      <w:proofErr w:type="gramStart"/>
      <w:r>
        <w:t>was estimated</w:t>
      </w:r>
      <w:proofErr w:type="gramEnd"/>
      <w:r>
        <w:t xml:space="preserve"> </w:t>
      </w:r>
      <w:r w:rsidR="005959D2">
        <w:t xml:space="preserve">as a </w:t>
      </w:r>
      <w:r w:rsidR="00C42929">
        <w:t>semi-parametric</w:t>
      </w:r>
      <w:r w:rsidR="005959D2">
        <w:t xml:space="preserve"> smooth</w:t>
      </w:r>
      <w:r>
        <w:t>, estimated</w:t>
      </w:r>
      <w:r w:rsidR="005959D2">
        <w:t xml:space="preserve"> fol</w:t>
      </w:r>
      <w:r w:rsidR="00FF634E">
        <w:t xml:space="preserve">lowing </w:t>
      </w:r>
      <w:proofErr w:type="spellStart"/>
      <w:r w:rsidR="00FF634E">
        <w:t>Crainiceanu</w:t>
      </w:r>
      <w:proofErr w:type="spellEnd"/>
      <w:r w:rsidR="00FF634E">
        <w:t xml:space="preserve"> et al (2005)</w:t>
      </w:r>
      <w:r w:rsidR="00181669">
        <w:t>.</w:t>
      </w:r>
      <w:r w:rsidR="005959D2">
        <w:t xml:space="preserve"> </w:t>
      </w:r>
    </w:p>
    <w:p w14:paraId="273D1BA9" w14:textId="5E092F34" w:rsidR="005959D2" w:rsidRDefault="004717DF">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6E5AF02B" w14:textId="7AA1FE0E" w:rsidR="000035BE" w:rsidRDefault="00617D3B">
      <w:r>
        <w:lastRenderedPageBreak/>
        <w:t xml:space="preserve">Where </w:t>
      </w:r>
      <m:oMath>
        <m:r>
          <w:rPr>
            <w:rFonts w:ascii="Cambria Math" w:hAnsi="Cambria Math"/>
          </w:rPr>
          <m:t>Κ</m:t>
        </m:r>
      </m:oMath>
      <w:r w:rsidR="00985F5B">
        <w:t xml:space="preserve"> is</w:t>
      </w:r>
      <w:r>
        <w:t xml:space="preserve"> the number of knots, </w:t>
      </w:r>
      <w:r w:rsidRPr="00617D3B">
        <w:rPr>
          <w:position w:val="-14"/>
        </w:rPr>
        <w:object w:dxaOrig="400" w:dyaOrig="380" w14:anchorId="1C4D3823">
          <v:shape id="_x0000_i1029" type="#_x0000_t75" style="width:19.25pt;height:18.4pt" o:ole="">
            <v:imagedata r:id="rId15" o:title=""/>
          </v:shape>
          <o:OLEObject Type="Embed" ProgID="Equation.DSMT4" ShapeID="_x0000_i1029" DrawAspect="Content" ObjectID="_1642534103" r:id="rId16"/>
        </w:object>
      </w:r>
      <w:r>
        <w:t>is the year-t and k-</w:t>
      </w:r>
      <w:proofErr w:type="spellStart"/>
      <w:r>
        <w:t>th</w:t>
      </w:r>
      <w:proofErr w:type="spellEnd"/>
      <w:r>
        <w:t xml:space="preserve"> entry in the design matrix </w:t>
      </w:r>
      <w:r w:rsidRPr="00617D3B">
        <w:rPr>
          <w:position w:val="-4"/>
        </w:rPr>
        <w:object w:dxaOrig="260" w:dyaOrig="240" w14:anchorId="596F56DA">
          <v:shape id="_x0000_i1030" type="#_x0000_t75" style="width:12.55pt;height:11.7pt" o:ole="">
            <v:imagedata r:id="rId17" o:title=""/>
          </v:shape>
          <o:OLEObject Type="Embed" ProgID="Equation.DSMT4" ShapeID="_x0000_i1030" DrawAspect="Content" ObjectID="_1642534104" r:id="rId18"/>
        </w:objec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shape of the trajectory in stratum-</w:t>
      </w:r>
      <w:proofErr w:type="spellStart"/>
      <w:r>
        <w:t>i</w:t>
      </w:r>
      <w:proofErr w:type="spellEnd"/>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i,k</m:t>
            </m:r>
          </m:sub>
        </m:sSub>
      </m:oMath>
      <w:proofErr w:type="gramStart"/>
      <w:r w:rsidR="000035BE">
        <w:t>is estimated</w:t>
      </w:r>
      <w:proofErr w:type="gramEnd"/>
      <w:r w:rsidR="000035BE">
        <w:t xml:space="preserve"> as a random effect, centered on a </w:t>
      </w:r>
      <w:proofErr w:type="spellStart"/>
      <w:r w:rsidR="00634DDD">
        <w:t>Hyperparameter</w:t>
      </w:r>
      <w:proofErr w:type="spellEnd"/>
      <w:r w:rsidR="00634DDD">
        <w:t xml:space="preserve">: a </w:t>
      </w:r>
      <w:r w:rsidR="000035BE">
        <w:t>mean across all strata (</w:t>
      </w:r>
      <w:r w:rsidR="000035BE" w:rsidRPr="000035BE">
        <w:rPr>
          <w:position w:val="-12"/>
        </w:rPr>
        <w:object w:dxaOrig="300" w:dyaOrig="360" w14:anchorId="41D7C510">
          <v:shape id="_x0000_i1031" type="#_x0000_t75" style="width:15.05pt;height:18.4pt" o:ole="">
            <v:imagedata r:id="rId19" o:title=""/>
          </v:shape>
          <o:OLEObject Type="Embed" ProgID="Equation.DSMT4" ShapeID="_x0000_i1031" DrawAspect="Content" ObjectID="_1642534105" r:id="rId20"/>
        </w:object>
      </w:r>
      <w:r w:rsidR="000035BE">
        <w:t>).</w:t>
      </w:r>
    </w:p>
    <w:p w14:paraId="31BC904B" w14:textId="1E05D0F2" w:rsidR="00617D3B" w:rsidRDefault="004717DF">
      <m:oMathPara>
        <m:oMath>
          <m:sSub>
            <m:sSubPr>
              <m:ctrlPr>
                <w:rPr>
                  <w:rFonts w:ascii="Cambria Math" w:hAnsi="Cambria Math"/>
                </w:rPr>
              </m:ctrlPr>
            </m:sSubPr>
            <m:e>
              <m:r>
                <w:rPr>
                  <w:rFonts w:ascii="Cambria Math" w:hAnsi="Cambria Math"/>
                </w:rPr>
                <m:t>β</m:t>
              </m:r>
            </m:e>
            <m:sub>
              <m:r>
                <w:rPr>
                  <w:rFonts w:ascii="Cambria Math" w:hAnsi="Cambria Math"/>
                </w:rPr>
                <m:t>i,k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w:t>
      </w:r>
      <w:proofErr w:type="spellStart"/>
      <w:r w:rsidR="00985F5B">
        <w:t>Crainiceanu</w:t>
      </w:r>
      <w:proofErr w:type="spellEnd"/>
      <w:r w:rsidR="00985F5B">
        <w:t xml:space="preserve"> et al. 2005)</w:t>
      </w:r>
      <w:r w:rsidR="00634DDD">
        <w:t xml:space="preserve">. </w:t>
      </w:r>
    </w:p>
    <w:p w14:paraId="5FA7007A" w14:textId="7B4CD737" w:rsidR="00634DDD" w:rsidRDefault="00944F2C">
      <w:r>
        <w:t xml:space="preserve">The design matrix </w:t>
      </w:r>
      <w:r w:rsidR="00A66E1C">
        <w:t xml:space="preserve">for the smoothing function </w:t>
      </w:r>
      <w:r>
        <w:t>(</w:t>
      </w:r>
      <w:r w:rsidRPr="00944F2C">
        <w:rPr>
          <w:position w:val="-4"/>
        </w:rPr>
        <w:object w:dxaOrig="260" w:dyaOrig="240" w14:anchorId="62FE7912">
          <v:shape id="_x0000_i1032" type="#_x0000_t75" style="width:12.55pt;height:11.7pt" o:ole="">
            <v:imagedata r:id="rId21" o:title=""/>
          </v:shape>
          <o:OLEObject Type="Embed" ProgID="Equation.DSMT4" ShapeID="_x0000_i1032" DrawAspect="Content" ObjectID="_1642534106" r:id="rId22"/>
        </w:object>
      </w:r>
      <w:r>
        <w:t xml:space="preserve"> ) has a row for each year, and a column for each of </w:t>
      </w:r>
      <w:r w:rsidRPr="00617D3B">
        <w:rPr>
          <w:position w:val="-4"/>
        </w:rPr>
        <w:object w:dxaOrig="260" w:dyaOrig="240" w14:anchorId="5777A2F2">
          <v:shape id="_x0000_i1033" type="#_x0000_t75" style="width:12.55pt;height:11.7pt" o:ole="">
            <v:imagedata r:id="rId23" o:title=""/>
          </v:shape>
          <o:OLEObject Type="Embed" ProgID="Equation.DSMT4" ShapeID="_x0000_i1033" DrawAspect="Content" ObjectID="_1642534107" r:id="rId24"/>
        </w:object>
      </w:r>
      <w:r>
        <w:t xml:space="preserve">knots. </w:t>
      </w:r>
      <w:r w:rsidR="00A66E1C">
        <w:t>The GAM smooth represented a 3</w:t>
      </w:r>
      <w:r w:rsidR="00A66E1C" w:rsidRPr="00944F2C">
        <w:rPr>
          <w:vertAlign w:val="superscript"/>
        </w:rPr>
        <w:t>rd</w:t>
      </w:r>
      <w:r w:rsidR="00A66E1C">
        <w:t>-degree polynomial spline</w:t>
      </w:r>
      <w:proofErr w:type="gramStart"/>
      <w:r w:rsidR="00A66E1C">
        <w:t xml:space="preserve">: </w:t>
      </w:r>
      <w:proofErr w:type="gramEnd"/>
      <w:r w:rsidR="00A66E1C" w:rsidRPr="00617D3B">
        <w:rPr>
          <w:position w:val="-14"/>
        </w:rPr>
        <w:object w:dxaOrig="1340" w:dyaOrig="400" w14:anchorId="34EACB81">
          <v:shape id="_x0000_i1034" type="#_x0000_t75" style="width:67.8pt;height:19.25pt" o:ole="">
            <v:imagedata r:id="rId25" o:title=""/>
          </v:shape>
          <o:OLEObject Type="Embed" ProgID="Equation.DSMT4" ShapeID="_x0000_i1034" DrawAspect="Content" ObjectID="_1642534108" r:id="rId26"/>
        </w:object>
      </w:r>
      <w:r w:rsidR="00A66E1C">
        <w:t>, and i</w:t>
      </w:r>
      <w:r w:rsidR="00471237">
        <w:t>t</w:t>
      </w:r>
      <w:r w:rsidR="002F0604">
        <w:t xml:space="preserve"> was calculated </w:t>
      </w:r>
      <w:r w:rsidR="00471237">
        <w:t xml:space="preserve">in R, </w:t>
      </w:r>
      <w:r w:rsidR="002F0604">
        <w:t xml:space="preserve">following </w:t>
      </w:r>
      <w:proofErr w:type="spellStart"/>
      <w:r w:rsidR="002F0604">
        <w:t>Crainiceanu</w:t>
      </w:r>
      <w:proofErr w:type="spellEnd"/>
      <w:r w:rsidR="002F0604">
        <w:t xml:space="preserve">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w:t>
      </w:r>
      <w:proofErr w:type="spellStart"/>
      <w:r w:rsidR="001D0D44">
        <w:t>jagam</w:t>
      </w:r>
      <w:proofErr w:type="spellEnd"/>
      <w:r w:rsidR="00183FBC">
        <w:t xml:space="preserve"> function in the</w:t>
      </w:r>
      <w:r w:rsidR="00951E0B">
        <w:t xml:space="preserve"> R-packag</w:t>
      </w:r>
      <w:r w:rsidR="00471237">
        <w:t xml:space="preserve">e </w:t>
      </w:r>
      <w:proofErr w:type="spellStart"/>
      <w:r w:rsidR="00471237">
        <w:t>m</w:t>
      </w:r>
      <w:r w:rsidR="007634D3">
        <w:t>gcv</w:t>
      </w:r>
      <w:proofErr w:type="spellEnd"/>
      <w:r w:rsidR="007634D3">
        <w:t xml:space="preserve">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w:t>
      </w:r>
      <w:proofErr w:type="spellStart"/>
      <w:r w:rsidR="00A66E1C">
        <w:t>mgcv</w:t>
      </w:r>
      <w:proofErr w:type="spellEnd"/>
      <w:r w:rsidR="00A66E1C">
        <w:t xml:space="preserve">. </w:t>
      </w:r>
      <w:r w:rsidR="001E7DDD">
        <w:t>However, when we tried to implement a fully Bayesian versi</w:t>
      </w:r>
      <w:r w:rsidR="00471237">
        <w:t xml:space="preserve">on of the </w:t>
      </w:r>
      <w:proofErr w:type="spellStart"/>
      <w:r w:rsidR="00471237">
        <w:t>mgcv</w:t>
      </w:r>
      <w:proofErr w:type="spellEnd"/>
      <w:r w:rsidR="00471237">
        <w:t xml:space="preserve">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0B1581F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the default setting in the R-package </w:t>
      </w:r>
      <w:proofErr w:type="spellStart"/>
      <w:r w:rsidR="00A66E1C">
        <w:t>bbsBayes</w:t>
      </w:r>
      <w:proofErr w:type="spellEnd"/>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w:t>
      </w:r>
      <w:proofErr w:type="gramStart"/>
      <w:r w:rsidR="00183FBC">
        <w:t>coefficients</w:t>
      </w:r>
      <w:r>
        <w:t>,</w:t>
      </w:r>
      <w:proofErr w:type="gramEnd"/>
      <w:r>
        <w:t xml:space="preserve"> </w:t>
      </w:r>
      <w:r w:rsidR="00A6292C">
        <w:t>were set following</w:t>
      </w:r>
      <w:r w:rsidR="007E17F7">
        <w:t xml:space="preserve"> advice in</w:t>
      </w:r>
      <w:r w:rsidR="00A6292C">
        <w:t xml:space="preserve"> </w:t>
      </w:r>
      <w:proofErr w:type="spellStart"/>
      <w:r w:rsidR="00A6292C">
        <w:t>Crainiceanu</w:t>
      </w:r>
      <w:proofErr w:type="spellEnd"/>
      <w:r w:rsidR="00A6292C">
        <w:t xml:space="preserve"> et al (2005)</w:t>
      </w:r>
      <w:r w:rsidR="007E17F7">
        <w:t xml:space="preserve"> and </w:t>
      </w:r>
      <w:proofErr w:type="spellStart"/>
      <w:r w:rsidR="007E17F7">
        <w:t>Gelman</w:t>
      </w:r>
      <w:proofErr w:type="spellEnd"/>
      <w:r w:rsidR="007E17F7">
        <w:t xml:space="preserve"> (200</w:t>
      </w:r>
      <w:r w:rsidR="00553A37">
        <w:t>6</w:t>
      </w:r>
      <w:r w:rsidR="007E17F7">
        <w:t>)</w:t>
      </w:r>
      <w:r w:rsidR="00A6292C">
        <w:t>, as follows:</w:t>
      </w:r>
      <w:r w:rsidR="007E17F7">
        <w:t xml:space="preserve"> </w:t>
      </w:r>
    </w:p>
    <w:p w14:paraId="3006C45D" w14:textId="47B90930" w:rsidR="00544ECC" w:rsidRPr="00544ECC" w:rsidRDefault="004717DF">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4717DF">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121A02FB"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w:t>
      </w:r>
      <w:proofErr w:type="spellStart"/>
      <w:r w:rsidR="00F57F60">
        <w:t>Knape</w:t>
      </w:r>
      <w:proofErr w:type="spellEnd"/>
      <w:r w:rsidR="00F57F60">
        <w:t xml:space="preserve"> 2016, and </w:t>
      </w:r>
      <w:r>
        <w:t xml:space="preserve">hereafter referred to as the </w:t>
      </w:r>
      <w:r w:rsidR="00F57F60">
        <w:t>GAMYE</w:t>
      </w:r>
      <w:r>
        <w:t>).</w:t>
      </w:r>
      <w:r w:rsidR="002F0604">
        <w:t xml:space="preserve"> The </w:t>
      </w:r>
      <w:r w:rsidR="00F57F60">
        <w:t>GAMYE</w:t>
      </w:r>
      <w:r w:rsidR="002F0604">
        <w:t xml:space="preserve"> was identical to the GAM, with the addition of </w:t>
      </w:r>
      <w:r w:rsidR="002F0604">
        <w:lastRenderedPageBreak/>
        <w:t>random year effects (</w:t>
      </w:r>
      <m:oMath>
        <m:sSub>
          <m:sSubPr>
            <m:ctrlPr>
              <w:rPr>
                <w:rFonts w:ascii="Cambria Math" w:hAnsi="Cambria Math"/>
              </w:rPr>
            </m:ctrlPr>
          </m:sSubPr>
          <m:e>
            <m:r>
              <w:rPr>
                <w:rFonts w:ascii="Cambria Math" w:hAnsi="Cambria Math"/>
              </w:rPr>
              <m:t>γ</m:t>
            </m:r>
          </m:e>
          <m:sub>
            <m:r>
              <w:rPr>
                <w:rFonts w:ascii="Cambria Math" w:hAnsi="Cambria Math"/>
              </w:rPr>
              <m:t>t,i</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w:r w:rsidR="002F0604" w:rsidRPr="002F0604">
        <w:rPr>
          <w:position w:val="-14"/>
        </w:rPr>
        <w:object w:dxaOrig="400" w:dyaOrig="400" w14:anchorId="5DE50DE4">
          <v:shape id="_x0000_i1035" type="#_x0000_t75" style="width:19.25pt;height:19.25pt" o:ole="">
            <v:imagedata r:id="rId27" o:title=""/>
          </v:shape>
          <o:OLEObject Type="Embed" ProgID="Equation.DSMT4" ShapeID="_x0000_i1035" DrawAspect="Content" ObjectID="_1642534109" r:id="rId28"/>
        </w:object>
      </w:r>
      <w:r w:rsidR="002F0604">
        <w:t xml:space="preserve">.  </w:t>
      </w:r>
    </w:p>
    <w:p w14:paraId="7829B49B" w14:textId="41C0A0C4" w:rsidR="00544ECC" w:rsidRDefault="004717DF">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7AEB11A2" w14:textId="47F1DF66"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w:t>
      </w:r>
      <w:proofErr w:type="gramStart"/>
      <w:r>
        <w:t>that either</w:t>
      </w:r>
      <w:proofErr w:type="gramEnd"/>
      <w:r>
        <w:t xml:space="preserve"> include the effects of the annual fluctuations or that remove these annual fluctuations</w:t>
      </w:r>
      <w:r w:rsidR="006117E7">
        <w:t xml:space="preserve"> to highlight the medium- and long-term changes</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7E007776" w:rsidR="00544ECC" w:rsidRPr="00544ECC" w:rsidRDefault="004717DF">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6110F27B" w:rsidR="009A0192" w:rsidRDefault="004717DF">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t-1,i</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i</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w:t>
      </w:r>
      <w:proofErr w:type="spellStart"/>
      <w:r>
        <w:t>overdispersion</w:t>
      </w:r>
      <w:proofErr w:type="spellEnd"/>
      <w:r>
        <w:t xml:space="preserve">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6997584E" w:rsidR="008F1847" w:rsidRDefault="00B86AB3" w:rsidP="008F1847">
      <w:r>
        <w:t>All analyses in this paper were conducted in R (R Core Team, 2019), using JAGS to implement the Bayesian analyses</w:t>
      </w:r>
      <w:r w:rsidR="00D3609B">
        <w:t xml:space="preserve"> (Plummer 2003)</w:t>
      </w:r>
      <w:r w:rsidR="00DD5093">
        <w:t xml:space="preserve">, and an R-package </w:t>
      </w:r>
      <w:proofErr w:type="spellStart"/>
      <w:r w:rsidR="00DD5093">
        <w:t>bbsBayes</w:t>
      </w:r>
      <w:proofErr w:type="spellEnd"/>
      <w:r w:rsidR="00DD5093">
        <w:t xml:space="preserve">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w:t>
      </w:r>
      <w:r w:rsidR="002D21BE">
        <w:lastRenderedPageBreak/>
        <w:t xml:space="preserve">and data used to produce the analyses in this study </w:t>
      </w:r>
      <w:proofErr w:type="gramStart"/>
      <w:r w:rsidR="0057328C">
        <w:t>are</w:t>
      </w:r>
      <w:r w:rsidR="002D21BE">
        <w:t xml:space="preserve"> archived</w:t>
      </w:r>
      <w:proofErr w:type="gramEnd"/>
      <w:r w:rsidR="002D21BE">
        <w:t xml:space="preserve"> online ()</w:t>
      </w:r>
      <w:r w:rsidR="008F1847">
        <w:t xml:space="preserve">. In addition, all of the models used here </w:t>
      </w:r>
      <w:proofErr w:type="gramStart"/>
      <w:r w:rsidR="008F1847">
        <w:t>can be applied</w:t>
      </w:r>
      <w:proofErr w:type="gramEnd"/>
      <w:r w:rsidR="008F1847">
        <w:t xml:space="preserve"> to the BBS data using </w:t>
      </w:r>
      <w:r w:rsidR="007D113A">
        <w:t>the</w:t>
      </w:r>
      <w:r w:rsidR="008F1847">
        <w:t xml:space="preserve"> R-package “</w:t>
      </w:r>
      <w:proofErr w:type="spellStart"/>
      <w:r w:rsidR="008F1847">
        <w:t>bbsBayes</w:t>
      </w:r>
      <w:proofErr w:type="spellEnd"/>
      <w:r w:rsidR="008F1847">
        <w:t xml:space="preserve">” currently available </w:t>
      </w:r>
      <w:r w:rsidR="008F1847" w:rsidRPr="000A6F62">
        <w:rPr>
          <w:highlight w:val="yellow"/>
        </w:rPr>
        <w:t>on GitHub</w:t>
      </w:r>
      <w:r w:rsidR="008F1847">
        <w:t>.</w:t>
      </w:r>
    </w:p>
    <w:p w14:paraId="03375807" w14:textId="77777777" w:rsidR="00D800EB" w:rsidRDefault="00D800EB">
      <w:r>
        <w:t>Cross-validation</w:t>
      </w:r>
    </w:p>
    <w:p w14:paraId="508962C1" w14:textId="26C78190" w:rsidR="006A5952" w:rsidRDefault="006A5952" w:rsidP="006A5952">
      <w:r>
        <w:t xml:space="preserve">We used a temporally and spatially stratified, </w:t>
      </w:r>
      <w:r w:rsidR="00433915">
        <w:t>v</w:t>
      </w:r>
      <w:r>
        <w:t>-fold cross-validation</w:t>
      </w:r>
      <w:r w:rsidR="00433915">
        <w:t xml:space="preserve"> (Burman 1983, often termed “k-fold”, but here we use v to distinguish it from “k” knots in the GAM)</w:t>
      </w:r>
      <w:r>
        <w:t xml:space="preserve"> with </w:t>
      </w:r>
      <w:r w:rsidR="00433915">
        <w:t>V</w:t>
      </w:r>
      <w:r>
        <w:t xml:space="preserve"> = 15, where we held-out random sets of counts, stratified across all years and strata so that each of the </w:t>
      </w:r>
      <w:r w:rsidR="00433915">
        <w:t>V</w:t>
      </w:r>
      <w:r>
        <w:t xml:space="preserve">-folds included some observations from every combination of strata and years. We chose this approach over </w:t>
      </w:r>
      <w:proofErr w:type="gramStart"/>
      <w:r>
        <w:t>a leave-one-out approach using a random subset of counts (e.g., Link et al. 2019), because we wanted to assess the predictive success across all counts in the dataset, and because we wanted to explore the temporal and spatial patterns in predictive success</w:t>
      </w:r>
      <w:proofErr w:type="gramEnd"/>
      <w:r>
        <w:t xml:space="preserve">. We followed a similar procedure to that outlined in Link et al. 2017 to implement the cross-validation in a parallel computing environment, using the R-packages </w:t>
      </w:r>
      <w:r w:rsidRPr="001D0D44">
        <w:rPr>
          <w:highlight w:val="yellow"/>
        </w:rPr>
        <w:t xml:space="preserve">parallel and </w:t>
      </w:r>
      <w:proofErr w:type="spellStart"/>
      <w:r w:rsidRPr="001D0D44">
        <w:rPr>
          <w:highlight w:val="yellow"/>
        </w:rPr>
        <w:t>foreach</w:t>
      </w:r>
      <w:proofErr w:type="spellEnd"/>
      <w:r w:rsidRPr="001D0D44">
        <w:rPr>
          <w:highlight w:val="yellow"/>
        </w:rPr>
        <w:t>.</w:t>
      </w:r>
      <w:r>
        <w:t xml:space="preserve"> We did not calculate WAIC because previous work has shown that WAIC </w:t>
      </w:r>
      <w:proofErr w:type="gramStart"/>
      <w:r>
        <w:t>does</w:t>
      </w:r>
      <w:proofErr w:type="gramEnd"/>
      <w:r>
        <w:t xml:space="preserve"> not approximate </w:t>
      </w:r>
      <w:proofErr w:type="spellStart"/>
      <w:r>
        <w:t>loocv</w:t>
      </w:r>
      <w:proofErr w:type="spellEnd"/>
      <w:r>
        <w:t xml:space="preserve"> well for the BBS data (Link et al. 2017).</w:t>
      </w:r>
    </w:p>
    <w:p w14:paraId="291476D4" w14:textId="250728F4" w:rsidR="006B14A3" w:rsidRDefault="007E6DDB">
      <w:r>
        <w:t xml:space="preserve">We used the Bayesian Predictive Information Criterion (BPIC) to compare the out-of-sample predictive </w:t>
      </w:r>
      <w:r w:rsidR="006B14A3">
        <w:t>success of all</w:t>
      </w:r>
      <w:r>
        <w:t xml:space="preserve"> four models (Link et al. 201</w:t>
      </w:r>
      <w:r w:rsidR="00183FBC">
        <w:t>9</w:t>
      </w:r>
      <w:r>
        <w:t xml:space="preserve">). BPIC </w:t>
      </w:r>
      <w:r w:rsidR="006B14A3">
        <w:t>for a given model-</w:t>
      </w:r>
      <w:r w:rsidR="006B14A3" w:rsidRPr="006B14A3">
        <w:rPr>
          <w:i/>
        </w:rPr>
        <w:t>M</w:t>
      </w:r>
      <w:r w:rsidR="006B14A3">
        <w:t xml:space="preserve">, </w:t>
      </w:r>
      <w:r>
        <w:t xml:space="preserve">is </w:t>
      </w:r>
      <w:r w:rsidR="00117EBD">
        <w:t xml:space="preserve">the </w:t>
      </w:r>
      <w:r>
        <w:t xml:space="preserve">sum of the </w:t>
      </w:r>
      <w:r w:rsidR="006B14A3">
        <w:t xml:space="preserve">estimated </w:t>
      </w:r>
      <w:r>
        <w:t>log posterior probabilities of each observation</w:t>
      </w:r>
      <w:r w:rsidR="006A5952">
        <w:t>-</w:t>
      </w:r>
      <w:proofErr w:type="spellStart"/>
      <w:r w:rsidR="006A5952">
        <w:t>i</w:t>
      </w:r>
      <w:proofErr w:type="spellEnd"/>
      <w:r w:rsidR="006A5952">
        <w:t>, for the model-</w:t>
      </w:r>
      <w:r w:rsidR="006A5952" w:rsidRPr="006A5952">
        <w:rPr>
          <w:i/>
        </w:rPr>
        <w:t>M</w:t>
      </w:r>
      <w:r w:rsidR="006A5952">
        <w:t xml:space="preserve"> fit to all data except those in the set-</w:t>
      </w:r>
      <w:r w:rsidR="00433915">
        <w:t>v</w:t>
      </w:r>
      <w:r w:rsidR="006A5952">
        <w:t xml:space="preserve"> that includes </w:t>
      </w:r>
      <w:proofErr w:type="spellStart"/>
      <w:r w:rsidR="006A5952">
        <w:t>i</w:t>
      </w:r>
      <w:proofErr w:type="spellEnd"/>
      <w:r w:rsidR="006A5952">
        <w:t xml:space="preserve">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0AE8EE5" w:rsidR="006B14A3" w:rsidRDefault="004717DF">
      <w:pPr>
        <w:rPr>
          <w:rFonts w:eastAsiaTheme="minorEastAsia"/>
        </w:rPr>
      </w:pPr>
      <m:oMathPara>
        <m:oMath>
          <m:sSub>
            <m:sSubPr>
              <m:ctrlPr>
                <w:rPr>
                  <w:rFonts w:ascii="Cambria Math" w:hAnsi="Cambria Math"/>
                  <w:i/>
                </w:rPr>
              </m:ctrlPr>
            </m:sSubPr>
            <m:e>
              <m:r>
                <w:rPr>
                  <w:rFonts w:ascii="Cambria Math" w:hAnsi="Cambria Math"/>
                </w:rPr>
                <m:t>BPIC</m:t>
              </m:r>
            </m:e>
            <m:sub>
              <m:r>
                <w:rPr>
                  <w:rFonts w:ascii="Cambria Math" w:hAnsi="Cambria Math"/>
                </w:rPr>
                <m:t>M</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oMath>
      </m:oMathPara>
    </w:p>
    <w:p w14:paraId="01309F40" w14:textId="12211A00" w:rsidR="007E6DDB" w:rsidRDefault="000144FA">
      <w:r>
        <w:t>Following Link et al. 201</w:t>
      </w:r>
      <w:r w:rsidR="007D113A">
        <w:t>9</w:t>
      </w:r>
      <w:r>
        <w:t xml:space="preserve">, we report BPIC values </w:t>
      </w:r>
      <w:r w:rsidR="007D113A">
        <w:t>directly</w:t>
      </w:r>
      <w:r w:rsidR="00183FBC">
        <w:t xml:space="preserve"> (i.e., we</w:t>
      </w:r>
      <w:r w:rsidR="007D113A">
        <w:t xml:space="preserve"> have not multiplied them by -2</w:t>
      </w:r>
      <w:r w:rsidR="00183FBC">
        <w:t>)</w:t>
      </w:r>
      <w:r w:rsidR="007D113A">
        <w:t xml:space="preserve">, so that larger values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p>
    <w:p w14:paraId="1AEF22EE" w14:textId="77777777" w:rsidR="006A5952" w:rsidRDefault="006A5952"/>
    <w:p w14:paraId="760C70FA" w14:textId="39535418" w:rsidR="00730443" w:rsidRDefault="002C06C8">
      <w:r>
        <w:t xml:space="preserve">We </w:t>
      </w:r>
      <w:r w:rsidR="006117E7">
        <w:t>calculated</w:t>
      </w:r>
      <w:r w:rsidR="00183FBC">
        <w:t xml:space="preserve"> the</w:t>
      </w:r>
      <w:r>
        <w:t xml:space="preserve"> </w:t>
      </w:r>
      <w:r w:rsidR="006117E7">
        <w:t>observation</w:t>
      </w:r>
      <w:r>
        <w:t xml:space="preserve">-level </w:t>
      </w:r>
      <w:r w:rsidR="00854D3E">
        <w:t>estimates of predictive fit</w:t>
      </w:r>
      <w:r>
        <w:t xml:space="preserve"> for every count in the data</w:t>
      </w:r>
      <w:r w:rsidR="00183FBC">
        <w:t>set</w:t>
      </w:r>
      <w:r>
        <w:t xml:space="preserve">, and </w:t>
      </w:r>
      <w:r w:rsidR="0093732C">
        <w:t xml:space="preserve">summarized these </w:t>
      </w:r>
      <w:r w:rsidR="006117E7">
        <w:t xml:space="preserve">fit </w:t>
      </w:r>
      <w:r w:rsidR="0093732C">
        <w:t xml:space="preserve">values </w:t>
      </w:r>
      <w:r>
        <w:t xml:space="preserve">to explore the temporal and spatial patterns </w:t>
      </w:r>
      <w:r w:rsidR="0001254A">
        <w:t xml:space="preserve">in support </w:t>
      </w:r>
      <w:r w:rsidR="00183FBC">
        <w:t>of</w:t>
      </w:r>
      <w:r w:rsidR="0001254A">
        <w:t xml:space="preserve"> different models </w:t>
      </w:r>
      <w:r>
        <w:t>(Table X).</w:t>
      </w:r>
      <w:r w:rsidR="00182182">
        <w:t xml:space="preserve"> </w:t>
      </w:r>
    </w:p>
    <w:p w14:paraId="50BE528A" w14:textId="47959B9A" w:rsidR="00730443" w:rsidRDefault="00730443">
      <w:r>
        <w:t xml:space="preserve">To compare the prediction error between pairs of models, we calculated the </w:t>
      </w:r>
      <w:r w:rsidR="00EB5F8A">
        <w:t>difference in</w:t>
      </w:r>
      <w:r w:rsidR="00991B8A">
        <w:t xml:space="preserve"> the conditional predictive ordinates 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proofErr w:type="gramStart"/>
      <w:r w:rsidR="00EB5F8A">
        <w:t xml:space="preserve">as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B</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B</m:t>
            </m:r>
          </m:sup>
        </m:sSubSup>
      </m:oMath>
      <w:r w:rsidR="00991B8A">
        <w:t xml:space="preserve"> indicate more support for model 1</w:t>
      </w:r>
      <w:r>
        <w:t xml:space="preserve">.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t xml:space="preserve">values using an additional hierarchical Bayesian model to account for the </w:t>
      </w:r>
      <w:r w:rsidR="00DD5093">
        <w:t>imbalances in the BBS-data among years and regions</w:t>
      </w:r>
      <w:r>
        <w:t xml:space="preserve">. This model treated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rsidR="00DD5093">
        <w:rPr>
          <w:rFonts w:eastAsiaTheme="minorEastAsia"/>
        </w:rPr>
        <w:t xml:space="preserve"> </w:t>
      </w:r>
      <w:r w:rsidR="00197FD7">
        <w:t xml:space="preserve">values as </w:t>
      </w:r>
      <w:r w:rsidR="00DD5093">
        <w:t xml:space="preserve">having a </w:t>
      </w:r>
      <w:r w:rsidR="00197FD7">
        <w:t>t-</w:t>
      </w:r>
      <w:r w:rsidR="00DD5093">
        <w:t>distribution</w:t>
      </w:r>
      <w:r w:rsidR="00197FD7">
        <w:t xml:space="preserve"> with an estimated variance and degrees of freedom. We used </w:t>
      </w:r>
      <w:r w:rsidR="00DD5093">
        <w:t>this robust estimation approach, instead of the z-score approach used by Link and Sauer (2019)</w:t>
      </w:r>
      <w:r w:rsidR="00197FD7">
        <w:t xml:space="preserve"> because of </w:t>
      </w:r>
      <w:r w:rsidR="00DD5093">
        <w:t>the</w:t>
      </w:r>
      <w:r w:rsidR="00197FD7">
        <w:t xml:space="preserve"> extremely heavy tails </w:t>
      </w:r>
      <w:r w:rsidR="00DD5093">
        <w:t xml:space="preserve">in their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rsidR="00DD5093">
        <w:t xml:space="preserve"> values </w:t>
      </w:r>
      <w:r w:rsidR="00197FD7">
        <w:t>(Fig X)</w:t>
      </w:r>
      <w:r w:rsidR="00DD5093">
        <w:t>.</w:t>
      </w:r>
    </w:p>
    <w:p w14:paraId="72E453EE" w14:textId="77777777" w:rsidR="002C06C8" w:rsidRDefault="002C06C8"/>
    <w:tbl>
      <w:tblPr>
        <w:tblStyle w:val="TableGrid"/>
        <w:tblW w:w="0" w:type="auto"/>
        <w:tblLook w:val="04A0" w:firstRow="1" w:lastRow="0" w:firstColumn="1" w:lastColumn="0" w:noHBand="0" w:noVBand="1"/>
      </w:tblPr>
      <w:tblGrid>
        <w:gridCol w:w="1917"/>
        <w:gridCol w:w="4311"/>
        <w:gridCol w:w="3122"/>
      </w:tblGrid>
      <w:tr w:rsidR="006F0D1A" w14:paraId="6AE1E135" w14:textId="77777777" w:rsidTr="003935F3">
        <w:tc>
          <w:tcPr>
            <w:tcW w:w="1951" w:type="dxa"/>
          </w:tcPr>
          <w:p w14:paraId="67399888" w14:textId="445FFC54" w:rsidR="006F0D1A" w:rsidRDefault="006F0D1A">
            <w:r>
              <w:lastRenderedPageBreak/>
              <w:t>Summary level</w:t>
            </w:r>
          </w:p>
        </w:tc>
        <w:tc>
          <w:tcPr>
            <w:tcW w:w="4433" w:type="dxa"/>
          </w:tcPr>
          <w:p w14:paraId="279D89F3" w14:textId="18631D36" w:rsidR="006F0D1A" w:rsidRDefault="006F0D1A">
            <w:r>
              <w:t>Description</w:t>
            </w:r>
          </w:p>
        </w:tc>
        <w:tc>
          <w:tcPr>
            <w:tcW w:w="3192" w:type="dxa"/>
          </w:tcPr>
          <w:p w14:paraId="61C2025F" w14:textId="18599E14" w:rsidR="006F0D1A" w:rsidRDefault="006F0D1A">
            <w:r>
              <w:t>Rationale</w:t>
            </w:r>
          </w:p>
        </w:tc>
      </w:tr>
      <w:tr w:rsidR="006F0D1A" w14:paraId="276A31F6" w14:textId="77777777" w:rsidTr="003935F3">
        <w:tc>
          <w:tcPr>
            <w:tcW w:w="1951" w:type="dxa"/>
          </w:tcPr>
          <w:p w14:paraId="7689A144" w14:textId="1E6EAA2F" w:rsidR="006F0D1A" w:rsidRDefault="006F0D1A">
            <w:r>
              <w:t>Overall</w:t>
            </w:r>
          </w:p>
        </w:tc>
        <w:tc>
          <w:tcPr>
            <w:tcW w:w="4433" w:type="dxa"/>
          </w:tcPr>
          <w:p w14:paraId="18FCA704" w14:textId="672687CD" w:rsidR="006F0D1A" w:rsidRDefault="005E1D4F">
            <w:r>
              <w:t>Summarized across all data-points</w:t>
            </w:r>
          </w:p>
        </w:tc>
        <w:tc>
          <w:tcPr>
            <w:tcW w:w="3192" w:type="dxa"/>
          </w:tcPr>
          <w:p w14:paraId="2F9FFAED" w14:textId="4BAB9FEA" w:rsidR="006F0D1A" w:rsidRDefault="005E1D4F">
            <w:r>
              <w:t>Overall comparisons of predictive error among models</w:t>
            </w:r>
          </w:p>
        </w:tc>
      </w:tr>
      <w:tr w:rsidR="006F0D1A" w14:paraId="3045B899" w14:textId="77777777" w:rsidTr="003935F3">
        <w:tc>
          <w:tcPr>
            <w:tcW w:w="1951" w:type="dxa"/>
          </w:tcPr>
          <w:p w14:paraId="300B785E" w14:textId="47B5A267" w:rsidR="006F0D1A" w:rsidRDefault="006F0D1A">
            <w:r>
              <w:t>Strata</w:t>
            </w:r>
          </w:p>
        </w:tc>
        <w:tc>
          <w:tcPr>
            <w:tcW w:w="4433" w:type="dxa"/>
          </w:tcPr>
          <w:p w14:paraId="43158B5C" w14:textId="724227AC" w:rsidR="006F0D1A" w:rsidRDefault="00845AC6">
            <w:r>
              <w:t>Strata-level summaries</w:t>
            </w:r>
          </w:p>
        </w:tc>
        <w:tc>
          <w:tcPr>
            <w:tcW w:w="3192" w:type="dxa"/>
          </w:tcPr>
          <w:p w14:paraId="2C9020C4" w14:textId="3AC5D993" w:rsidR="006F0D1A" w:rsidRDefault="00CF3293" w:rsidP="00845AC6">
            <w:r>
              <w:t xml:space="preserve">Spatial comparisons, looking for </w:t>
            </w:r>
            <w:r w:rsidR="00845AC6">
              <w:t xml:space="preserve">variation in predictive error related to variation in sample sizes among strata, variation in species mean abundance, and variation across species’ range </w:t>
            </w:r>
          </w:p>
        </w:tc>
      </w:tr>
      <w:tr w:rsidR="006F0D1A" w14:paraId="1C81A6FB" w14:textId="77777777" w:rsidTr="003935F3">
        <w:tc>
          <w:tcPr>
            <w:tcW w:w="1951" w:type="dxa"/>
          </w:tcPr>
          <w:p w14:paraId="7DC7A4AA" w14:textId="069A820D" w:rsidR="006F0D1A" w:rsidRDefault="006F0D1A">
            <w:r>
              <w:t>Yearly</w:t>
            </w:r>
          </w:p>
        </w:tc>
        <w:tc>
          <w:tcPr>
            <w:tcW w:w="4433" w:type="dxa"/>
          </w:tcPr>
          <w:p w14:paraId="6B5EFE7E" w14:textId="77777777" w:rsidR="003935F3" w:rsidRDefault="00845AC6" w:rsidP="005E1D4F">
            <w:r>
              <w:t xml:space="preserve">Summaries for: </w:t>
            </w:r>
          </w:p>
          <w:p w14:paraId="33AE6D4B" w14:textId="2505D23C" w:rsidR="003935F3" w:rsidRDefault="00845AC6" w:rsidP="005E1D4F">
            <w:r>
              <w:t xml:space="preserve">each year; </w:t>
            </w:r>
          </w:p>
          <w:p w14:paraId="33848F38" w14:textId="77777777" w:rsidR="003935F3" w:rsidRDefault="00845AC6" w:rsidP="005E1D4F">
            <w:r>
              <w:t>first-five years</w:t>
            </w:r>
            <w:r w:rsidR="005E1D4F">
              <w:t>;</w:t>
            </w:r>
            <w:r>
              <w:t xml:space="preserve"> </w:t>
            </w:r>
          </w:p>
          <w:p w14:paraId="167F1999" w14:textId="77777777" w:rsidR="003935F3" w:rsidRDefault="00845AC6" w:rsidP="005E1D4F">
            <w:r>
              <w:t>last-five years</w:t>
            </w:r>
            <w:r w:rsidR="005E1D4F">
              <w:t>;</w:t>
            </w:r>
            <w:r>
              <w:t xml:space="preserve"> and</w:t>
            </w:r>
            <w:r w:rsidR="00FC5A0C">
              <w:t xml:space="preserve"> </w:t>
            </w:r>
          </w:p>
          <w:p w14:paraId="6F04FADA" w14:textId="7F771575" w:rsidR="006F0D1A" w:rsidRDefault="00FC5A0C" w:rsidP="005E1D4F">
            <w:proofErr w:type="gramStart"/>
            <w:r>
              <w:t>across</w:t>
            </w:r>
            <w:proofErr w:type="gramEnd"/>
            <w:r>
              <w:t xml:space="preserve"> the first- and last-five years.</w:t>
            </w:r>
          </w:p>
        </w:tc>
        <w:tc>
          <w:tcPr>
            <w:tcW w:w="3192" w:type="dxa"/>
          </w:tcPr>
          <w:p w14:paraId="2D186905" w14:textId="4F18D4C6" w:rsidR="006F0D1A" w:rsidRDefault="00845AC6" w:rsidP="005E1D4F">
            <w:r>
              <w:t>Temporal comparisons, looking for variation in predicti</w:t>
            </w:r>
            <w:r w:rsidR="00FC5A0C">
              <w:t xml:space="preserve">ve error across the time-series, as well as variation </w:t>
            </w:r>
            <w:r w:rsidR="005E1D4F">
              <w:t xml:space="preserve">specifically </w:t>
            </w:r>
            <w:r w:rsidR="00FC5A0C">
              <w:t xml:space="preserve">related to </w:t>
            </w:r>
            <w:r w:rsidR="005E1D4F">
              <w:t>the end-points of the time-series, which are particularly relevant for long-term trend estimates.</w:t>
            </w:r>
          </w:p>
        </w:tc>
      </w:tr>
    </w:tbl>
    <w:p w14:paraId="3726EC25" w14:textId="68E9F740" w:rsidR="00657BD5" w:rsidRDefault="002C06C8">
      <w:r>
        <w:t xml:space="preserve"> </w:t>
      </w:r>
      <w:r w:rsidR="007A5C62">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560DA58F"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271A7E">
        <w:t xml:space="preserve">) </w:t>
      </w:r>
      <w:r w:rsidR="0075190E">
        <w:t>is</w:t>
      </w:r>
    </w:p>
    <w:p w14:paraId="2AB7A19F" w14:textId="47A2CA57" w:rsidR="00F82BBF" w:rsidRPr="004E1F2B" w:rsidRDefault="004717DF">
      <w:pPr>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den>
                  </m:f>
                </m:sup>
              </m:sSup>
              <m:r>
                <w:rPr>
                  <w:rFonts w:ascii="Cambria Math" w:hAnsi="Cambria Math"/>
                </w:rPr>
                <m:t>-1</m:t>
              </m:r>
            </m:e>
          </m:d>
        </m:oMath>
      </m:oMathPara>
    </w:p>
    <w:p w14:paraId="612F4ACA" w14:textId="3AD99D9E" w:rsidR="004E1F2B" w:rsidRDefault="0075190E">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5122FA4"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r w:rsidR="00AC49E5">
        <w:t xml:space="preserve">More precisely, in </w:t>
      </w:r>
      <w:r w:rsidR="00743569">
        <w:t>the standard approach described in Sauer and Link 2011,</w:t>
      </w:r>
      <w:r w:rsidR="00AC49E5">
        <w:t xml:space="preserve"> the annual indices in </w:t>
      </w:r>
      <w:r w:rsidR="0070604D">
        <w:t xml:space="preserve">a given year t and stratum </w:t>
      </w:r>
      <w:proofErr w:type="spellStart"/>
      <w:r w:rsidR="0070604D">
        <w:t>i</w:t>
      </w:r>
      <w:proofErr w:type="spellEnd"/>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70604D">
        <w:t xml:space="preserve">) </w:t>
      </w:r>
      <w:r w:rsidR="00AC49E5">
        <w:t xml:space="preserve">are </w:t>
      </w:r>
      <w:proofErr w:type="spellStart"/>
      <w:r w:rsidR="00AC49E5">
        <w:lastRenderedPageBreak/>
        <w:t>exponentiated</w:t>
      </w:r>
      <w:proofErr w:type="spellEnd"/>
      <w:r w:rsidR="00AC49E5">
        <w:t xml:space="preserve">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oMath>
      <w:r w:rsidR="0070604D">
        <w:t>).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commentRangeStart w:id="1"/>
      <w:proofErr w:type="spellStart"/>
      <w:r w:rsidR="00D474CC">
        <w:t>Duan</w:t>
      </w:r>
      <w:proofErr w:type="spellEnd"/>
      <w:r w:rsidR="00D474CC">
        <w:t xml:space="preserve"> 1983</w:t>
      </w:r>
      <w:commentRangeEnd w:id="1"/>
      <w:r w:rsidR="0071744A">
        <w:rPr>
          <w:rStyle w:val="CommentReference"/>
        </w:rPr>
        <w:commentReference w:id="1"/>
      </w:r>
      <w:r w:rsidR="00D474CC">
        <w:t xml:space="preserve">). For many species, one or both of these two assumptions are not well supported and as a result, annual indices for some species and regions are over-estimated (Smith et al. 2015). </w:t>
      </w:r>
    </w:p>
    <w:p w14:paraId="01EFE5F0" w14:textId="51550CF1" w:rsidR="00743569" w:rsidRPr="00743569" w:rsidRDefault="004717DF"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proofErr w:type="gramStart"/>
      <w:r>
        <w:rPr>
          <w:rFonts w:eastAsiaTheme="minorEastAsia"/>
        </w:rPr>
        <w:t>we</w:t>
      </w:r>
      <w:proofErr w:type="gramEnd"/>
      <w:r>
        <w:rPr>
          <w:rFonts w:eastAsiaTheme="minorEastAsia"/>
        </w:rPr>
        <w:t xml:space="preserve"> calculated the annual indices as follows: </w:t>
      </w:r>
    </w:p>
    <w:p w14:paraId="682F1117" w14:textId="22ED156C" w:rsidR="00743569" w:rsidRDefault="004717DF"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9807770" w14:textId="0EEB8B73" w:rsidR="00F458FB" w:rsidRDefault="00C859D2" w:rsidP="00F458FB">
      <w:r>
        <w:t xml:space="preserve">So that instead of relying on the half-variance, </w:t>
      </w:r>
      <w:proofErr w:type="gramStart"/>
      <w:r>
        <w:t>log-normal</w:t>
      </w:r>
      <w:proofErr w:type="gramEnd"/>
      <w:r>
        <w:t xml:space="preserve">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Ji</m:t>
            </m:r>
          </m:sub>
        </m:sSub>
      </m:oMath>
      <w:r>
        <w:rPr>
          <w:rFonts w:eastAsiaTheme="minorEastAsia"/>
        </w:rPr>
        <w:t xml:space="preserve"> </w:t>
      </w:r>
      <w:r>
        <w:t>observer-routes</w:t>
      </w:r>
      <w:r w:rsidR="002425B8">
        <w:t xml:space="preserve"> j</w:t>
      </w:r>
      <w:r>
        <w:t xml:space="preserve"> in the set of observer-route combinations in stratum </w:t>
      </w:r>
      <w:proofErr w:type="spellStart"/>
      <w:r>
        <w:t>i</w:t>
      </w:r>
      <w:proofErr w:type="spellEnd"/>
      <w:r>
        <w:t xml:space="preserv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w:t>
      </w:r>
      <w:proofErr w:type="spellStart"/>
      <w:r w:rsidR="00E26954">
        <w:rPr>
          <w:rFonts w:eastAsiaTheme="minorEastAsia"/>
        </w:rPr>
        <w:t>i.e.</w:t>
      </w:r>
      <w:proofErr w:type="gramStart"/>
      <w:r w:rsidR="00E26954">
        <w:rPr>
          <w:rFonts w:eastAsiaTheme="minorEastAsia"/>
        </w:rPr>
        <w:t>,the</w:t>
      </w:r>
      <w:proofErr w:type="spellEnd"/>
      <w:proofErr w:type="gramEnd"/>
      <w:r w:rsidR="00E26954">
        <w:rPr>
          <w:rFonts w:eastAsiaTheme="minorEastAsia"/>
        </w:rPr>
        <w:t xml:space="preserv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BE0A69">
        <w:rPr>
          <w:rFonts w:eastAsiaTheme="minorEastAsia"/>
        </w:rPr>
        <w:t>is not</w:t>
      </w:r>
      <w:r w:rsidR="00127CB6">
        <w:rPr>
          <w:rFonts w:eastAsiaTheme="minorEastAsia"/>
        </w:rPr>
        <w:t xml:space="preserve"> necessarily a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w:t>
      </w:r>
      <w:proofErr w:type="spellStart"/>
      <w:r w:rsidR="00B02BC2">
        <w:t>bbsBayes</w:t>
      </w:r>
      <w:proofErr w:type="spellEnd"/>
      <w:r w:rsidR="00B02BC2">
        <w:t xml:space="preserve">,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2019). </w:t>
      </w:r>
    </w:p>
    <w:p w14:paraId="79174225" w14:textId="168B705F"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one </w:t>
      </w:r>
      <w:r w:rsidR="00EF28B4">
        <w:t>that</w:t>
      </w:r>
      <w:r>
        <w:t xml:space="preserve"> </w:t>
      </w:r>
      <w:r w:rsidR="00DE0E93">
        <w:t>included</w:t>
      </w:r>
      <w:r>
        <w:t xml:space="preserve"> the annual variation in the trajectory,</w:t>
      </w:r>
    </w:p>
    <w:p w14:paraId="1A93D7C4" w14:textId="34C93639" w:rsidR="000865CD" w:rsidRDefault="004717DF"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6E514F5" w14:textId="77777777" w:rsidR="00B02BC2" w:rsidRDefault="004717DF"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i,t</m:t>
              </m:r>
            </m:sub>
          </m:sSub>
        </m:oMath>
      </m:oMathPara>
    </w:p>
    <w:p w14:paraId="701E19F1" w14:textId="73F150CE" w:rsidR="00B02BC2" w:rsidRDefault="00E26954" w:rsidP="00F458FB">
      <w:proofErr w:type="gramStart"/>
      <w:r>
        <w:lastRenderedPageBreak/>
        <w:t>a</w:t>
      </w:r>
      <w:r w:rsidR="00B02BC2">
        <w:t>nd</w:t>
      </w:r>
      <w:proofErr w:type="gramEnd"/>
      <w:r w:rsidR="00B02BC2">
        <w:t xml:space="preserve"> a second </w:t>
      </w:r>
      <w:r w:rsidR="00EF28B4">
        <w:t>that</w:t>
      </w:r>
      <w:r w:rsidR="00B02BC2">
        <w:t xml:space="preserve"> </w:t>
      </w:r>
      <w:r w:rsidR="00DE0E93">
        <w:t>excluded</w:t>
      </w:r>
      <w:r w:rsidR="00B02BC2">
        <w:t xml:space="preserve"> the annual variations</w:t>
      </w:r>
      <w:r w:rsidR="00EF28B4">
        <w:t xml:space="preserve">, including only </w:t>
      </w:r>
      <w:r w:rsidR="00DE0E93">
        <w:t>the smoothing components of the GAM to estimate the time-series</w:t>
      </w:r>
      <w:r>
        <w:t>.</w:t>
      </w:r>
    </w:p>
    <w:p w14:paraId="64B00806" w14:textId="7B396FD8" w:rsidR="000865CD" w:rsidRDefault="004717DF" w:rsidP="00F458FB">
      <m:oMathPara>
        <m:oMath>
          <m:sSub>
            <m:sSubPr>
              <m:ctrlPr>
                <w:rPr>
                  <w:rFonts w:ascii="Cambria Math" w:hAnsi="Cambria Math"/>
                </w:rPr>
              </m:ctrlPr>
            </m:sSubPr>
            <m:e>
              <m:r>
                <w:rPr>
                  <w:rFonts w:ascii="Cambria Math" w:hAnsi="Cambria Math"/>
                </w:rPr>
                <m:t>Ns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1068A5DB" w14:textId="21B63739" w:rsidR="00F82BBF" w:rsidRDefault="004717DF">
      <m:oMathPara>
        <m:oMath>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oMath>
      </m:oMathPara>
    </w:p>
    <w:p w14:paraId="33DC9C87" w14:textId="1F8F702C"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0865CD">
        <w:rPr>
          <w:rFonts w:eastAsiaTheme="minorEastAsia"/>
        </w:rPr>
        <w:t xml:space="preserve"> </w:t>
      </w:r>
      <w:proofErr w:type="gramStart"/>
      <w:r w:rsidR="000865CD">
        <w:rPr>
          <w:rFonts w:eastAsiaTheme="minorEastAsia"/>
        </w:rPr>
        <w:t xml:space="preserve">and </w:t>
      </w:r>
      <w:proofErr w:type="gramEnd"/>
      <m:oMath>
        <m:sSub>
          <m:sSubPr>
            <m:ctrlPr>
              <w:rPr>
                <w:rFonts w:ascii="Cambria Math" w:hAnsi="Cambria Math"/>
              </w:rPr>
            </m:ctrlPr>
          </m:sSubPr>
          <m:e>
            <m:r>
              <w:rPr>
                <w:rFonts w:ascii="Cambria Math" w:hAnsi="Cambria Math"/>
              </w:rPr>
              <m:t>Ns</m:t>
            </m:r>
          </m:e>
          <m:sub>
            <m:r>
              <w:rPr>
                <w:rFonts w:ascii="Cambria Math" w:hAnsi="Cambria Math"/>
              </w:rPr>
              <m:t>i,t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i,t</m:t>
            </m:r>
          </m:sub>
        </m:sSub>
      </m:oMath>
      <w:r>
        <w:rPr>
          <w:rFonts w:eastAsiaTheme="minorEastAsia"/>
        </w:rPr>
        <w:t xml:space="preserve"> values 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Ns</m:t>
            </m:r>
          </m:e>
          <m:sub>
            <m:r>
              <w:rPr>
                <w:rFonts w:ascii="Cambria Math" w:hAnsi="Cambria Math"/>
              </w:rPr>
              <m:t>i,t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w:t>
      </w:r>
      <w:proofErr w:type="spellStart"/>
      <w:r w:rsidR="00E26954">
        <w:t>bbsBayes</w:t>
      </w:r>
      <w:proofErr w:type="spellEnd"/>
      <w:r w:rsidR="00E26954">
        <w:t xml:space="preserve">, </w:t>
      </w:r>
      <w:r w:rsidR="00BE0A69">
        <w:t>both 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0B514154"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55CBB93B" w:rsidR="00F176CF" w:rsidRDefault="00F176CF" w:rsidP="00F176CF">
      <w:r>
        <w:t xml:space="preserve">Trajectories vary a great deal among the strata, but are generally similar to the continental means. </w:t>
      </w:r>
      <w:r w:rsidR="00EE2295">
        <w:t>(Figure 2)</w:t>
      </w:r>
    </w:p>
    <w:p w14:paraId="2D7707D9" w14:textId="4C245FC6" w:rsidR="001E2BFA" w:rsidRDefault="001E2BFA" w:rsidP="00F176CF">
      <w:r>
        <w:t>The trajectories follow the pattern in observed counts reasonably well, but depart from it more in years with sparse data.</w:t>
      </w:r>
      <w:r w:rsidR="00EE2295">
        <w:t xml:space="preserve"> Figure 3</w:t>
      </w:r>
      <w:r w:rsidR="004A3023">
        <w:t>. The cross-validation results suggest that the GAMYE is generally preferable to the GAM (Figure 4)</w:t>
      </w:r>
    </w:p>
    <w:p w14:paraId="04890FD4" w14:textId="2A6B402D"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r w:rsidR="004D1A15">
        <w:t xml:space="preserve"> Figure </w:t>
      </w:r>
      <w:r w:rsidR="004A3023">
        <w:t>5</w:t>
      </w:r>
      <w:r w:rsidR="004D1A15">
        <w:t>. Calculating trends from the smooth component generates short-term estimates that vary less from yea</w:t>
      </w:r>
      <w:r w:rsidR="004A3023">
        <w:t>r to year. For example, Figure 6</w:t>
      </w:r>
      <w:r w:rsidR="004D1A15">
        <w:t xml:space="preserve">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xml:space="preserve">. The SLOPE model estimates flip </w:t>
      </w:r>
      <w:r w:rsidR="009A4AF7">
        <w:t xml:space="preserve">from one side of the threshold to the other </w:t>
      </w:r>
      <w:r w:rsidR="003C5F12">
        <w:t>6 times</w:t>
      </w:r>
      <w:r w:rsidR="004D1A15">
        <w:t>. By contrast, a trend calculated from the decomposed GAMYE model using only the smooth component</w:t>
      </w:r>
      <w:r w:rsidR="00D40A7D">
        <w:t xml:space="preserve"> suggests that the species is decreasing relatively steadily, but gives a consistent signal about the rate of decline in comparison to the IUC</w:t>
      </w:r>
      <w:r w:rsidR="00577109">
        <w:t>N</w:t>
      </w:r>
      <w:r w:rsidR="00D40A7D">
        <w:t xml:space="preserve"> criterion.</w:t>
      </w:r>
    </w:p>
    <w:p w14:paraId="6357904D" w14:textId="3CBEC7CC" w:rsidR="00992690" w:rsidRDefault="001E2BFA">
      <w:r>
        <w:t xml:space="preserve">Comparison to other models - </w:t>
      </w:r>
      <w:r w:rsidR="00992690">
        <w:t>Cross-validation</w:t>
      </w:r>
    </w:p>
    <w:p w14:paraId="0223C2E7" w14:textId="7CBA1E80" w:rsidR="003C5F12" w:rsidRDefault="003C5F12">
      <w:r>
        <w:t xml:space="preserve">For the Barn Swallow, </w:t>
      </w:r>
      <w:r w:rsidR="00F7061E">
        <w:t xml:space="preserve">the SLOPE model trajectories are noticeably different from the other three models (Figure </w:t>
      </w:r>
      <w:r w:rsidR="004A3023">
        <w:t>7</w:t>
      </w:r>
      <w:r w:rsidR="00F7061E">
        <w:t xml:space="preserve">). The predictive fit comparisons suggest that the estimates from the three models that show an initial increase in Barn Swallow populations up to about the early 1980s are preferable to the SLOPE predictions showing a more constant rate of decline (Figure </w:t>
      </w:r>
      <w:r w:rsidR="004A3023">
        <w:t>8</w:t>
      </w:r>
      <w:r w:rsidR="00F7061E">
        <w:t>). In contrast, the GAMYE and the DIFFERENCE model</w:t>
      </w:r>
      <w:r>
        <w:t xml:space="preserve"> had very similar</w:t>
      </w:r>
      <w:r w:rsidR="00486194">
        <w:t xml:space="preserve"> estimates (Figure </w:t>
      </w:r>
      <w:r w:rsidR="004A3023">
        <w:t>7</w:t>
      </w:r>
      <w:r w:rsidR="00486194">
        <w:t>)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w:t>
      </w:r>
      <w:r w:rsidR="004A3023">
        <w:t>8 and 9</w:t>
      </w:r>
      <w:r w:rsidR="00777969">
        <w:t>)</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4A3023">
        <w:t>The geographic variation in predictive fit is similarly complex. I</w:t>
      </w:r>
      <w:r w:rsidR="00486194">
        <w:t xml:space="preserve">n the northeastern and southeastern parts of the Barn Swallow’s range, the GAMYE model generally outperforms the DIFFERENCE model, whereas in the remainder of the species’ range the DIFFERENCE model </w:t>
      </w:r>
      <w:r w:rsidR="009A4AF7">
        <w:t>has</w:t>
      </w:r>
      <w:r w:rsidR="00486194">
        <w:t xml:space="preserve"> higher predictive fit (Figure </w:t>
      </w:r>
      <w:r w:rsidR="004A3023">
        <w:t>9</w:t>
      </w:r>
      <w:r w:rsidR="00A7010B">
        <w:t>). A</w:t>
      </w:r>
      <w:r w:rsidR="00A7010B">
        <w:t xml:space="preserve">lthough the mapped </w:t>
      </w:r>
      <w:proofErr w:type="spellStart"/>
      <w:r w:rsidR="00A7010B">
        <w:t>colours</w:t>
      </w:r>
      <w:proofErr w:type="spellEnd"/>
      <w:r w:rsidR="00A7010B">
        <w:t xml:space="preserve"> only represent </w:t>
      </w:r>
      <w:r w:rsidR="00A7010B">
        <w:t>the point-</w:t>
      </w:r>
      <w:r w:rsidR="00A7010B">
        <w:lastRenderedPageBreak/>
        <w: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p>
    <w:p w14:paraId="141B2346" w14:textId="12BEBB76" w:rsidR="00E7115B" w:rsidRPr="00E7115B" w:rsidRDefault="00E7115B">
      <w:pPr>
        <w:rPr>
          <w:highlight w:val="yellow"/>
        </w:rPr>
      </w:pPr>
      <w:r w:rsidRPr="00E7115B">
        <w:rPr>
          <w:highlight w:val="yellow"/>
        </w:rPr>
        <w:t>Practical considerations:</w:t>
      </w:r>
    </w:p>
    <w:p w14:paraId="3A2A4C40" w14:textId="5B7C5457" w:rsidR="00E7115B" w:rsidRPr="00E7115B" w:rsidRDefault="00E7115B">
      <w:pPr>
        <w:rPr>
          <w:highlight w:val="yellow"/>
        </w:rPr>
      </w:pPr>
      <w:r w:rsidRPr="00E7115B">
        <w:rPr>
          <w:highlight w:val="yellow"/>
        </w:rPr>
        <w:t>Computational time.</w:t>
      </w:r>
    </w:p>
    <w:p w14:paraId="5587E26E" w14:textId="77777777" w:rsidR="00E7115B" w:rsidRPr="00E7115B" w:rsidRDefault="00E7115B">
      <w:pPr>
        <w:rPr>
          <w:highlight w:val="yellow"/>
        </w:rPr>
      </w:pPr>
    </w:p>
    <w:p w14:paraId="2BE17894" w14:textId="7024F996" w:rsidR="00E02252" w:rsidRPr="00E7115B" w:rsidRDefault="001E2BFA">
      <w:pPr>
        <w:rPr>
          <w:highlight w:val="yellow"/>
        </w:rPr>
      </w:pPr>
      <w:r w:rsidRPr="00E7115B">
        <w:rPr>
          <w:highlight w:val="yellow"/>
        </w:rPr>
        <w:t xml:space="preserve">Both GAMs clearly outperform the standard model. </w:t>
      </w:r>
      <w:r w:rsidR="00E02252" w:rsidRPr="00E7115B">
        <w:rPr>
          <w:highlight w:val="yellow"/>
        </w:rPr>
        <w:t xml:space="preserve">Out-perform the standard model in all cases here. </w:t>
      </w:r>
    </w:p>
    <w:p w14:paraId="4E0DCC04" w14:textId="2830173A" w:rsidR="000D5DBF" w:rsidRDefault="00992690">
      <w:r w:rsidRPr="00E7115B">
        <w:rPr>
          <w:highlight w:val="yellow"/>
        </w:rPr>
        <w:t xml:space="preserve">Similar to the difference model. </w:t>
      </w:r>
      <w:r w:rsidR="00636713" w:rsidRPr="00E7115B">
        <w:rPr>
          <w:highlight w:val="yellow"/>
        </w:rPr>
        <w:t xml:space="preserve">The survey-wide population trajectories for the </w:t>
      </w:r>
      <w:r w:rsidR="00F57F60" w:rsidRPr="00E7115B">
        <w:rPr>
          <w:highlight w:val="yellow"/>
        </w:rPr>
        <w:t>GAMYE</w:t>
      </w:r>
      <w:r w:rsidR="00636713" w:rsidRPr="00E7115B">
        <w:rPr>
          <w:highlight w:val="yellow"/>
        </w:rPr>
        <w:t xml:space="preserve"> models are very similar to trajectories from the </w:t>
      </w:r>
      <w:r w:rsidR="00FE2F7E" w:rsidRPr="00E7115B">
        <w:rPr>
          <w:highlight w:val="yellow"/>
        </w:rPr>
        <w:t>DIFFERENCE</w:t>
      </w:r>
      <w:r w:rsidR="00636713" w:rsidRPr="00E7115B">
        <w:rPr>
          <w:highlight w:val="yellow"/>
        </w:rPr>
        <w:t xml:space="preserve"> model. Trajectories from the GAM</w:t>
      </w:r>
      <w:r w:rsidR="00FE2F7E" w:rsidRPr="00E7115B">
        <w:rPr>
          <w:highlight w:val="yellow"/>
        </w:rPr>
        <w:t xml:space="preserve">, </w:t>
      </w:r>
      <w:r w:rsidR="00636713" w:rsidRPr="00E7115B">
        <w:rPr>
          <w:highlight w:val="yellow"/>
        </w:rPr>
        <w:t xml:space="preserve">follow the overall pattern of the </w:t>
      </w:r>
      <w:r w:rsidR="00F57F60" w:rsidRPr="00E7115B">
        <w:rPr>
          <w:highlight w:val="yellow"/>
        </w:rPr>
        <w:t>GAMYE</w:t>
      </w:r>
      <w:r w:rsidR="00636713" w:rsidRPr="00E7115B">
        <w:rPr>
          <w:highlight w:val="yellow"/>
        </w:rPr>
        <w:t xml:space="preserve"> and</w:t>
      </w:r>
      <w:r w:rsidR="00FE2F7E" w:rsidRPr="00E7115B">
        <w:rPr>
          <w:highlight w:val="yellow"/>
        </w:rPr>
        <w:t xml:space="preserve"> are generally similar to</w:t>
      </w:r>
      <w:r w:rsidR="00636713" w:rsidRPr="00E7115B">
        <w:rPr>
          <w:highlight w:val="yellow"/>
        </w:rPr>
        <w:t xml:space="preserve"> the </w:t>
      </w:r>
      <w:r w:rsidR="00FE2F7E" w:rsidRPr="00E7115B">
        <w:rPr>
          <w:highlight w:val="yellow"/>
        </w:rPr>
        <w:t>DIFFERENCE</w:t>
      </w:r>
      <w:r w:rsidR="00636713" w:rsidRPr="00E7115B">
        <w:rPr>
          <w:highlight w:val="yellow"/>
        </w:rPr>
        <w:t xml:space="preserve"> model</w:t>
      </w:r>
      <w:r w:rsidR="00BD4EF4" w:rsidRPr="00E7115B">
        <w:rPr>
          <w:highlight w:val="yellow"/>
        </w:rPr>
        <w:t xml:space="preserve">, but </w:t>
      </w:r>
      <w:r w:rsidR="00C42929" w:rsidRPr="00E7115B">
        <w:rPr>
          <w:highlight w:val="yellow"/>
        </w:rPr>
        <w:t>show effectively no</w:t>
      </w:r>
      <w:r w:rsidR="00BD4EF4" w:rsidRPr="00E7115B">
        <w:rPr>
          <w:highlight w:val="yellow"/>
        </w:rPr>
        <w:t xml:space="preserve"> </w:t>
      </w:r>
      <w:r w:rsidR="00636713" w:rsidRPr="00E7115B">
        <w:rPr>
          <w:highlight w:val="yellow"/>
        </w:rPr>
        <w:t xml:space="preserve">annual fluctuations. Trajectories from </w:t>
      </w:r>
      <w:r w:rsidR="00BD4EF4" w:rsidRPr="00E7115B">
        <w:rPr>
          <w:highlight w:val="yellow"/>
        </w:rPr>
        <w:t>all four models are very similar</w:t>
      </w:r>
      <w:r w:rsidR="00636713" w:rsidRPr="00E7115B">
        <w:rPr>
          <w:highlight w:val="yellow"/>
        </w:rPr>
        <w:t xml:space="preserve"> in the </w:t>
      </w:r>
      <w:r w:rsidR="000B4FC7" w:rsidRPr="00E7115B">
        <w:rPr>
          <w:highlight w:val="yellow"/>
        </w:rPr>
        <w:t>latter</w:t>
      </w:r>
      <w:r w:rsidR="003B5CEA" w:rsidRPr="00E7115B">
        <w:rPr>
          <w:highlight w:val="yellow"/>
        </w:rPr>
        <w:t xml:space="preserve"> half</w:t>
      </w:r>
      <w:r w:rsidR="00636713" w:rsidRPr="00E7115B">
        <w:rPr>
          <w:highlight w:val="yellow"/>
        </w:rPr>
        <w:t xml:space="preserve"> of the time-series</w:t>
      </w:r>
      <w:r w:rsidR="00BD4EF4" w:rsidRPr="00E7115B">
        <w:rPr>
          <w:highlight w:val="yellow"/>
        </w:rPr>
        <w:t xml:space="preserve"> when there are more data</w:t>
      </w:r>
      <w:r w:rsidR="00636713" w:rsidRPr="00E7115B">
        <w:rPr>
          <w:highlight w:val="yellow"/>
        </w:rPr>
        <w:t xml:space="preserve">, but less </w:t>
      </w:r>
      <w:r w:rsidR="00BD4EF4" w:rsidRPr="00E7115B">
        <w:rPr>
          <w:highlight w:val="yellow"/>
        </w:rPr>
        <w:t>similar</w:t>
      </w:r>
      <w:r w:rsidR="00636713" w:rsidRPr="00E7115B">
        <w:rPr>
          <w:highlight w:val="yellow"/>
        </w:rPr>
        <w:t xml:space="preserve"> in the earlier portion of the time-series</w:t>
      </w:r>
      <w:r w:rsidR="00BD4EF4" w:rsidRPr="00E7115B">
        <w:rPr>
          <w:highlight w:val="yellow"/>
        </w:rPr>
        <w:t xml:space="preserve"> when there are fewer data (Figure 1 [panel of 4 species plots with continental trajectories])</w:t>
      </w:r>
      <w:r w:rsidR="00636713" w:rsidRPr="00E7115B">
        <w:rPr>
          <w:highlight w:val="yellow"/>
        </w:rPr>
        <w:t>.</w:t>
      </w:r>
      <w:r w:rsidR="00BD4EF4" w:rsidRPr="00E7115B">
        <w:rPr>
          <w:highlight w:val="yellow"/>
        </w:rPr>
        <w:t xml:space="preserve"> The overall cross-validation results suggest that the </w:t>
      </w:r>
      <w:r w:rsidR="00F57F60" w:rsidRPr="00E7115B">
        <w:rPr>
          <w:highlight w:val="yellow"/>
        </w:rPr>
        <w:t>GAMYE</w:t>
      </w:r>
      <w:r w:rsidR="00BD4EF4" w:rsidRPr="00E7115B">
        <w:rPr>
          <w:highlight w:val="yellow"/>
        </w:rPr>
        <w:t xml:space="preserve"> and the </w:t>
      </w:r>
      <w:r w:rsidR="00FE2F7E" w:rsidRPr="00E7115B">
        <w:rPr>
          <w:highlight w:val="yellow"/>
        </w:rPr>
        <w:t>DIFFERENCE</w:t>
      </w:r>
      <w:r w:rsidR="00BD4EF4" w:rsidRPr="00E7115B">
        <w:rPr>
          <w:highlight w:val="yellow"/>
        </w:rPr>
        <w:t xml:space="preserve"> models are comparable in their prediction accuracy, at least for these species, and outperformed both of the other models.</w:t>
      </w:r>
      <w:r w:rsidR="00BD4EF4">
        <w:t xml:space="preserve"> </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1A150A14" w14:textId="6B82506D" w:rsidR="00823D8B" w:rsidRDefault="00823D8B" w:rsidP="00823D8B">
      <w:pPr>
        <w:pStyle w:val="ListParagraph"/>
        <w:numPr>
          <w:ilvl w:val="0"/>
          <w:numId w:val="1"/>
        </w:numPr>
      </w:pPr>
      <w:r>
        <w:t>GAMYE provides all the benefits of the GAM</w:t>
      </w:r>
      <w:r w:rsidR="00EF28B4">
        <w:t>,</w:t>
      </w:r>
      <w:r>
        <w:t xml:space="preserve"> </w:t>
      </w:r>
      <w:r w:rsidR="00EF28B4">
        <w:t>and</w:t>
      </w:r>
      <w:r>
        <w:t xml:space="preserve"> it can provide traject</w:t>
      </w:r>
      <w:r w:rsidR="00EF28B4">
        <w:t xml:space="preserve">ories that show all aspects of </w:t>
      </w:r>
      <w:r>
        <w:t>population change, and trend estimates that are more stable between subsequent years.</w:t>
      </w:r>
    </w:p>
    <w:p w14:paraId="4CE135B3" w14:textId="4E1FDE8C" w:rsidR="00823D8B" w:rsidRDefault="00CD548D" w:rsidP="00823D8B">
      <w:pPr>
        <w:pStyle w:val="ListParagraph"/>
        <w:numPr>
          <w:ilvl w:val="0"/>
          <w:numId w:val="1"/>
        </w:numPr>
      </w:pPr>
      <w:r>
        <w:t xml:space="preserve">The decomposition of the time-series is very useful, </w:t>
      </w:r>
    </w:p>
    <w:p w14:paraId="37A99021" w14:textId="552FC7D2" w:rsidR="00CD548D" w:rsidRDefault="00CD548D" w:rsidP="00CD548D">
      <w:pPr>
        <w:pStyle w:val="ListParagraph"/>
        <w:numPr>
          <w:ilvl w:val="1"/>
          <w:numId w:val="1"/>
        </w:numPr>
      </w:pPr>
      <w:r>
        <w:t>Visualize different aspects of the trajectory</w:t>
      </w:r>
    </w:p>
    <w:p w14:paraId="2511B63B" w14:textId="0654EECF" w:rsidR="00CD548D" w:rsidRDefault="00CD548D" w:rsidP="00CD548D">
      <w:pPr>
        <w:pStyle w:val="ListParagraph"/>
        <w:numPr>
          <w:ilvl w:val="1"/>
          <w:numId w:val="1"/>
        </w:numPr>
      </w:pPr>
      <w:r>
        <w:t>Smoothed trends</w:t>
      </w:r>
    </w:p>
    <w:p w14:paraId="0446F62A" w14:textId="5732E5BD" w:rsidR="00CD548D" w:rsidRDefault="00CD548D" w:rsidP="00CD548D">
      <w:pPr>
        <w:pStyle w:val="ListParagraph"/>
        <w:numPr>
          <w:ilvl w:val="1"/>
          <w:numId w:val="1"/>
        </w:numPr>
      </w:pPr>
      <w:r>
        <w:t>add covariates on different aspects of the trajectory (broad-scale climate cycles on the gam and annual cone irruptions on the year-effects)</w:t>
      </w:r>
    </w:p>
    <w:p w14:paraId="0CC7CC2B" w14:textId="77777777" w:rsidR="00EF28B4" w:rsidRDefault="00AD4586" w:rsidP="00EF28B4">
      <w:pPr>
        <w:pStyle w:val="ListParagraph"/>
        <w:numPr>
          <w:ilvl w:val="0"/>
          <w:numId w:val="1"/>
        </w:numPr>
      </w:pPr>
      <w:r>
        <w:t xml:space="preserve">Using predictive fit to choose a best model is complicated. Variations in fit through time and space suggest that in many cases, predictive fit is an insufficient criterion to choose a model. </w:t>
      </w:r>
    </w:p>
    <w:p w14:paraId="21E223E1" w14:textId="182F7F0F" w:rsidR="00EF28B4" w:rsidRDefault="00EF28B4" w:rsidP="00EF28B4">
      <w:pPr>
        <w:pStyle w:val="ListParagraph"/>
        <w:numPr>
          <w:ilvl w:val="0"/>
          <w:numId w:val="1"/>
        </w:numPr>
      </w:pPr>
      <w:r>
        <w:t>GAMYE is a profoundly useful model. No model is perfect for all questions</w:t>
      </w:r>
      <w:r w:rsidR="00A44E21">
        <w:t xml:space="preserve"> and all parameters, but the GAMYE comes close.</w:t>
      </w:r>
    </w:p>
    <w:p w14:paraId="56A45D6C" w14:textId="399314F5" w:rsidR="00AD4586" w:rsidRDefault="00A44E21" w:rsidP="00AD4586">
      <w:pPr>
        <w:pStyle w:val="ListParagraph"/>
        <w:numPr>
          <w:ilvl w:val="0"/>
          <w:numId w:val="1"/>
        </w:numPr>
      </w:pPr>
      <w:r>
        <w:t xml:space="preserve">All of the code, data, and models are available on GitHub and through the R-package </w:t>
      </w:r>
      <w:proofErr w:type="spellStart"/>
      <w:r>
        <w:t>bbsBayes</w:t>
      </w:r>
      <w:proofErr w:type="spellEnd"/>
      <w:r>
        <w:t xml:space="preserve">. </w:t>
      </w:r>
    </w:p>
    <w:p w14:paraId="75204E4B" w14:textId="77777777" w:rsidR="00823D8B" w:rsidRDefault="00823D8B"/>
    <w:p w14:paraId="01EB6F65" w14:textId="77777777" w:rsidR="00EE1119" w:rsidRDefault="00344307">
      <w:commentRangeStart w:id="2"/>
      <w:r>
        <w:t xml:space="preserve">Using </w:t>
      </w:r>
      <w:commentRangeEnd w:id="2"/>
      <w:r w:rsidR="000B0EE0">
        <w:rPr>
          <w:rStyle w:val="CommentReference"/>
        </w:rPr>
        <w:commentReference w:id="2"/>
      </w:r>
      <w:r>
        <w:t>semi-parametric GAM smooths</w:t>
      </w:r>
      <w:r w:rsidR="00D54D99">
        <w:t xml:space="preserve"> in a hierarchical Bayesian framework,</w:t>
      </w:r>
      <w:r w:rsidR="00E7115B">
        <w:t xml:space="preserve"> to model time series of population abundance with the North American Breeding Bird Survey </w:t>
      </w:r>
      <w:r w:rsidR="00D54D99">
        <w:t>generates</w:t>
      </w:r>
      <w:r w:rsidR="008963EF">
        <w:t xml:space="preserve"> useful estimates of population trajectories and trends with comparable</w:t>
      </w:r>
      <w:r w:rsidR="00E7115B">
        <w:t xml:space="preserve"> or better</w:t>
      </w:r>
      <w:r w:rsidR="008963EF">
        <w:t xml:space="preserve"> out of sample predictive accuracy as other models.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proofErr w:type="spellStart"/>
      <w:r w:rsidR="006D5680">
        <w:t>Fewster</w:t>
      </w:r>
      <w:proofErr w:type="spellEnd"/>
      <w:r w:rsidR="006D5680">
        <w:t xml:space="preserve">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 all species included here, the two GAM-based models clearly out-performed the standard model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(Sauer and Link 2019). </w:t>
      </w:r>
    </w:p>
    <w:p w14:paraId="063B08E0" w14:textId="324FA8CB" w:rsidR="00136B3C" w:rsidRDefault="00F5720B" w:rsidP="00EE1119">
      <w:r>
        <w:t xml:space="preserve">The decomposition of the </w:t>
      </w:r>
      <w:r w:rsidR="00EE1119">
        <w:t>estimated population trajectory into</w:t>
      </w:r>
      <w:r>
        <w:t xml:space="preserve"> the smooth and year-effect components is a unique feature </w:t>
      </w:r>
      <w:r w:rsidR="00D54D99">
        <w:t xml:space="preserve">of </w:t>
      </w:r>
      <w:r w:rsidR="00EE1119">
        <w:t>the GAMYE. It allows the user to estimate and visualize separate trends and trajectories that include or exclude the annual fluctuations</w:t>
      </w:r>
      <w:r w:rsidR="00801D2E">
        <w:t xml:space="preserve"> (</w:t>
      </w:r>
      <w:proofErr w:type="spellStart"/>
      <w:r w:rsidR="00801D2E">
        <w:t>Knape</w:t>
      </w:r>
      <w:proofErr w:type="spellEnd"/>
      <w:r w:rsidR="00801D2E">
        <w:t xml:space="preserve"> 2016</w:t>
      </w:r>
      <w:r w:rsidR="00801D2E">
        <w:t>)</w:t>
      </w:r>
      <w:r w:rsidR="00EE1119">
        <w:t>. This is</w:t>
      </w:r>
      <w:r>
        <w:t xml:space="preserve"> </w:t>
      </w:r>
      <w:r w:rsidR="00EE1119">
        <w:t xml:space="preserve">allows the estimates to suit a range of </w:t>
      </w:r>
      <w:r>
        <w:t xml:space="preserve">conservation and management applications that rely </w:t>
      </w:r>
      <w:r w:rsidR="00396953">
        <w:t>on</w:t>
      </w:r>
      <w:r w:rsidR="00396953">
        <w:t xml:space="preserve"> visualizing and estimating </w:t>
      </w:r>
      <w:r w:rsidR="00EE1119">
        <w:t>multiple</w:t>
      </w:r>
      <w:r w:rsidR="00396953">
        <w:t xml:space="preserve"> aspects of population change</w:t>
      </w:r>
      <w:r w:rsidR="00EE1119">
        <w:t>. For example, t</w:t>
      </w:r>
      <w:r w:rsidR="002646A6">
        <w:t xml:space="preserve">he smoothed population trajectories capture the medium- 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can be used to ide</w:t>
      </w:r>
      <w:r w:rsidR="00DD1696">
        <w:t xml:space="preserve">ntify change points in trends such as </w:t>
      </w:r>
      <w:r w:rsidR="00183D7A">
        <w:t>the recovery of</w:t>
      </w:r>
      <w:r w:rsidR="00DD1696">
        <w:t xml:space="preserve"> Species at Risk (). </w:t>
      </w:r>
      <w:r w:rsidR="00183D7A">
        <w:t xml:space="preserve">However, trend estimates derived this way are also </w:t>
      </w:r>
      <w:r w:rsidR="002646A6">
        <w:t>much l</w:t>
      </w:r>
      <w:r w:rsidR="00801D2E">
        <w:t xml:space="preserve">ess likely to fluctuate up and down from year to year. </w:t>
      </w:r>
      <w:r w:rsidR="00801D2E">
        <w:lastRenderedPageBreak/>
        <w:t>P</w:t>
      </w:r>
      <w:r w:rsidR="00801D2E">
        <w:t>opulation declines beyond a particular threshold</w:t>
      </w:r>
      <w:r w:rsidR="00801D2E">
        <w:t xml:space="preserve"> rate (e.g., &gt; 30% decline over three generations) can</w:t>
      </w:r>
      <w:r w:rsidR="00801D2E">
        <w:t xml:space="preserve"> trigger large investments of resources related to policy and conservation actions</w:t>
      </w:r>
      <w:r w:rsidR="00801D2E">
        <w:t xml:space="preserve"> in</w:t>
      </w:r>
      <w:r w:rsidR="00801D2E">
        <w:t xml:space="preserve"> both the IUCN red-listing and COSEWIC species at risk </w:t>
      </w:r>
      <w:proofErr w:type="spellStart"/>
      <w:r w:rsidR="00801D2E">
        <w:t>assesments</w:t>
      </w:r>
      <w:proofErr w:type="spellEnd"/>
      <w:r w:rsidR="00801D2E">
        <w:t xml:space="preserve"> (). I</w:t>
      </w:r>
      <w:r w:rsidR="00801D2E">
        <w:t>f the</w:t>
      </w:r>
      <w:r w:rsidR="00801D2E">
        <w:t xml:space="preserve"> estimated</w:t>
      </w:r>
      <w:r w:rsidR="00801D2E">
        <w:t xml:space="preserve"> rate of population decline is strongly dependent on the particular year in which a species </w:t>
      </w:r>
      <w:proofErr w:type="gramStart"/>
      <w:r w:rsidR="00801D2E">
        <w:t>is assessed</w:t>
      </w:r>
      <w:proofErr w:type="gramEnd"/>
      <w:r w:rsidR="00801D2E">
        <w:t>,</w:t>
      </w:r>
      <w:r w:rsidR="00801D2E">
        <w:t xml:space="preserve"> there is an increased risk of </w:t>
      </w:r>
      <w:r w:rsidR="00801D2E">
        <w:t xml:space="preserve">inaccurate assessments leading to failures to protect species or </w:t>
      </w:r>
      <w:r w:rsidR="00801D2E">
        <w:t xml:space="preserve">inefficient investments of </w:t>
      </w:r>
      <w:r w:rsidR="00801D2E">
        <w:t>conservation</w:t>
      </w:r>
      <w:r w:rsidR="00801D2E">
        <w:t xml:space="preserve"> resources.   </w:t>
      </w:r>
      <w:r w:rsidR="00C75D00">
        <w:t xml:space="preserve">Of course, the </w:t>
      </w:r>
      <w:r w:rsidR="00C75D00">
        <w:t>full</w:t>
      </w:r>
      <w:r w:rsidR="00C75D00">
        <w:t xml:space="preserve"> assessment</w:t>
      </w:r>
      <w:r w:rsidR="00C75D00">
        <w:t>s of species’ status are</w:t>
      </w:r>
      <w:r w:rsidR="00C75D00">
        <w:t xml:space="preserve"> complex and sophisticated process</w:t>
      </w:r>
      <w:r w:rsidR="00C75D00">
        <w:t>es</w:t>
      </w:r>
      <w:r w:rsidR="00C75D00">
        <w:t xml:space="preserve"> that consider far more than just a single trend estimate</w:t>
      </w:r>
      <w:r w:rsidR="00C75D00">
        <w:t xml:space="preserve"> (). However, t</w:t>
      </w:r>
      <w:r w:rsidR="00183D7A">
        <w:t xml:space="preserve">he example in Figure X, raises the question of whether Wood Thrush would have </w:t>
      </w:r>
      <w:bookmarkStart w:id="3" w:name="_GoBack"/>
      <w:bookmarkEnd w:id="3"/>
      <w:r w:rsidR="00183D7A">
        <w:t xml:space="preserve">been assessed as “Threatened” in Canada if </w:t>
      </w:r>
      <w:r w:rsidR="00136B3C">
        <w:t>the relevant trend had been estimated in 2010 or 2012, instead of 2011 (WOTH assessment)</w:t>
      </w:r>
      <w:r w:rsidR="00183D7A">
        <w:t>.</w:t>
      </w:r>
    </w:p>
    <w:p w14:paraId="48A59736" w14:textId="4CB8E48C" w:rsidR="00A72AC4" w:rsidRDefault="00136B3C" w:rsidP="00EE1119">
      <w:r>
        <w:t>In some situations, the annual fluctuations are a vital component of a conservation or ecological use of the BBS estimates</w:t>
      </w:r>
      <w:r w:rsidR="00551C4C">
        <w:t xml:space="preserve">, and in those situations the trajectory that includes both components from the GAMYE is likely most useful. Including both components provides the most comprehensive estimate of a species’ population trajectory. At a glance, managers, conservation professionals, and researchers can glean information about fluctuations that might relate to annual covariates such as precipitation, wintering ground conditions, or cone-crop cycles. Similarly, the ability for a user to gain an initial separation of the yearly fluctuations from the underlying </w:t>
      </w:r>
      <w:proofErr w:type="gramStart"/>
      <w:r w:rsidR="00551C4C">
        <w:t>smooth,</w:t>
      </w:r>
      <w:proofErr w:type="gramEnd"/>
      <w:r w:rsidR="00551C4C">
        <w:t xml:space="preserve"> could be helpful in the initial expl</w:t>
      </w:r>
      <w:r w:rsidR="007B55F4">
        <w:t xml:space="preserve">oration of correlations with relevant covariates. The GAMYE structure allows an agency like the CWS to provide estimates in multiple versions, but drawn from a coherent model, to suit a wide range of conservation applications, and to produce them in an efficient way. </w:t>
      </w:r>
      <w:proofErr w:type="gramStart"/>
      <w:r w:rsidR="007B55F4">
        <w:t xml:space="preserve">In addition, the GAMYE structure and the accessible nature of the models in the </w:t>
      </w:r>
      <w:proofErr w:type="spellStart"/>
      <w:r w:rsidR="007B55F4">
        <w:t>bbsBayes</w:t>
      </w:r>
      <w:proofErr w:type="spellEnd"/>
      <w:r w:rsidR="007B55F4">
        <w:t xml:space="preserve"> R-package, make it relatively easy for a researcher </w:t>
      </w:r>
      <w:r w:rsidR="00801D2E">
        <w:t xml:space="preserve">familiar with Bayesian analysis, </w:t>
      </w:r>
      <w:r w:rsidR="007B55F4">
        <w:t>to conduct a custom analysis of the BBS data</w:t>
      </w:r>
      <w:r w:rsidR="00801D2E">
        <w:t>,</w:t>
      </w:r>
      <w:r w:rsidR="007B55F4">
        <w:t xml:space="preserve"> simultaneously model</w:t>
      </w:r>
      <w:r w:rsidR="00801D2E">
        <w:t>ing</w:t>
      </w:r>
      <w:r w:rsidR="007B55F4">
        <w:t xml:space="preserve"> the effect of annual covariates</w:t>
      </w:r>
      <w:r w:rsidR="00801D2E">
        <w:t xml:space="preserve"> (e.g., spruce cone </w:t>
      </w:r>
      <w:proofErr w:type="spellStart"/>
      <w:r w:rsidR="00801D2E">
        <w:t>cycels</w:t>
      </w:r>
      <w:proofErr w:type="spellEnd"/>
      <w:r w:rsidR="00801D2E">
        <w:t>)</w:t>
      </w:r>
      <w:r w:rsidR="007B55F4">
        <w:t xml:space="preserve"> on the yearly fluctuations and other covariates (e.g., climate cycles) on the smooth component.</w:t>
      </w:r>
      <w:proofErr w:type="gramEnd"/>
      <w:r w:rsidR="007B55F4">
        <w:t xml:space="preserve"> </w:t>
      </w:r>
      <w:r w:rsidR="00551C4C">
        <w:t xml:space="preserve"> </w:t>
      </w:r>
    </w:p>
    <w:p w14:paraId="66A56FE9" w14:textId="3BB644FC" w:rsidR="001D1ACF" w:rsidRDefault="001D1ACF">
      <w:r>
        <w:t xml:space="preserve">Predictive accuracy varies in space and time. </w:t>
      </w:r>
    </w:p>
    <w:p w14:paraId="46A82492" w14:textId="77777777" w:rsidR="00A11FA6" w:rsidRDefault="00A11FA6"/>
    <w:p w14:paraId="53A63DE0" w14:textId="636F79FF" w:rsidR="00F7061E" w:rsidRDefault="00F7061E">
      <w:r>
        <w:t>Overall, the BPIC comparisons clearly support the GAMYE, GAM, or DIFFERENCE model over the SLOPE model for Barn Swallow. This stron</w:t>
      </w:r>
      <w:r w:rsidR="000F19A2">
        <w:t xml:space="preserve">gly suggests that this species has been in relatively steep decline since the early 1980s, but that in the period of time between the start of the BBS (1966) and approximately 1983 (Smith et al. 2015), Barn Swallow continental populations increased. </w:t>
      </w:r>
    </w:p>
    <w:p w14:paraId="62D6C0C8" w14:textId="63AEAED2" w:rsidR="006E5531" w:rsidRDefault="006E5531">
      <w:r>
        <w:t>These temporal patterns in predictive fit complicate the selection of the better of these two models based on BPIC, particularly if one were, hypothetically, attempting to choose a model to estimate a trend from 1966 to 1980, given that one model is preferred at the start of the trend and another is preferred at the end.</w:t>
      </w:r>
    </w:p>
    <w:p w14:paraId="77D3B2A3" w14:textId="795F36F6" w:rsidR="001D495F" w:rsidRDefault="001D1ACF">
      <w:r>
        <w:t xml:space="preserve">Predictive accuracy is not the only consideration, given that even among models with comparable </w:t>
      </w:r>
      <w:proofErr w:type="gramStart"/>
      <w:r>
        <w:t>BPIC,</w:t>
      </w:r>
      <w:proofErr w:type="gramEnd"/>
      <w:r>
        <w:t xml:space="preserve"> estimates of trend and trajectory were different in ways with implications for conservation.</w:t>
      </w:r>
    </w:p>
    <w:p w14:paraId="260031D4" w14:textId="2A8327EF" w:rsidR="00326B8A" w:rsidRDefault="002825D9">
      <w:r>
        <w:t xml:space="preserve">The model </w:t>
      </w:r>
      <w:proofErr w:type="gramStart"/>
      <w:r>
        <w:t>can be accessed</w:t>
      </w:r>
      <w:proofErr w:type="gramEnd"/>
    </w:p>
    <w:p w14:paraId="0319A954" w14:textId="77777777" w:rsidR="002825D9" w:rsidRDefault="002825D9">
      <w:pPr>
        <w:rPr>
          <w:color w:val="000000"/>
        </w:rPr>
      </w:pPr>
      <w:r>
        <w:rPr>
          <w:color w:val="000000"/>
        </w:rPr>
        <w:lastRenderedPageBreak/>
        <w:br w:type="page"/>
      </w:r>
    </w:p>
    <w:p w14:paraId="22A36BCB" w14:textId="049FD777" w:rsidR="00951E0B" w:rsidRDefault="00951E0B">
      <w:r>
        <w:lastRenderedPageBreak/>
        <w:t>References cited:</w:t>
      </w:r>
    </w:p>
    <w:p w14:paraId="499C63B0" w14:textId="3DDFFDED" w:rsidR="00317C34" w:rsidRDefault="00317C34" w:rsidP="00317C34">
      <w:pPr>
        <w:rPr>
          <w:rStyle w:val="self-citation-authors"/>
        </w:rPr>
      </w:pPr>
      <w:proofErr w:type="spellStart"/>
      <w:r w:rsidRPr="00317C34">
        <w:rPr>
          <w:rStyle w:val="self-citation-authors"/>
        </w:rPr>
        <w:t>Crainiceanu</w:t>
      </w:r>
      <w:proofErr w:type="spellEnd"/>
      <w:r w:rsidRPr="00317C34">
        <w:rPr>
          <w:rStyle w:val="self-citation-authors"/>
        </w:rPr>
        <w:t xml:space="preserve"> CM, </w:t>
      </w:r>
      <w:proofErr w:type="spellStart"/>
      <w:r w:rsidRPr="00317C34">
        <w:rPr>
          <w:rStyle w:val="self-citation-authors"/>
        </w:rPr>
        <w:t>Ruppert</w:t>
      </w:r>
      <w:proofErr w:type="spellEnd"/>
      <w:r w:rsidRPr="00317C34">
        <w:rPr>
          <w:rStyle w:val="self-citation-authors"/>
        </w:rPr>
        <w:t xml:space="preserve"> D, Wand MP (2005).  “Bayesian Analysis for Penalized Spline Re-</w:t>
      </w:r>
      <w:proofErr w:type="spellStart"/>
      <w:r w:rsidRPr="00317C34">
        <w:rPr>
          <w:rStyle w:val="self-citation-authors"/>
        </w:rPr>
        <w:t>gression</w:t>
      </w:r>
      <w:proofErr w:type="spellEnd"/>
      <w:r w:rsidRPr="00317C34">
        <w:rPr>
          <w:rStyle w:val="self-citation-authors"/>
        </w:rPr>
        <w:t xml:space="preserve"> Using </w:t>
      </w:r>
      <w:proofErr w:type="spellStart"/>
      <w:r w:rsidRPr="00317C34">
        <w:rPr>
          <w:rStyle w:val="self-citation-authors"/>
        </w:rPr>
        <w:t>WinBUGS</w:t>
      </w:r>
      <w:proofErr w:type="spellEnd"/>
      <w:r w:rsidRPr="00317C34">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3F2F44A" w14:textId="2038890B" w:rsidR="008A5A2D" w:rsidRPr="008A5A2D" w:rsidRDefault="003F00A9" w:rsidP="003F00A9">
      <w:pPr>
        <w:rPr>
          <w:rStyle w:val="self-citation-authors"/>
        </w:rPr>
      </w:pPr>
      <w:proofErr w:type="spellStart"/>
      <w:r w:rsidRPr="003F00A9">
        <w:rPr>
          <w:rStyle w:val="self-citation-authors"/>
        </w:rPr>
        <w:t>Fewster</w:t>
      </w:r>
      <w:proofErr w:type="spellEnd"/>
      <w:r w:rsidRPr="003F00A9">
        <w:rPr>
          <w:rStyle w:val="self-citation-authors"/>
        </w:rPr>
        <w:t xml:space="preserve">, R. M., S. </w:t>
      </w:r>
      <w:proofErr w:type="spellStart"/>
      <w:r w:rsidRPr="003F00A9">
        <w:rPr>
          <w:rStyle w:val="self-citation-authors"/>
        </w:rPr>
        <w:t>T.Buckland</w:t>
      </w:r>
      <w:proofErr w:type="spellEnd"/>
      <w:r w:rsidRPr="003F00A9">
        <w:rPr>
          <w:rStyle w:val="self-citation-authors"/>
        </w:rPr>
        <w:t xml:space="preserve">, G. </w:t>
      </w:r>
      <w:proofErr w:type="spellStart"/>
      <w:r w:rsidRPr="003F00A9">
        <w:rPr>
          <w:rStyle w:val="self-citation-authors"/>
        </w:rPr>
        <w:t>M.Siriwardena</w:t>
      </w:r>
      <w:proofErr w:type="spellEnd"/>
      <w:r w:rsidRPr="003F00A9">
        <w:rPr>
          <w:rStyle w:val="self-citation-authors"/>
        </w:rPr>
        <w:t xml:space="preserve">, S. </w:t>
      </w:r>
      <w:proofErr w:type="spellStart"/>
      <w:r w:rsidRPr="003F00A9">
        <w:rPr>
          <w:rStyle w:val="self-citation-authors"/>
        </w:rPr>
        <w:t>R.Baillie</w:t>
      </w:r>
      <w:proofErr w:type="spellEnd"/>
      <w:r w:rsidRPr="003F00A9">
        <w:rPr>
          <w:rStyle w:val="self-citation-authors"/>
        </w:rPr>
        <w:t xml:space="preserve">, and J. </w:t>
      </w:r>
      <w:proofErr w:type="spellStart"/>
      <w:r w:rsidRPr="003F00A9">
        <w:rPr>
          <w:rStyle w:val="self-citation-authors"/>
        </w:rPr>
        <w:t>D.Wilson</w:t>
      </w:r>
      <w:proofErr w:type="spellEnd"/>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p>
    <w:p w14:paraId="551D4536" w14:textId="0A9282AB"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29" w:history="1">
        <w:r w:rsidRPr="009A4418">
          <w:rPr>
            <w:rStyle w:val="Hyperlink"/>
          </w:rPr>
          <w:t>https://CRAN.R-project.org/package=foreach</w:t>
        </w:r>
      </w:hyperlink>
    </w:p>
    <w:p w14:paraId="43ADFA5C" w14:textId="4CE7AF29"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726B1479" w14:textId="0A8333F7" w:rsidR="00951E0B" w:rsidRDefault="00951E0B" w:rsidP="00317C34">
      <w:r>
        <w:rPr>
          <w:rStyle w:val="self-citation-authors"/>
        </w:rPr>
        <w:t>Pedersen EJ, Miller DL, Simpson GL, Ross N.</w:t>
      </w:r>
      <w:r>
        <w:t xml:space="preserve"> </w:t>
      </w:r>
      <w:r>
        <w:rPr>
          <w:rStyle w:val="self-citation-year"/>
        </w:rPr>
        <w:t>2018</w:t>
      </w:r>
      <w:r>
        <w:t xml:space="preserve">. </w:t>
      </w:r>
      <w:r>
        <w:rPr>
          <w:rStyle w:val="self-citation-title"/>
        </w:rPr>
        <w:t xml:space="preserve">Hierarchical generalized additive models: an introduction with </w:t>
      </w:r>
      <w:proofErr w:type="spellStart"/>
      <w:r>
        <w:rPr>
          <w:rStyle w:val="self-citation-title"/>
        </w:rPr>
        <w:t>mgcv</w:t>
      </w:r>
      <w:proofErr w:type="spellEnd"/>
      <w:r>
        <w:t xml:space="preserve">. </w:t>
      </w:r>
      <w:proofErr w:type="spellStart"/>
      <w:r>
        <w:rPr>
          <w:rStyle w:val="self-citation-journal"/>
        </w:rPr>
        <w:t>PeerJ</w:t>
      </w:r>
      <w:proofErr w:type="spellEnd"/>
      <w:r>
        <w:rPr>
          <w:rStyle w:val="self-citation-journal"/>
        </w:rPr>
        <w:t xml:space="preserve"> Preprints</w:t>
      </w:r>
      <w:r>
        <w:t xml:space="preserve"> </w:t>
      </w:r>
      <w:r>
        <w:rPr>
          <w:rStyle w:val="self-citation-volume"/>
        </w:rPr>
        <w:t>6</w:t>
      </w:r>
      <w:r>
        <w:t>:</w:t>
      </w:r>
      <w:r>
        <w:rPr>
          <w:rStyle w:val="self-citation-elocation"/>
        </w:rPr>
        <w:t>e27320v1</w:t>
      </w:r>
      <w:r>
        <w:t xml:space="preserve"> </w:t>
      </w:r>
      <w:hyperlink r:id="rId30" w:history="1">
        <w:r>
          <w:rPr>
            <w:rStyle w:val="Hyperlink"/>
          </w:rPr>
          <w:t>https://doi.org/10.7287/peerj.preprints.27320v1</w:t>
        </w:r>
      </w:hyperlink>
    </w:p>
    <w:p w14:paraId="4FFE617D" w14:textId="1578DDB0"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r w:rsidR="006117E7">
        <w:fldChar w:fldCharType="begin"/>
      </w:r>
      <w:r w:rsidR="006117E7">
        <w:instrText xml:space="preserve"> HYPERLINK "https://www.R-project.org/" </w:instrText>
      </w:r>
      <w:r w:rsidR="006117E7">
        <w:fldChar w:fldCharType="separate"/>
      </w:r>
      <w:r w:rsidRPr="009A4418">
        <w:rPr>
          <w:rStyle w:val="Hyperlink"/>
        </w:rPr>
        <w:t>https://www.R-project.org/</w:t>
      </w:r>
      <w:r w:rsidR="006117E7">
        <w:rPr>
          <w:rStyle w:val="Hyperlink"/>
        </w:rPr>
        <w:fldChar w:fldCharType="end"/>
      </w:r>
      <w:r>
        <w:t>.</w:t>
      </w:r>
    </w:p>
    <w:p w14:paraId="10FD5BF9" w14:textId="46915FB5"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521176D3" w14:textId="1A9EC4E5" w:rsidR="00D3609B" w:rsidRDefault="00D3609B" w:rsidP="00D3609B">
      <w:r>
        <w:t>H. Wickham. ggplot2: Elegant Graphics for Data Analysis. Springer-</w:t>
      </w:r>
      <w:proofErr w:type="spellStart"/>
      <w:r>
        <w:t>Verlag</w:t>
      </w:r>
      <w:proofErr w:type="spellEnd"/>
      <w:r>
        <w:t xml:space="preserve"> New York, 2016.</w:t>
      </w:r>
    </w:p>
    <w:p w14:paraId="57F4534E" w14:textId="7F8AD270" w:rsidR="000B0EE0" w:rsidRDefault="00A056D5" w:rsidP="00D3609B">
      <w:r>
        <w:t xml:space="preserve">Wood, S. N. Generalized additive models: an introduction with R; </w:t>
      </w:r>
      <w:proofErr w:type="gramStart"/>
      <w:r>
        <w:t>2</w:t>
      </w:r>
      <w:r w:rsidRPr="00A056D5">
        <w:rPr>
          <w:vertAlign w:val="superscript"/>
        </w:rPr>
        <w:t>nd</w:t>
      </w:r>
      <w:proofErr w:type="gramEnd"/>
      <w:r>
        <w:t xml:space="preserve"> ed. CRC Press. Portland, OR, 2017</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071CA094" w:rsidR="00855AFF" w:rsidRDefault="00855AFF">
      <w:r>
        <w:lastRenderedPageBreak/>
        <w:t>Figures</w:t>
      </w:r>
    </w:p>
    <w:p w14:paraId="70490EF3" w14:textId="77777777" w:rsidR="00D844BB" w:rsidRDefault="00D844BB"/>
    <w:p w14:paraId="6FC907CC" w14:textId="27D8BF5E" w:rsidR="00855AFF" w:rsidRDefault="00855AFF">
      <w:pPr>
        <w:rPr>
          <w:rStyle w:val="lrzxr"/>
        </w:rPr>
      </w:pPr>
      <w:r>
        <w:t>Figure 1. Survey-wide population trajectories for Barn Swallow (</w:t>
      </w:r>
      <w:proofErr w:type="spellStart"/>
      <w:r>
        <w:rPr>
          <w:rStyle w:val="lrzxr"/>
        </w:rPr>
        <w:t>Hirundo</w:t>
      </w:r>
      <w:proofErr w:type="spellEnd"/>
      <w:r>
        <w:rPr>
          <w:rStyle w:val="lrzxr"/>
        </w:rPr>
        <w:t xml:space="preserve"> </w:t>
      </w:r>
      <w:proofErr w:type="spellStart"/>
      <w:r>
        <w:rPr>
          <w:rStyle w:val="lrzxr"/>
        </w:rPr>
        <w:t>rustica</w:t>
      </w:r>
      <w:proofErr w:type="spellEnd"/>
      <w:r w:rsidR="0032218E">
        <w:rPr>
          <w:rStyle w:val="lrzxr"/>
        </w:rPr>
        <w:t>) estimated from the BBS</w:t>
      </w:r>
      <w:r>
        <w:rPr>
          <w:rStyle w:val="lrzxr"/>
        </w:rPr>
        <w:t xml:space="preserve"> using two models described here that include a GAM smoothing function to model </w:t>
      </w:r>
      <w:proofErr w:type="spellStart"/>
      <w:r>
        <w:rPr>
          <w:rStyle w:val="lrzxr"/>
        </w:rPr>
        <w:t>change over</w:t>
      </w:r>
      <w:proofErr w:type="spellEnd"/>
      <w:r>
        <w:rPr>
          <w:rStyle w:val="lrzxr"/>
        </w:rPr>
        <w:t xml:space="preserve">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14F00912" w14:textId="5798B55B" w:rsidR="006D4865" w:rsidRDefault="006D4865">
      <w:pPr>
        <w:rPr>
          <w:rStyle w:val="lrzxr"/>
        </w:rPr>
      </w:pPr>
    </w:p>
    <w:p w14:paraId="18723848" w14:textId="262C4D04" w:rsidR="006D4865" w:rsidRDefault="006D4865">
      <w:pPr>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2BB06E65" w14:textId="2A87DE87" w:rsidR="00EE2295" w:rsidRDefault="00EE2295">
      <w:pPr>
        <w:rPr>
          <w:rStyle w:val="lrzxr"/>
        </w:rPr>
      </w:pPr>
    </w:p>
    <w:p w14:paraId="62F33DF0" w14:textId="3C21AD69" w:rsidR="008830F7" w:rsidRDefault="00EE2295">
      <w:pPr>
        <w:rPr>
          <w:rStyle w:val="lrzxr"/>
        </w:rPr>
      </w:pPr>
      <w:r>
        <w:rPr>
          <w:rStyle w:val="lrzxr"/>
        </w:rPr>
        <w:t xml:space="preserve">Figure 3. Stratum-level predictions for Barn Swallow population trajectories from GAM and </w:t>
      </w:r>
      <w:proofErr w:type="gramStart"/>
      <w:r>
        <w:rPr>
          <w:rStyle w:val="lrzxr"/>
        </w:rPr>
        <w:t>GAMYE</w:t>
      </w:r>
      <w:r w:rsidR="0035395B">
        <w:rPr>
          <w:rStyle w:val="lrzxr"/>
        </w:rPr>
        <w:t>,</w:t>
      </w:r>
      <w:proofErr w:type="gramEnd"/>
      <w:r w:rsidR="0035395B">
        <w:rPr>
          <w:rStyle w:val="lrzxr"/>
        </w:rPr>
        <w:t xml:space="preserve"> tend to follow the observed mean counts reasonably well, but less so in the early years when there were fewer routes each year. (</w:t>
      </w:r>
      <w:proofErr w:type="gramStart"/>
      <w:r w:rsidR="0035395B">
        <w:rPr>
          <w:rStyle w:val="lrzxr"/>
        </w:rPr>
        <w:t>selection</w:t>
      </w:r>
      <w:proofErr w:type="gramEnd"/>
      <w:r w:rsidR="0035395B">
        <w:rPr>
          <w:rStyle w:val="lrzxr"/>
        </w:rPr>
        <w:t xml:space="preserve"> of stratum-level plots with GAM and GAMYE predictions, with the slope model in the background, and the stacked dots along the x-axis indicating the number of routes)</w:t>
      </w:r>
    </w:p>
    <w:p w14:paraId="51399DCB" w14:textId="53EC7691" w:rsidR="004A3023" w:rsidRDefault="004A3023" w:rsidP="004A3023">
      <w:pPr>
        <w:rPr>
          <w:rStyle w:val="lrzxr"/>
        </w:rPr>
      </w:pPr>
      <w:r>
        <w:rPr>
          <w:rStyle w:val="lrzxr"/>
        </w:rPr>
        <w:t>Figure 4. Overall differences in</w:t>
      </w:r>
      <w:r w:rsidRPr="004A3023">
        <w:rPr>
          <w:rStyle w:val="lrzxr"/>
        </w:rPr>
        <w:t xml:space="preserve"> </w:t>
      </w:r>
      <w:r>
        <w:rPr>
          <w:rStyle w:val="lrzxr"/>
        </w:rPr>
        <w:t xml:space="preserve">predictive fit between the GAMYE and GAM for Barn Swallow and XXX other arbitrarily selected species.  </w:t>
      </w:r>
    </w:p>
    <w:p w14:paraId="2A3B74EC" w14:textId="70211EF6" w:rsidR="008830F7" w:rsidRDefault="008830F7">
      <w:pPr>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urvey-wide population trajectory for Barn Swallow from the GAMYE, showing the full trajectory</w:t>
      </w:r>
      <w:r w:rsidR="00EF28B4">
        <w:rPr>
          <w:rStyle w:val="lrzxr"/>
        </w:rPr>
        <w:t xml:space="preserv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m:oMath>
        <m:sSub>
          <m:sSubPr>
            <m:ctrlPr>
              <w:rPr>
                <w:rFonts w:ascii="Cambria Math" w:hAnsi="Cambria Math"/>
              </w:rPr>
            </m:ctrlPr>
          </m:sSubPr>
          <m:e>
            <m:r>
              <w:rPr>
                <w:rFonts w:ascii="Cambria Math" w:hAnsi="Cambria Math"/>
              </w:rPr>
              <m:t>Ns</m:t>
            </m:r>
          </m:e>
          <m:sub>
            <m:r>
              <w:rPr>
                <w:rFonts w:ascii="Cambria Math" w:hAnsi="Cambria Math"/>
              </w:rPr>
              <m:t>i,t</m:t>
            </m:r>
          </m:sub>
        </m:sSub>
      </m:oMath>
      <w:r w:rsidR="00EF28B4">
        <w:rPr>
          <w:rStyle w:val="lrzxr"/>
        </w:rPr>
        <w:t>)</w:t>
      </w:r>
      <w:r>
        <w:rPr>
          <w:rStyle w:val="lrzxr"/>
        </w:rPr>
        <w:t xml:space="preserve"> that can be used to estimate population trends that are less sensitive to the particular year in which they are estimated.</w:t>
      </w:r>
    </w:p>
    <w:p w14:paraId="255E7067" w14:textId="297CF7E1" w:rsidR="00A87415" w:rsidRDefault="00A87415">
      <w:pPr>
        <w:rPr>
          <w:rStyle w:val="lrzxr"/>
        </w:rPr>
      </w:pPr>
      <w:r>
        <w:rPr>
          <w:rStyle w:val="lrzxr"/>
        </w:rPr>
        <w:t xml:space="preserve">Figure </w:t>
      </w:r>
      <w:r w:rsidR="004A3023">
        <w:rPr>
          <w:rStyle w:val="lrzxr"/>
        </w:rPr>
        <w:t>6</w:t>
      </w:r>
      <w:r>
        <w:rPr>
          <w:rStyle w:val="lrzxr"/>
        </w:rPr>
        <w:t>. Sequential, short-term trend estimates for Wood Thrush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3A9F050B" w14:textId="7ECB2C73" w:rsidR="008830F7" w:rsidRDefault="00777969">
      <w:pPr>
        <w:rPr>
          <w:rStyle w:val="lrzxr"/>
        </w:rPr>
      </w:pPr>
      <w:r>
        <w:rPr>
          <w:rStyle w:val="lrzxr"/>
        </w:rPr>
        <w:t xml:space="preserve">Figure </w:t>
      </w:r>
      <w:r w:rsidR="004A3023">
        <w:rPr>
          <w:rStyle w:val="lrzxr"/>
        </w:rPr>
        <w:t>7</w:t>
      </w:r>
      <w:r>
        <w:rPr>
          <w:rStyle w:val="lrzxr"/>
        </w:rPr>
        <w:t xml:space="preserve">. Predicted population trajectories from four models applied to the Barn Swallow data from the BBS. </w:t>
      </w:r>
    </w:p>
    <w:p w14:paraId="726CFC58" w14:textId="5A19A804" w:rsidR="00777969" w:rsidRDefault="00777969">
      <w:pPr>
        <w:rPr>
          <w:rStyle w:val="lrzxr"/>
        </w:rPr>
      </w:pPr>
    </w:p>
    <w:p w14:paraId="254F7899" w14:textId="203B196F" w:rsidR="00777969" w:rsidRDefault="00777969">
      <w:pPr>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p>
    <w:p w14:paraId="30C5A8C6" w14:textId="2889A345" w:rsidR="004A3023" w:rsidRDefault="004A3023">
      <w:pPr>
        <w:rPr>
          <w:rStyle w:val="lrzxr"/>
        </w:rPr>
      </w:pPr>
      <w:r>
        <w:rPr>
          <w:rStyle w:val="lrzxr"/>
        </w:rPr>
        <w:lastRenderedPageBreak/>
        <w:t>Figure 8. Overall differences in</w:t>
      </w:r>
      <w:r w:rsidRPr="004A3023">
        <w:rPr>
          <w:rStyle w:val="lrzxr"/>
        </w:rPr>
        <w:t xml:space="preserve"> </w:t>
      </w:r>
      <w:r>
        <w:rPr>
          <w:rStyle w:val="lrzxr"/>
        </w:rPr>
        <w:t xml:space="preserve">predictive fit between the GAMYE and SLOPE (blue) and the GAMYE and DIFFERENCEE model (red).  </w:t>
      </w:r>
    </w:p>
    <w:p w14:paraId="4BA36F4B" w14:textId="6D681B77" w:rsidR="00644456" w:rsidRDefault="00644456">
      <w:pPr>
        <w:rPr>
          <w:rStyle w:val="lrzxr"/>
        </w:rPr>
      </w:pPr>
      <w:r>
        <w:rPr>
          <w:rStyle w:val="lrzxr"/>
        </w:rPr>
        <w:t xml:space="preserve">Figure 8. Geographic distribution of the best model according to the point-estimate of the mean difference in predictive </w:t>
      </w:r>
      <w:r w:rsidR="00D40823">
        <w:rPr>
          <w:rStyle w:val="lrzxr"/>
        </w:rPr>
        <w:t>between GAMYE and SLOPE (A) and GAMYE and DIFFERENCE (B)</w:t>
      </w:r>
      <w:r>
        <w:rPr>
          <w:rStyle w:val="lrzxr"/>
        </w:rPr>
        <w:t xml:space="preserve">. </w:t>
      </w:r>
      <w:r w:rsidR="00D40823">
        <w:rPr>
          <w:rStyle w:val="lrzxr"/>
        </w:rPr>
        <w:t xml:space="preserve">In blue </w:t>
      </w:r>
      <w:proofErr w:type="gramStart"/>
      <w:r w:rsidR="00D40823">
        <w:rPr>
          <w:rStyle w:val="lrzxr"/>
        </w:rPr>
        <w:t>regions</w:t>
      </w:r>
      <w:proofErr w:type="gramEnd"/>
      <w:r w:rsidR="00D40823">
        <w:rPr>
          <w:rStyle w:val="lrzxr"/>
        </w:rPr>
        <w:t xml:space="preserve"> the GAMYE has higher predictive fit, in the orange regions the alternative model has higher fit.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19-08-31T12:52:00Z" w:initials="SC[">
    <w:p w14:paraId="6BB1387A" w14:textId="77777777" w:rsidR="004717DF" w:rsidRDefault="004717DF" w:rsidP="003504BE">
      <w:pPr>
        <w:autoSpaceDE w:val="0"/>
        <w:autoSpaceDN w:val="0"/>
        <w:adjustRightInd w:val="0"/>
        <w:spacing w:after="0" w:line="240" w:lineRule="auto"/>
        <w:rPr>
          <w:rFonts w:ascii="AdvGulliv-R" w:hAnsi="AdvGulliv-R" w:cs="AdvGulliv-R"/>
          <w:sz w:val="13"/>
          <w:szCs w:val="13"/>
          <w:lang w:val="en-CA"/>
        </w:rPr>
      </w:pPr>
      <w:r>
        <w:rPr>
          <w:rStyle w:val="CommentReference"/>
        </w:rPr>
        <w:annotationRef/>
      </w:r>
      <w:proofErr w:type="spellStart"/>
      <w:r>
        <w:rPr>
          <w:rFonts w:ascii="AdvGulliv-R" w:hAnsi="AdvGulliv-R" w:cs="AdvGulliv-R"/>
          <w:sz w:val="13"/>
          <w:szCs w:val="13"/>
          <w:lang w:val="en-CA"/>
        </w:rPr>
        <w:t>Fewster</w:t>
      </w:r>
      <w:proofErr w:type="spellEnd"/>
      <w:r>
        <w:rPr>
          <w:rFonts w:ascii="AdvGulliv-R" w:hAnsi="AdvGulliv-R" w:cs="AdvGulliv-R"/>
          <w:sz w:val="13"/>
          <w:szCs w:val="13"/>
          <w:lang w:val="en-CA"/>
        </w:rPr>
        <w:t xml:space="preserve">, R.M., Buckland, S.T., </w:t>
      </w:r>
      <w:proofErr w:type="spellStart"/>
      <w:r>
        <w:rPr>
          <w:rFonts w:ascii="AdvGulliv-R" w:hAnsi="AdvGulliv-R" w:cs="AdvGulliv-R"/>
          <w:sz w:val="13"/>
          <w:szCs w:val="13"/>
          <w:lang w:val="en-CA"/>
        </w:rPr>
        <w:t>Siriwardena</w:t>
      </w:r>
      <w:proofErr w:type="spellEnd"/>
      <w:r>
        <w:rPr>
          <w:rFonts w:ascii="AdvGulliv-R" w:hAnsi="AdvGulliv-R" w:cs="AdvGulliv-R"/>
          <w:sz w:val="13"/>
          <w:szCs w:val="13"/>
          <w:lang w:val="en-CA"/>
        </w:rPr>
        <w:t>, G.M., Baillie, S.R., Wilson, J.D., 2000.</w:t>
      </w:r>
    </w:p>
    <w:p w14:paraId="08D08720" w14:textId="77777777" w:rsidR="004717DF" w:rsidRDefault="004717DF" w:rsidP="003504BE">
      <w:pPr>
        <w:autoSpaceDE w:val="0"/>
        <w:autoSpaceDN w:val="0"/>
        <w:adjustRightInd w:val="0"/>
        <w:spacing w:after="0" w:line="240" w:lineRule="auto"/>
        <w:rPr>
          <w:rFonts w:ascii="AdvGulliv-R" w:hAnsi="AdvGulliv-R" w:cs="AdvGulliv-R"/>
          <w:sz w:val="13"/>
          <w:szCs w:val="13"/>
          <w:lang w:val="en-CA"/>
        </w:rPr>
      </w:pPr>
      <w:r>
        <w:rPr>
          <w:rFonts w:ascii="AdvGulliv-R" w:hAnsi="AdvGulliv-R" w:cs="AdvGulliv-R"/>
          <w:sz w:val="13"/>
          <w:szCs w:val="13"/>
          <w:lang w:val="en-CA"/>
        </w:rPr>
        <w:t>Analysis of population trends for farmland birds using generalized additive</w:t>
      </w:r>
    </w:p>
    <w:p w14:paraId="12CB07DD" w14:textId="42DC9231" w:rsidR="004717DF" w:rsidRDefault="004717DF" w:rsidP="003504BE">
      <w:pPr>
        <w:pStyle w:val="CommentText"/>
      </w:pPr>
      <w:proofErr w:type="gramStart"/>
      <w:r>
        <w:rPr>
          <w:rFonts w:ascii="AdvGulliv-R" w:hAnsi="AdvGulliv-R" w:cs="AdvGulliv-R"/>
          <w:sz w:val="13"/>
          <w:szCs w:val="13"/>
          <w:lang w:val="en-CA"/>
        </w:rPr>
        <w:t>models</w:t>
      </w:r>
      <w:proofErr w:type="gramEnd"/>
      <w:r>
        <w:rPr>
          <w:rFonts w:ascii="AdvGulliv-R" w:hAnsi="AdvGulliv-R" w:cs="AdvGulliv-R"/>
          <w:sz w:val="13"/>
          <w:szCs w:val="13"/>
          <w:lang w:val="en-CA"/>
        </w:rPr>
        <w:t>. Ecology 81, 1970–1984.</w:t>
      </w:r>
    </w:p>
  </w:comment>
  <w:comment w:id="1" w:author="Smith,Adam C. [NCR]" w:date="2020-01-09T23:17:00Z" w:initials="SC[">
    <w:p w14:paraId="5D02A7C9" w14:textId="77777777" w:rsidR="004717DF" w:rsidRDefault="004717DF" w:rsidP="0071744A">
      <w:pPr>
        <w:pStyle w:val="Default"/>
      </w:pPr>
      <w:r>
        <w:rPr>
          <w:rStyle w:val="CommentReference"/>
        </w:rPr>
        <w:annotationRef/>
      </w:r>
    </w:p>
    <w:p w14:paraId="6FA3E390" w14:textId="21A14534" w:rsidR="004717DF" w:rsidRDefault="004717DF" w:rsidP="0071744A">
      <w:pPr>
        <w:pStyle w:val="Default"/>
      </w:pPr>
      <w:r>
        <w:t xml:space="preserve"> </w:t>
      </w:r>
      <w:proofErr w:type="spellStart"/>
      <w:r>
        <w:rPr>
          <w:sz w:val="22"/>
          <w:szCs w:val="22"/>
        </w:rPr>
        <w:t>Naihua</w:t>
      </w:r>
      <w:proofErr w:type="spellEnd"/>
      <w:r>
        <w:rPr>
          <w:sz w:val="22"/>
          <w:szCs w:val="22"/>
        </w:rPr>
        <w:t xml:space="preserve"> </w:t>
      </w:r>
      <w:proofErr w:type="spellStart"/>
      <w:r>
        <w:rPr>
          <w:sz w:val="22"/>
          <w:szCs w:val="22"/>
        </w:rPr>
        <w:t>Duan</w:t>
      </w:r>
      <w:proofErr w:type="spellEnd"/>
      <w:r>
        <w:rPr>
          <w:sz w:val="22"/>
          <w:szCs w:val="22"/>
        </w:rPr>
        <w:t>. 1983. Smearing Estimate: A Nonparametric Retransformation Method</w:t>
      </w:r>
    </w:p>
    <w:p w14:paraId="5431D281" w14:textId="7D5DF722" w:rsidR="004717DF" w:rsidRDefault="004717DF" w:rsidP="0071744A">
      <w:pPr>
        <w:pStyle w:val="CommentText"/>
      </w:pPr>
      <w:r>
        <w:t xml:space="preserve"> </w:t>
      </w:r>
      <w:r>
        <w:rPr>
          <w:sz w:val="22"/>
          <w:szCs w:val="22"/>
        </w:rPr>
        <w:t>Journal of the American Statistical Association, Vol. 78, No. 383 (Sep., 1983), pp. 605-610</w:t>
      </w:r>
    </w:p>
  </w:comment>
  <w:comment w:id="2" w:author="Smith,Adam C. [NCR]" w:date="2020-02-06T19:57:00Z" w:initials="SC[">
    <w:p w14:paraId="5F95C32A" w14:textId="53CB5161" w:rsidR="000B0EE0" w:rsidRDefault="000B0EE0">
      <w:pPr>
        <w:pStyle w:val="CommentText"/>
      </w:pPr>
      <w:r>
        <w:rPr>
          <w:rStyle w:val="CommentReference"/>
        </w:rPr>
        <w:annotationRef/>
      </w:r>
      <w:r>
        <w:t>Summary of key benefits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B07DD" w15:done="0"/>
  <w15:commentEx w15:paraId="5431D281" w15:done="0"/>
  <w15:commentEx w15:paraId="5F95C3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5378F"/>
    <w:rsid w:val="00054710"/>
    <w:rsid w:val="00063FEC"/>
    <w:rsid w:val="00067F48"/>
    <w:rsid w:val="00084F03"/>
    <w:rsid w:val="000865CD"/>
    <w:rsid w:val="00090EF5"/>
    <w:rsid w:val="000A6F62"/>
    <w:rsid w:val="000B0EE0"/>
    <w:rsid w:val="000B286C"/>
    <w:rsid w:val="000B3BC2"/>
    <w:rsid w:val="000B4FC7"/>
    <w:rsid w:val="000D5DBF"/>
    <w:rsid w:val="000D7A0A"/>
    <w:rsid w:val="000E2D3B"/>
    <w:rsid w:val="000F0E8F"/>
    <w:rsid w:val="000F19A2"/>
    <w:rsid w:val="00100982"/>
    <w:rsid w:val="00117136"/>
    <w:rsid w:val="00117EBD"/>
    <w:rsid w:val="00127CB6"/>
    <w:rsid w:val="00136B3C"/>
    <w:rsid w:val="001527F6"/>
    <w:rsid w:val="0016530C"/>
    <w:rsid w:val="00181669"/>
    <w:rsid w:val="00182182"/>
    <w:rsid w:val="00183D7A"/>
    <w:rsid w:val="00183FBC"/>
    <w:rsid w:val="00197FD7"/>
    <w:rsid w:val="001B07D7"/>
    <w:rsid w:val="001B170F"/>
    <w:rsid w:val="001B2AB7"/>
    <w:rsid w:val="001C36D1"/>
    <w:rsid w:val="001C7B51"/>
    <w:rsid w:val="001D0D44"/>
    <w:rsid w:val="001D1ACF"/>
    <w:rsid w:val="001D495F"/>
    <w:rsid w:val="001D76F7"/>
    <w:rsid w:val="001E2BFA"/>
    <w:rsid w:val="001E7DDD"/>
    <w:rsid w:val="002124ED"/>
    <w:rsid w:val="0021546B"/>
    <w:rsid w:val="00215F2B"/>
    <w:rsid w:val="00221123"/>
    <w:rsid w:val="00232200"/>
    <w:rsid w:val="002425B8"/>
    <w:rsid w:val="00252DBA"/>
    <w:rsid w:val="00260D04"/>
    <w:rsid w:val="002646A6"/>
    <w:rsid w:val="00271A7E"/>
    <w:rsid w:val="002825D9"/>
    <w:rsid w:val="0028284F"/>
    <w:rsid w:val="002C06C8"/>
    <w:rsid w:val="002D21BE"/>
    <w:rsid w:val="002E0C96"/>
    <w:rsid w:val="002F0604"/>
    <w:rsid w:val="002F1266"/>
    <w:rsid w:val="00301A67"/>
    <w:rsid w:val="00313FC9"/>
    <w:rsid w:val="00317C34"/>
    <w:rsid w:val="0032218E"/>
    <w:rsid w:val="00326B8A"/>
    <w:rsid w:val="00341D42"/>
    <w:rsid w:val="00344307"/>
    <w:rsid w:val="003504BE"/>
    <w:rsid w:val="00352290"/>
    <w:rsid w:val="0035395B"/>
    <w:rsid w:val="00354BDE"/>
    <w:rsid w:val="00356846"/>
    <w:rsid w:val="003935F3"/>
    <w:rsid w:val="00396953"/>
    <w:rsid w:val="003A15FE"/>
    <w:rsid w:val="003A5246"/>
    <w:rsid w:val="003B0B14"/>
    <w:rsid w:val="003B5CEA"/>
    <w:rsid w:val="003C5F12"/>
    <w:rsid w:val="003D40AF"/>
    <w:rsid w:val="003D71C1"/>
    <w:rsid w:val="003F00A9"/>
    <w:rsid w:val="00421401"/>
    <w:rsid w:val="004277F9"/>
    <w:rsid w:val="00433915"/>
    <w:rsid w:val="0044376C"/>
    <w:rsid w:val="00471237"/>
    <w:rsid w:val="004717DF"/>
    <w:rsid w:val="00486194"/>
    <w:rsid w:val="004A3023"/>
    <w:rsid w:val="004A7143"/>
    <w:rsid w:val="004C234A"/>
    <w:rsid w:val="004D1A15"/>
    <w:rsid w:val="004E1F2B"/>
    <w:rsid w:val="004E40A1"/>
    <w:rsid w:val="004E6A3E"/>
    <w:rsid w:val="00521488"/>
    <w:rsid w:val="00521E0D"/>
    <w:rsid w:val="00544ECC"/>
    <w:rsid w:val="0054506F"/>
    <w:rsid w:val="00551C4C"/>
    <w:rsid w:val="00553A37"/>
    <w:rsid w:val="005603B2"/>
    <w:rsid w:val="005665F5"/>
    <w:rsid w:val="00566791"/>
    <w:rsid w:val="00570793"/>
    <w:rsid w:val="0057328C"/>
    <w:rsid w:val="00577109"/>
    <w:rsid w:val="005959D2"/>
    <w:rsid w:val="005A592E"/>
    <w:rsid w:val="005C6043"/>
    <w:rsid w:val="005E1D4F"/>
    <w:rsid w:val="005E43C8"/>
    <w:rsid w:val="005F19E6"/>
    <w:rsid w:val="006117E7"/>
    <w:rsid w:val="00617D3B"/>
    <w:rsid w:val="00627F11"/>
    <w:rsid w:val="00634DDD"/>
    <w:rsid w:val="00636713"/>
    <w:rsid w:val="00641336"/>
    <w:rsid w:val="00644456"/>
    <w:rsid w:val="0065459C"/>
    <w:rsid w:val="00657BD5"/>
    <w:rsid w:val="00660E56"/>
    <w:rsid w:val="00673EDA"/>
    <w:rsid w:val="00681CA4"/>
    <w:rsid w:val="00693DD9"/>
    <w:rsid w:val="006A50F1"/>
    <w:rsid w:val="006A5952"/>
    <w:rsid w:val="006B14A3"/>
    <w:rsid w:val="006D4865"/>
    <w:rsid w:val="006D5680"/>
    <w:rsid w:val="006E5531"/>
    <w:rsid w:val="006F0D1A"/>
    <w:rsid w:val="006F66D1"/>
    <w:rsid w:val="00703BCA"/>
    <w:rsid w:val="0070604D"/>
    <w:rsid w:val="0071744A"/>
    <w:rsid w:val="00721B12"/>
    <w:rsid w:val="007246BE"/>
    <w:rsid w:val="00730443"/>
    <w:rsid w:val="00737D11"/>
    <w:rsid w:val="0074350B"/>
    <w:rsid w:val="00743569"/>
    <w:rsid w:val="0075190E"/>
    <w:rsid w:val="0075267E"/>
    <w:rsid w:val="007634D3"/>
    <w:rsid w:val="007707B3"/>
    <w:rsid w:val="00773B5F"/>
    <w:rsid w:val="00777969"/>
    <w:rsid w:val="007A5C62"/>
    <w:rsid w:val="007B55F4"/>
    <w:rsid w:val="007B79B7"/>
    <w:rsid w:val="007D113A"/>
    <w:rsid w:val="007E17F7"/>
    <w:rsid w:val="007E6DDB"/>
    <w:rsid w:val="00801D2E"/>
    <w:rsid w:val="00823D8B"/>
    <w:rsid w:val="00833A6E"/>
    <w:rsid w:val="00845AC6"/>
    <w:rsid w:val="00854D3E"/>
    <w:rsid w:val="00855AFF"/>
    <w:rsid w:val="008830F7"/>
    <w:rsid w:val="00885C52"/>
    <w:rsid w:val="008963EF"/>
    <w:rsid w:val="008A5A2D"/>
    <w:rsid w:val="008B69AF"/>
    <w:rsid w:val="008F1847"/>
    <w:rsid w:val="00904297"/>
    <w:rsid w:val="00913140"/>
    <w:rsid w:val="00915E67"/>
    <w:rsid w:val="009232CB"/>
    <w:rsid w:val="0093732C"/>
    <w:rsid w:val="00944F2C"/>
    <w:rsid w:val="00951E0B"/>
    <w:rsid w:val="00952D7D"/>
    <w:rsid w:val="009538FC"/>
    <w:rsid w:val="00967A4C"/>
    <w:rsid w:val="00985F5B"/>
    <w:rsid w:val="00990F31"/>
    <w:rsid w:val="00991B8A"/>
    <w:rsid w:val="00992690"/>
    <w:rsid w:val="009A0192"/>
    <w:rsid w:val="009A4AF7"/>
    <w:rsid w:val="009A722D"/>
    <w:rsid w:val="009B6C41"/>
    <w:rsid w:val="009C68BB"/>
    <w:rsid w:val="009F444A"/>
    <w:rsid w:val="00A056D5"/>
    <w:rsid w:val="00A11516"/>
    <w:rsid w:val="00A11FA6"/>
    <w:rsid w:val="00A44E21"/>
    <w:rsid w:val="00A6292C"/>
    <w:rsid w:val="00A66E1C"/>
    <w:rsid w:val="00A7010B"/>
    <w:rsid w:val="00A72AC4"/>
    <w:rsid w:val="00A76187"/>
    <w:rsid w:val="00A7662D"/>
    <w:rsid w:val="00A83BA1"/>
    <w:rsid w:val="00A87415"/>
    <w:rsid w:val="00AA1DF1"/>
    <w:rsid w:val="00AA31B3"/>
    <w:rsid w:val="00AC49E5"/>
    <w:rsid w:val="00AD4586"/>
    <w:rsid w:val="00AF16ED"/>
    <w:rsid w:val="00B02BC2"/>
    <w:rsid w:val="00B43169"/>
    <w:rsid w:val="00B67E12"/>
    <w:rsid w:val="00B86AB3"/>
    <w:rsid w:val="00B87D37"/>
    <w:rsid w:val="00BA6AA3"/>
    <w:rsid w:val="00BC4F82"/>
    <w:rsid w:val="00BD4C89"/>
    <w:rsid w:val="00BD4EF4"/>
    <w:rsid w:val="00BE0A69"/>
    <w:rsid w:val="00BE5C09"/>
    <w:rsid w:val="00C02DDC"/>
    <w:rsid w:val="00C32413"/>
    <w:rsid w:val="00C35E81"/>
    <w:rsid w:val="00C41812"/>
    <w:rsid w:val="00C42929"/>
    <w:rsid w:val="00C63404"/>
    <w:rsid w:val="00C75D00"/>
    <w:rsid w:val="00C859D2"/>
    <w:rsid w:val="00CC1D3E"/>
    <w:rsid w:val="00CD3CD2"/>
    <w:rsid w:val="00CD548D"/>
    <w:rsid w:val="00CE0B41"/>
    <w:rsid w:val="00CF3293"/>
    <w:rsid w:val="00D03E7F"/>
    <w:rsid w:val="00D05281"/>
    <w:rsid w:val="00D13D2B"/>
    <w:rsid w:val="00D3609B"/>
    <w:rsid w:val="00D36FD9"/>
    <w:rsid w:val="00D40823"/>
    <w:rsid w:val="00D40A7D"/>
    <w:rsid w:val="00D474CC"/>
    <w:rsid w:val="00D54D99"/>
    <w:rsid w:val="00D57997"/>
    <w:rsid w:val="00D64FB0"/>
    <w:rsid w:val="00D723F2"/>
    <w:rsid w:val="00D800EB"/>
    <w:rsid w:val="00D844BB"/>
    <w:rsid w:val="00DB67C9"/>
    <w:rsid w:val="00DD1696"/>
    <w:rsid w:val="00DD5093"/>
    <w:rsid w:val="00DD535A"/>
    <w:rsid w:val="00DE0E93"/>
    <w:rsid w:val="00E02252"/>
    <w:rsid w:val="00E02722"/>
    <w:rsid w:val="00E04314"/>
    <w:rsid w:val="00E26954"/>
    <w:rsid w:val="00E7115B"/>
    <w:rsid w:val="00E92107"/>
    <w:rsid w:val="00E95221"/>
    <w:rsid w:val="00E96FC6"/>
    <w:rsid w:val="00EB25B5"/>
    <w:rsid w:val="00EB38C2"/>
    <w:rsid w:val="00EB5F8A"/>
    <w:rsid w:val="00EC54D7"/>
    <w:rsid w:val="00EC5C6A"/>
    <w:rsid w:val="00EE1119"/>
    <w:rsid w:val="00EE2295"/>
    <w:rsid w:val="00EF0409"/>
    <w:rsid w:val="00EF28B4"/>
    <w:rsid w:val="00F176CF"/>
    <w:rsid w:val="00F323A5"/>
    <w:rsid w:val="00F44F2A"/>
    <w:rsid w:val="00F458FB"/>
    <w:rsid w:val="00F5720B"/>
    <w:rsid w:val="00F57F60"/>
    <w:rsid w:val="00F7061E"/>
    <w:rsid w:val="00F76A8E"/>
    <w:rsid w:val="00F82BBF"/>
    <w:rsid w:val="00F94264"/>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yperlink" Target="https://CRAN.R-project.org/package=foreach"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wmf"/><Relationship Id="rId24" Type="http://schemas.openxmlformats.org/officeDocument/2006/relationships/oleObject" Target="embeddings/oleObject9.bin"/><Relationship Id="rId32"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hyperlink" Target="https://doi.org/10.7287/peerj.preprints.27320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3480</TotalTime>
  <Pages>19</Pages>
  <Words>5994</Words>
  <Characters>34171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83</cp:revision>
  <dcterms:created xsi:type="dcterms:W3CDTF">2019-12-12T23:04:00Z</dcterms:created>
  <dcterms:modified xsi:type="dcterms:W3CDTF">2020-02-07T03:40:00Z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