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5A9B3901"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w:t>
      </w:r>
      <w:r w:rsidR="000369EE">
        <w:t>they</w:t>
      </w:r>
      <w:r w:rsidR="00967A4C">
        <w:t xml:space="preserve"> </w:t>
      </w:r>
      <w:r w:rsidR="000369EE">
        <w:t xml:space="preserve">are an invaluable resource that, </w:t>
      </w:r>
      <w:r w:rsidR="00967A4C">
        <w:t xml:space="preserve">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60BFD632"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proofErr w:type="gramStart"/>
      <w:r w:rsidR="00CD3CD2">
        <w:t>are</w:t>
      </w:r>
      <w:r>
        <w:t xml:space="preserve"> equally well supported</w:t>
      </w:r>
      <w:proofErr w:type="gramEnd"/>
      <w:r>
        <w:t xml:space="preserve">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719FB312"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w:t>
      </w:r>
      <w:r w:rsidR="000F0E8F">
        <w:lastRenderedPageBreak/>
        <w:t xml:space="preserve">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11D7E60C"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5C3D2353"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A56D79">
        <w:t>is</w:t>
      </w:r>
      <w:r w:rsidR="0016530C">
        <w:t xml:space="preserve"> assessed</w:t>
      </w:r>
      <w:proofErr w:type="gramEnd"/>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45pt" o:ole="">
            <v:imagedata r:id="rId7" o:title=""/>
          </v:shape>
          <o:OLEObject Type="Embed" ProgID="Equation.DSMT4" ShapeID="_x0000_i1025" DrawAspect="Content" ObjectID="_1643132219" r:id="rId8"/>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85pt;height:19pt" o:ole="">
            <v:imagedata r:id="rId9" o:title=""/>
          </v:shape>
          <o:OLEObject Type="Embed" ProgID="Equation.DSMT4" ShapeID="_x0000_i1026" DrawAspect="Content" ObjectID="_1643132220" r:id="rId10"/>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7E07A077" w:rsidR="005959D2" w:rsidRDefault="00985F5B">
      <w:r>
        <w:t xml:space="preserve">For the simpler of the two models that use the GAM smooth, the temporal component </w:t>
      </w:r>
      <w:proofErr w:type="gramStart"/>
      <w:r>
        <w:t xml:space="preserve">was </w:t>
      </w:r>
      <w:r w:rsidR="00A56D79">
        <w:t>modeled</w:t>
      </w:r>
      <w:proofErr w:type="gramEnd"/>
      <w:r w:rsidR="00A56D79">
        <w:t xml:space="preserve"> with</w:t>
      </w:r>
      <w:r w:rsidR="005959D2">
        <w:t xml:space="preserve">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412B57CD" w:rsidR="005959D2" w:rsidRDefault="00442A26">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27" type="#_x0000_t75" style="width:12.65pt;height:11.5pt" o:ole="">
            <v:imagedata r:id="rId11" o:title=""/>
          </v:shape>
          <o:OLEObject Type="Embed" ProgID="Equation.DSMT4" ShapeID="_x0000_i1027" DrawAspect="Content" ObjectID="_1643132221" r:id="rId12"/>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28" type="#_x0000_t75" style="width:15pt;height:18.45pt" o:ole="">
            <v:imagedata r:id="rId13" o:title=""/>
          </v:shape>
          <o:OLEObject Type="Embed" ProgID="Equation.DSMT4" ShapeID="_x0000_i1028" DrawAspect="Content" ObjectID="_1643132222" r:id="rId14"/>
        </w:object>
      </w:r>
      <w:r w:rsidR="000035BE">
        <w:t>).</w:t>
      </w:r>
    </w:p>
    <w:p w14:paraId="31BC904B" w14:textId="79165910" w:rsidR="00617D3B" w:rsidRDefault="00442A26">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proofErr w:type="gramStart"/>
      <w:r w:rsidR="00A66E1C">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w:t>
      </w:r>
      <w:proofErr w:type="gramEnd"/>
      <w:r w:rsidR="00A66E1C">
        <w:t xml:space="preserve">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442A26">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442A26">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7C5EBDC5"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AFF2F7B" w:rsidR="00544ECC" w:rsidRDefault="00442A26">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442A26">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442A26">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15194ACC" w:rsidR="006A5952" w:rsidRDefault="006A5952" w:rsidP="006A5952">
      <w:proofErr w:type="gramStart"/>
      <w:r>
        <w:lastRenderedPageBreak/>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w:t>
      </w:r>
      <w:proofErr w:type="gramEnd"/>
      <w:r>
        <w:t xml:space="preserve">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We followed a similar procedure to that outlined in Link et al. 2017 to implement the cross-validation in a parallel computing en</w:t>
      </w:r>
      <w:r w:rsidR="000744E4">
        <w:t>vironment, using the R-package</w:t>
      </w:r>
      <w:r w:rsidRPr="001D0D44">
        <w:rPr>
          <w:highlight w:val="yellow"/>
        </w:rPr>
        <w:t xml:space="preserve"> </w:t>
      </w:r>
      <w:proofErr w:type="spellStart"/>
      <w:r w:rsidRPr="001D0D44">
        <w:rPr>
          <w:highlight w:val="yellow"/>
        </w:rPr>
        <w:t>foreach</w:t>
      </w:r>
      <w:proofErr w:type="spellEnd"/>
      <w:r w:rsidR="000744E4">
        <w:rPr>
          <w:highlight w:val="yellow"/>
        </w:rPr>
        <w:t xml:space="preserve"> (Microsoft and Weston 2019)</w:t>
      </w:r>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xml:space="preserve">, </w:t>
      </w:r>
      <w:proofErr w:type="spellStart"/>
      <w:r w:rsidR="00910982">
        <w:t>Vehtari</w:t>
      </w:r>
      <w:proofErr w:type="spellEnd"/>
      <w:r w:rsidR="00910982">
        <w:t xml:space="preserve"> et al. 2017</w:t>
      </w:r>
      <w:r>
        <w:t xml:space="preserve">). </w:t>
      </w:r>
      <w:r w:rsidR="00910982">
        <w:t>F</w:t>
      </w:r>
      <w:r w:rsidR="006B14A3">
        <w:t>or a given model-</w:t>
      </w:r>
      <w:r w:rsidR="006B14A3" w:rsidRPr="006B14A3">
        <w:rPr>
          <w:i/>
        </w:rPr>
        <w:t>M</w:t>
      </w:r>
      <w:r w:rsidR="006B14A3">
        <w:t xml:space="preserve">, </w:t>
      </w:r>
      <w:proofErr w:type="spellStart"/>
      <w:r w:rsidR="00910982">
        <w:t>elpd</w:t>
      </w:r>
      <w:proofErr w:type="spellEnd"/>
      <w:r w:rsidR="00910982">
        <w:t xml:space="preserve"> </w:t>
      </w:r>
      <w:r>
        <w:t xml:space="preserve">is </w:t>
      </w:r>
      <w:r w:rsidR="00117EBD">
        <w:t xml:space="preserve">the </w:t>
      </w:r>
      <w:r w:rsidR="006B14A3">
        <w:t xml:space="preserve">estimated </w:t>
      </w:r>
      <w:r w:rsidR="00910982">
        <w:t xml:space="preserve">log posterior probability for </w:t>
      </w:r>
      <w:r>
        <w:t>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442A26">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w:t>
      </w:r>
      <w:proofErr w:type="spellStart"/>
      <w:r>
        <w:t>elpd</w:t>
      </w:r>
      <w:proofErr w:type="spellEnd"/>
      <w:r>
        <w:t xml:space="preserve">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w:t>
      </w:r>
      <w:proofErr w:type="spellStart"/>
      <w:r>
        <w:t>elpd</w:t>
      </w:r>
      <w:proofErr w:type="spellEnd"/>
      <w:r>
        <w:t xml:space="preserve"> values to generate BPIC values (Link et al. 2019)</w:t>
      </w:r>
      <w:proofErr w:type="gramStart"/>
      <w:r>
        <w:t>,</w:t>
      </w:r>
      <w:proofErr w:type="gramEnd"/>
      <w:r>
        <w:t xml:space="preserve"> instead, we have compared model-based estimates of mean difference in </w:t>
      </w:r>
      <w:proofErr w:type="spellStart"/>
      <w:r>
        <w:t>elpd</w:t>
      </w:r>
      <w:proofErr w:type="spellEnd"/>
      <w:r>
        <w:t xml:space="preserve"> between pairs of models. </w:t>
      </w:r>
      <w:r w:rsidR="00730443">
        <w:t xml:space="preserve">To compare the prediction error between pairs of models, we calculated the </w:t>
      </w:r>
      <w:r w:rsidR="00EB5F8A">
        <w:t>difference in</w:t>
      </w:r>
      <w:r w:rsidR="00991B8A">
        <w:t xml:space="preserve"> the </w:t>
      </w:r>
      <w:proofErr w:type="spellStart"/>
      <w:r>
        <w:t>elpd</w:t>
      </w:r>
      <w:proofErr w:type="spellEnd"/>
      <w:r>
        <w:t xml:space="preserve">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w:t>
      </w:r>
      <w:proofErr w:type="spellStart"/>
      <w:r>
        <w:t>Vehtari</w:t>
      </w:r>
      <w:proofErr w:type="spellEnd"/>
      <w:r>
        <w:t xml:space="preserve"> et al. 2017, and Link et al. 2017)</w:t>
      </w:r>
      <w:r w:rsidR="00730443">
        <w:t>. This model treated the</w:t>
      </w:r>
      <w:r w:rsidR="00C45492">
        <w:t xml:space="preserve"> </w:t>
      </w:r>
      <w:proofErr w:type="spellStart"/>
      <w:r w:rsidR="00C45492">
        <w:t>elpd</w:t>
      </w:r>
      <w:proofErr w:type="spellEnd"/>
      <w:r w:rsidR="00C45492">
        <w:t xml:space="preserve">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442A26">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442A2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03AE87AF"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distribution would give an inappropriately large weight to a few extremely poorly predicted counts </w:t>
      </w:r>
      <w:r w:rsidR="002C3B33">
        <w:lastRenderedPageBreak/>
        <w:t>(</w:t>
      </w:r>
      <w:proofErr w:type="spellStart"/>
      <w:r w:rsidR="002C3B33">
        <w:t>Gelman</w:t>
      </w:r>
      <w:proofErr w:type="spellEnd"/>
      <w:r w:rsidR="002C3B33">
        <w:t xml:space="preserve">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442A26">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proofErr w:type="gramStart"/>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w:t>
      </w:r>
      <w:proofErr w:type="spellStart"/>
      <w:r w:rsidR="00AC49E5">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w:t>
      </w:r>
      <w:proofErr w:type="gramEnd"/>
      <w:r w:rsidR="0070604D">
        <w:t xml:space="preserve">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41732F8E" w:rsidR="00743569" w:rsidRPr="00743569" w:rsidRDefault="00442A26"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31868514" w:rsidR="00743569" w:rsidRDefault="00442A26"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06F6D516"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442A26"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442A26"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73F150CE" w:rsidR="00B02BC2" w:rsidRDefault="00E26954" w:rsidP="00F458FB">
      <w:proofErr w:type="gramStart"/>
      <w:r>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442A26"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442A26">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 xml:space="preserve">both </w:t>
      </w:r>
      <w:r w:rsidR="00BE0A69">
        <w:lastRenderedPageBreak/>
        <w:t>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xml:space="preserve">). Although the mapped </w:t>
      </w:r>
      <w:proofErr w:type="spellStart"/>
      <w:r w:rsidR="00A7010B">
        <w:t>colours</w:t>
      </w:r>
      <w:proofErr w:type="spellEnd"/>
      <w:r w:rsidR="00A7010B">
        <w:t xml:space="preserve"> only represent 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2534F456"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04543469"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COSEWIC species at risk </w:t>
      </w:r>
      <w:proofErr w:type="spellStart"/>
      <w:r w:rsidR="00801D2E">
        <w:t>assesments</w:t>
      </w:r>
      <w:proofErr w:type="spellEnd"/>
      <w:r w:rsidR="00801D2E">
        <w:t xml:space="preserve"> (). If the estimated rate of population decline is strongly dependent on the particular year in which a species </w:t>
      </w:r>
      <w:proofErr w:type="gramStart"/>
      <w:r w:rsidR="00801D2E">
        <w:t>is assessed</w:t>
      </w:r>
      <w:proofErr w:type="gramEnd"/>
      <w:r w:rsidR="00801D2E">
        <w:t>,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 just a single trend estimate (). However, t</w:t>
      </w:r>
      <w:r w:rsidR="00183D7A">
        <w:t xml:space="preserve">he example in Figure X, raises the question of </w:t>
      </w:r>
      <w:r w:rsidR="00183D7A">
        <w:lastRenderedPageBreak/>
        <w:t xml:space="preserve">whether Wood Thrush would have been assessed as “Threatened” in Canada if </w:t>
      </w:r>
      <w:r w:rsidR="00136B3C">
        <w:t>the relevant trend had been estimated in 2010 or 2012, instead of 2011 (WOTH assessment)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56A5279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similar to the overall pattern in Link et al. 2019</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77777777" w:rsidR="006B590A" w:rsidRDefault="00311F88">
      <w:r>
        <w:t>In general, estimates of predictive accuracy are one aspect of a thoughtful model building and assessment process, but are insufficient on their own (</w:t>
      </w:r>
      <w:proofErr w:type="spellStart"/>
      <w:r>
        <w:t>Gelman</w:t>
      </w:r>
      <w:proofErr w:type="spellEnd"/>
      <w:r>
        <w:t xml:space="preserve"> et al. 2014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w:t>
      </w:r>
      <w:r>
        <w:lastRenderedPageBreak/>
        <w:t>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2019).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23C1A91B" w14:textId="30258CDF" w:rsidR="00311F88" w:rsidRDefault="00101F80">
      <w:r>
        <w:t>Beyond the predictive accuracy results here, we suggest that model choice</w:t>
      </w:r>
      <w:r w:rsidR="00D10BFD">
        <w:t xml:space="preserve"> for the BBS </w:t>
      </w:r>
      <w:proofErr w:type="gramStart"/>
      <w:r>
        <w:t>should also be informed</w:t>
      </w:r>
      <w:proofErr w:type="gramEnd"/>
      <w:r>
        <w:t xml:space="preserve">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of a species at risk (e.g., CAWA recovery plan)</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t xml:space="preserve"> </w:t>
      </w:r>
      <w:r w:rsidR="00311F88">
        <w:t xml:space="preserve">   </w:t>
      </w:r>
    </w:p>
    <w:p w14:paraId="7DA2B1F3" w14:textId="77777777" w:rsidR="00D519A5" w:rsidRDefault="00D519A5"/>
    <w:p w14:paraId="452F46C5" w14:textId="73F6449F"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Estimates of predictive fit from a random selection of BBS counts </w:t>
      </w:r>
      <w:proofErr w:type="gramStart"/>
      <w:r>
        <w:t>are biased</w:t>
      </w:r>
      <w:proofErr w:type="gramEnd"/>
      <w:r>
        <w:t xml:space="preserve"> </w:t>
      </w:r>
      <w:r w:rsidR="00CC507A">
        <w:t>because of the strong spatial and temporal dependencies in the BBS data (Roberts et al. 2016).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predictions (Roberts et al. 2016),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11F88">
        <w:t xml:space="preserve"> (e.g., </w:t>
      </w:r>
      <w:proofErr w:type="spellStart"/>
      <w:r w:rsidR="00311F88">
        <w:t>Gelman</w:t>
      </w:r>
      <w:proofErr w:type="spellEnd"/>
      <w:r w:rsidR="00311F88">
        <w:t xml:space="preserve"> et al. 2014 </w:t>
      </w:r>
      <w:proofErr w:type="spellStart"/>
      <w:r w:rsidR="00311F88">
        <w:t>pg</w:t>
      </w:r>
      <w:proofErr w:type="spellEnd"/>
      <w:r w:rsidR="00311F88">
        <w:t xml:space="preserve"> 180)</w:t>
      </w:r>
      <w:r w:rsidR="00CC507A">
        <w:t>. For example,</w:t>
      </w:r>
      <w:r w:rsidR="006749FB">
        <w:t xml:space="preserve"> it is not possible to assess the predictive fit of</w:t>
      </w:r>
      <w:r w:rsidR="00CC507A">
        <w:t xml:space="preserve"> a model with </w:t>
      </w:r>
      <w:r w:rsidR="00CC507A">
        <w:lastRenderedPageBreak/>
        <w:t>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181A1E7A" w14:textId="77777777"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5" w:history="1">
        <w:r>
          <w:rPr>
            <w:rStyle w:val="Hyperlink"/>
          </w:rPr>
          <w:t>10.1080/01621459.1989.10478852</w:t>
        </w:r>
      </w:hyperlink>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6"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17"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38D90FAC" w:rsidR="00D3609B" w:rsidRDefault="00D3609B" w:rsidP="00D3609B">
      <w:r>
        <w:t>H. Wickham. ggplot2: Elegant Graphics for Data Analysis. Springer-</w:t>
      </w:r>
      <w:proofErr w:type="spellStart"/>
      <w:r>
        <w:t>Verlag</w:t>
      </w:r>
      <w:proofErr w:type="spellEnd"/>
      <w:r>
        <w:t xml:space="preserve"> New York, 2016.</w:t>
      </w:r>
    </w:p>
    <w:p w14:paraId="7A3B1904" w14:textId="60D515D3" w:rsidR="00910982" w:rsidRDefault="00910982" w:rsidP="00D3609B">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 xml:space="preserve">Figure 3. </w:t>
      </w:r>
      <w:commentRangeStart w:id="3"/>
      <w:r>
        <w:rPr>
          <w:rStyle w:val="lrzxr"/>
        </w:rPr>
        <w:t>Stratum</w:t>
      </w:r>
      <w:commentRangeEnd w:id="3"/>
      <w:r w:rsidR="00B15F61">
        <w:rPr>
          <w:rStyle w:val="CommentReference"/>
        </w:rPr>
        <w:commentReference w:id="3"/>
      </w:r>
      <w:r>
        <w:rPr>
          <w:rStyle w:val="lrzxr"/>
        </w:rPr>
        <w:t>-level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 xml:space="preserve">In most </w:t>
      </w:r>
      <w:proofErr w:type="gramStart"/>
      <w:r w:rsidR="00125EE8">
        <w:rPr>
          <w:rStyle w:val="lrzxr"/>
        </w:rPr>
        <w:t>strata</w:t>
      </w:r>
      <w:proofErr w:type="gramEnd"/>
      <w:r w:rsidR="00125EE8">
        <w:rPr>
          <w:rStyle w:val="lrzxr"/>
        </w:rPr>
        <w:t xml:space="preserve">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lastRenderedPageBreak/>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bookmarkStart w:id="4" w:name="_GoBack"/>
      <w:bookmarkEnd w:id="4"/>
    </w:p>
    <w:p w14:paraId="4BA36F4B" w14:textId="487469F1" w:rsidR="00644456" w:rsidRDefault="00644456">
      <w:pPr>
        <w:rPr>
          <w:rStyle w:val="lrzxr"/>
        </w:rPr>
      </w:pPr>
      <w:r>
        <w:rPr>
          <w:rStyle w:val="lrzxr"/>
        </w:rPr>
        <w:t xml:space="preserve">Figure </w:t>
      </w:r>
      <w:r w:rsidR="002239E9">
        <w:rPr>
          <w:rStyle w:val="lrzxr"/>
        </w:rPr>
        <w:t>9</w:t>
      </w:r>
      <w:r>
        <w:rPr>
          <w:rStyle w:val="lrzxr"/>
        </w:rPr>
        <w:t xml:space="preserve">.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442A26" w:rsidRDefault="00442A26"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442A26" w:rsidRDefault="00442A26"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442A26" w:rsidRDefault="00442A26"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442A26" w:rsidRDefault="00442A26" w:rsidP="0071744A">
      <w:pPr>
        <w:pStyle w:val="Default"/>
      </w:pPr>
      <w:r>
        <w:rPr>
          <w:rStyle w:val="CommentReference"/>
        </w:rPr>
        <w:annotationRef/>
      </w:r>
    </w:p>
    <w:p w14:paraId="6FA3E390" w14:textId="21A14534" w:rsidR="00442A26" w:rsidRDefault="00442A26"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442A26" w:rsidRDefault="00442A26"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442A26" w:rsidRDefault="00442A26">
      <w:pPr>
        <w:pStyle w:val="CommentText"/>
      </w:pPr>
      <w:r>
        <w:rPr>
          <w:rStyle w:val="CommentReference"/>
        </w:rPr>
        <w:annotationRef/>
      </w:r>
      <w:r>
        <w:t>Summary of key benefits</w:t>
      </w:r>
    </w:p>
  </w:comment>
  <w:comment w:id="3" w:author="Smith,Adam C. [NCR]" w:date="2020-02-08T12:32:00Z" w:initials="SC[">
    <w:p w14:paraId="1BC79939" w14:textId="1584D89E" w:rsidR="00442A26" w:rsidRDefault="00442A26">
      <w:pPr>
        <w:pStyle w:val="CommentText"/>
      </w:pPr>
      <w:r>
        <w:rPr>
          <w:rStyle w:val="CommentReference"/>
        </w:rPr>
        <w:annotationRef/>
      </w:r>
      <w:r>
        <w:t xml:space="preserve">Add BCR 23 version to figure 3 in plotting </w:t>
      </w:r>
      <w:proofErr w:type="spellStart"/>
      <w:r>
        <w:t>trajectories.R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Ex w15:paraId="1BC799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5EE8"/>
    <w:rsid w:val="00127CB6"/>
    <w:rsid w:val="00136B3C"/>
    <w:rsid w:val="001527F6"/>
    <w:rsid w:val="0016530C"/>
    <w:rsid w:val="00181669"/>
    <w:rsid w:val="00182182"/>
    <w:rsid w:val="00183D7A"/>
    <w:rsid w:val="00183FBC"/>
    <w:rsid w:val="001962E0"/>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C06C8"/>
    <w:rsid w:val="002C3B33"/>
    <w:rsid w:val="002D21BE"/>
    <w:rsid w:val="002D7DB1"/>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09E"/>
    <w:rsid w:val="003A5246"/>
    <w:rsid w:val="003B0B14"/>
    <w:rsid w:val="003B5CEA"/>
    <w:rsid w:val="003C5F12"/>
    <w:rsid w:val="003D40AF"/>
    <w:rsid w:val="003D71C1"/>
    <w:rsid w:val="003F00A9"/>
    <w:rsid w:val="00421401"/>
    <w:rsid w:val="004277F9"/>
    <w:rsid w:val="00433915"/>
    <w:rsid w:val="00442A26"/>
    <w:rsid w:val="0044376C"/>
    <w:rsid w:val="00471237"/>
    <w:rsid w:val="004717DF"/>
    <w:rsid w:val="00486194"/>
    <w:rsid w:val="00494C39"/>
    <w:rsid w:val="004A3023"/>
    <w:rsid w:val="004A7143"/>
    <w:rsid w:val="004C234A"/>
    <w:rsid w:val="004D1A15"/>
    <w:rsid w:val="004E1F2B"/>
    <w:rsid w:val="004E40A1"/>
    <w:rsid w:val="004E6A3E"/>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E1D4F"/>
    <w:rsid w:val="005E2C22"/>
    <w:rsid w:val="005E43C8"/>
    <w:rsid w:val="005F19E6"/>
    <w:rsid w:val="006117E7"/>
    <w:rsid w:val="00617D3B"/>
    <w:rsid w:val="00627F11"/>
    <w:rsid w:val="00634DDD"/>
    <w:rsid w:val="00636713"/>
    <w:rsid w:val="00641336"/>
    <w:rsid w:val="00644456"/>
    <w:rsid w:val="0065459C"/>
    <w:rsid w:val="006575E7"/>
    <w:rsid w:val="00657BD5"/>
    <w:rsid w:val="00660E56"/>
    <w:rsid w:val="00673EDA"/>
    <w:rsid w:val="006749FB"/>
    <w:rsid w:val="00681CA4"/>
    <w:rsid w:val="00691BFC"/>
    <w:rsid w:val="00693DD9"/>
    <w:rsid w:val="006A0B60"/>
    <w:rsid w:val="006A50F1"/>
    <w:rsid w:val="006A5952"/>
    <w:rsid w:val="006B14A3"/>
    <w:rsid w:val="006B590A"/>
    <w:rsid w:val="006D4865"/>
    <w:rsid w:val="006D5680"/>
    <w:rsid w:val="006E5531"/>
    <w:rsid w:val="006F0D1A"/>
    <w:rsid w:val="006F4E90"/>
    <w:rsid w:val="006F66D1"/>
    <w:rsid w:val="00703BCA"/>
    <w:rsid w:val="0070604D"/>
    <w:rsid w:val="0071744A"/>
    <w:rsid w:val="00717E77"/>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0982"/>
    <w:rsid w:val="00913140"/>
    <w:rsid w:val="00915E67"/>
    <w:rsid w:val="00922D60"/>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507BA"/>
    <w:rsid w:val="00A526EE"/>
    <w:rsid w:val="00A56D79"/>
    <w:rsid w:val="00A6292C"/>
    <w:rsid w:val="00A66E1C"/>
    <w:rsid w:val="00A7010B"/>
    <w:rsid w:val="00A72AC4"/>
    <w:rsid w:val="00A76187"/>
    <w:rsid w:val="00A7662D"/>
    <w:rsid w:val="00A83BA1"/>
    <w:rsid w:val="00A87415"/>
    <w:rsid w:val="00AA1DF1"/>
    <w:rsid w:val="00AA31B3"/>
    <w:rsid w:val="00AA421B"/>
    <w:rsid w:val="00AC49E5"/>
    <w:rsid w:val="00AD4586"/>
    <w:rsid w:val="00AF16ED"/>
    <w:rsid w:val="00B02BC2"/>
    <w:rsid w:val="00B04B46"/>
    <w:rsid w:val="00B1390D"/>
    <w:rsid w:val="00B13BA0"/>
    <w:rsid w:val="00B14D83"/>
    <w:rsid w:val="00B15F61"/>
    <w:rsid w:val="00B43169"/>
    <w:rsid w:val="00B67E12"/>
    <w:rsid w:val="00B7696C"/>
    <w:rsid w:val="00B86AB3"/>
    <w:rsid w:val="00B87D37"/>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44BB"/>
    <w:rsid w:val="00DB67C9"/>
    <w:rsid w:val="00DD1696"/>
    <w:rsid w:val="00DD5093"/>
    <w:rsid w:val="00DD535A"/>
    <w:rsid w:val="00DE0E93"/>
    <w:rsid w:val="00DE6287"/>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s://doi.org/10.7287/peerj.preprints.27320v1" TargetMode="External"/><Relationship Id="rId2" Type="http://schemas.openxmlformats.org/officeDocument/2006/relationships/styles" Target="styles.xml"/><Relationship Id="rId16" Type="http://schemas.openxmlformats.org/officeDocument/2006/relationships/hyperlink" Target="https://CRAN.R-project.org/package=foreach"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5" Type="http://schemas.openxmlformats.org/officeDocument/2006/relationships/comments" Target="comments.xml"/><Relationship Id="rId15" Type="http://schemas.openxmlformats.org/officeDocument/2006/relationships/hyperlink" Target="https://doi.org/10.1080/01621459.1989.10478852" TargetMode="External"/><Relationship Id="rId10" Type="http://schemas.openxmlformats.org/officeDocument/2006/relationships/oleObject" Target="embeddings/oleObject2.bin"/><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1818</TotalTime>
  <Pages>19</Pages>
  <Words>6880</Words>
  <Characters>39217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20</cp:revision>
  <dcterms:created xsi:type="dcterms:W3CDTF">2020-02-07T21:53:00Z</dcterms:created>
  <dcterms:modified xsi:type="dcterms:W3CDTF">2020-02-14T01:50:00Z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