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7CB37538" w:rsidR="00896367" w:rsidRDefault="00896367">
      <w:r>
        <w:t>Improved status and trend estimates from the North American Breeding Bird Survey using a hierarchical Bayesian generalized additive model</w:t>
      </w:r>
    </w:p>
    <w:p w14:paraId="462DD0C2" w14:textId="60EA2F74" w:rsidR="00896367" w:rsidRDefault="00896367">
      <w:r>
        <w:t>Adam C. Smith</w:t>
      </w:r>
    </w:p>
    <w:p w14:paraId="132B5B92" w14:textId="0C74C563" w:rsidR="00896367" w:rsidRDefault="00896367">
      <w:r>
        <w:t>Brandon P.M. Edwards</w:t>
      </w:r>
    </w:p>
    <w:p w14:paraId="7070E1AA" w14:textId="341F11E9" w:rsidR="00693DD9" w:rsidRDefault="00693DD9">
      <w:r>
        <w:t>Abstract:</w:t>
      </w:r>
    </w:p>
    <w:p w14:paraId="0555132F" w14:textId="646D05F9" w:rsidR="00B2157C" w:rsidRDefault="00DD79A0">
      <w:r>
        <w:t>The status and trend estimates derived from the North American Breeding Bird Survey (BBS), are critical sources of information for bird conservation. However, many of the varied uses of these estimates would be well served by some al</w:t>
      </w:r>
      <w:r w:rsidR="00B2157C">
        <w:t xml:space="preserve">ternative </w:t>
      </w:r>
      <w:r>
        <w:t>models that are more sensitive to changes in the ra</w:t>
      </w:r>
      <w:r w:rsidR="00651492">
        <w:t>tes of population change through time</w:t>
      </w:r>
      <w:r w:rsidR="00360F4A">
        <w:t>, such as change points and cycles,</w:t>
      </w:r>
      <w:r w:rsidR="00651492">
        <w:t xml:space="preserve"> and </w:t>
      </w:r>
      <w:r w:rsidR="00360F4A">
        <w:t xml:space="preserve">that </w:t>
      </w:r>
      <w:r w:rsidR="00651492">
        <w:t xml:space="preserve">allow for the sharing of information </w:t>
      </w:r>
      <w:r w:rsidR="00360F4A">
        <w:t>across the species’ range,</w:t>
      </w:r>
      <w:r w:rsidR="00651492">
        <w:t xml:space="preserve"> to improve regional estimates. Here we describe a h</w:t>
      </w:r>
      <w:r w:rsidR="00B2157C">
        <w:t xml:space="preserve">ierarchical Bayesian </w:t>
      </w:r>
      <w:r w:rsidR="00651492">
        <w:t xml:space="preserve">generalized additive mixed-model (GAM) that fits these criteria and generates status and trend estimates </w:t>
      </w:r>
      <w:r w:rsidR="00B13B9D">
        <w:t>with optimized for many common uses related to</w:t>
      </w:r>
      <w:r w:rsidR="00651492">
        <w:t xml:space="preserve"> conservation assessments.</w:t>
      </w:r>
      <w:r w:rsidR="00B2157C">
        <w:t xml:space="preserve"> </w:t>
      </w:r>
      <w:r w:rsidR="00B13B9D">
        <w:t>We demonstrate the models with data for Barn Swallow (</w:t>
      </w:r>
      <w:r w:rsidR="00B13B9D" w:rsidRPr="00360F4A">
        <w:rPr>
          <w:i/>
        </w:rPr>
        <w:t>Hirundo rustica</w:t>
      </w:r>
      <w:r w:rsidR="00B13B9D">
        <w:t>) Wood</w:t>
      </w:r>
      <w:bookmarkStart w:id="0" w:name="_GoBack"/>
      <w:bookmarkEnd w:id="0"/>
      <w:r w:rsidR="00B13B9D">
        <w:t xml:space="preserve"> Thrush (</w:t>
      </w:r>
      <w:r w:rsidR="00360F4A" w:rsidRPr="00360F4A">
        <w:rPr>
          <w:i/>
        </w:rPr>
        <w:t>Hylocichla mustelina</w:t>
      </w:r>
      <w:r w:rsidR="00B13B9D">
        <w:t>) and some other species to</w:t>
      </w:r>
      <w:r w:rsidR="00B2157C">
        <w:t xml:space="preserve"> demonstrate </w:t>
      </w:r>
      <w:r w:rsidR="00B13B9D">
        <w:t>its</w:t>
      </w:r>
      <w:r w:rsidR="00B2157C">
        <w:t xml:space="preserve"> benefits</w:t>
      </w:r>
      <w:r w:rsidR="00B13B9D">
        <w:t xml:space="preserve">, and we </w:t>
      </w:r>
      <w:r w:rsidR="00B2157C">
        <w:t xml:space="preserve">run a full cross-validation of the GAM against two other BBS models to compare </w:t>
      </w:r>
      <w:r w:rsidR="00B13B9D">
        <w:t>predictive fit among models</w:t>
      </w:r>
      <w:r w:rsidR="00B2157C">
        <w:t>.</w:t>
      </w:r>
      <w:r w:rsidR="00EF228A">
        <w:t xml:space="preserve"> </w:t>
      </w:r>
      <w:r w:rsidR="00B13B9D">
        <w:t>We used a</w:t>
      </w:r>
      <w:r w:rsidR="004E15BD">
        <w:t xml:space="preserve"> 15</w:t>
      </w:r>
      <w:r w:rsidR="00B13B9D">
        <w:t xml:space="preserve">-fold cross-validation approach, with we suggest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overall than the standard model for all species studied here</w:t>
      </w:r>
      <w:r w:rsidR="004E15BD">
        <w:t xml:space="preserve">, and </w:t>
      </w:r>
      <w:r w:rsidR="00B2157C">
        <w:t xml:space="preserve">better or comparable predictive fit in comparison to </w:t>
      </w:r>
      <w:r w:rsidR="00360F4A">
        <w:t xml:space="preserve">an alternative </w:t>
      </w:r>
      <w:r w:rsidR="00B2157C">
        <w:t>first difference model.</w:t>
      </w:r>
      <w:r w:rsidR="00873DF6">
        <w:t xml:space="preserve"> In addition, the GAM with added random year-effects estimates a population trajectory that con be decomposed into </w:t>
      </w:r>
      <w:r w:rsidR="00360F4A">
        <w:t>a</w:t>
      </w:r>
      <w:r w:rsidR="00873DF6">
        <w:t xml:space="preserve"> smooth component and the annual fluctuations around that smooth. This decomposition generates trend estimates that remove the annual fluctuations and are therefore more useful for the status assessments such as IUCN or COSEWIC. </w:t>
      </w:r>
      <w:r w:rsidR="00360F4A">
        <w:t>Estimated t</w:t>
      </w:r>
      <w:r w:rsidR="00873DF6">
        <w:t>rajectories</w:t>
      </w:r>
      <w:r w:rsidR="00360F4A">
        <w:t xml:space="preserve"> form the model</w:t>
      </w:r>
      <w:r w:rsidR="00873DF6">
        <w:t xml:space="preserve"> can be visualized either with or without the annual fluctuations, to suit the particular inferential use for the estimate</w:t>
      </w:r>
      <w:r w:rsidR="00360F4A">
        <w:t xml:space="preserve">s, such as </w:t>
      </w:r>
      <w:r w:rsidR="00873DF6">
        <w:t>visualizing patterns that may follow climatological cycles vs patterns that rela</w:t>
      </w:r>
      <w:r w:rsidR="00360F4A">
        <w:t>te more to annual precipitation</w:t>
      </w:r>
      <w:r w:rsidR="00873DF6">
        <w:t xml:space="preserve">. </w:t>
      </w:r>
    </w:p>
    <w:p w14:paraId="358E1B63" w14:textId="77777777" w:rsidR="00693DD9" w:rsidRDefault="00693DD9">
      <w:r>
        <w:br w:type="page"/>
      </w:r>
    </w:p>
    <w:p w14:paraId="27BD7CB5" w14:textId="77777777" w:rsidR="00693DD9" w:rsidRDefault="00693DD9">
      <w:r>
        <w:lastRenderedPageBreak/>
        <w:t>Introduction</w:t>
      </w:r>
    </w:p>
    <w:p w14:paraId="2B65FA21" w14:textId="4E73A411"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0369EE">
        <w:t xml:space="preserve">are an invaluable resource that, </w:t>
      </w:r>
      <w:r w:rsidR="00967A4C">
        <w:t xml:space="preserve">used by many conservation organizations and researchers to visualize, analyze, and assess the population status of over 400 species of birds (e.g., NABCI Canada 2019, </w:t>
      </w:r>
      <w:r w:rsidR="00657376">
        <w:t>Rosenberg et al. 2019, Rosenberg et al. 2017</w:t>
      </w:r>
      <w:r w:rsidR="00967A4C">
        <w:t>).</w:t>
      </w:r>
    </w:p>
    <w:p w14:paraId="0EF659E9" w14:textId="4E6D2A79"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 xml:space="preserve">Different conservation-based uses of the BBS status and trend estimates relate to different aspects of population change, including long-term trends, short-term trends, changes in population trends, or annual fluctuations,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(Fewster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719FB312"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(Fewster et al., 2000, Knape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 xml:space="preserve">The </w:t>
      </w:r>
      <w:r w:rsidR="00AA31B3">
        <w:lastRenderedPageBreak/>
        <w:t>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(Knape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are </w:t>
      </w:r>
      <w:r w:rsidR="005F19E6">
        <w:t>treated</w:t>
      </w:r>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sidRPr="004E15BD">
        <w:t>an alternative parameterization</w:t>
      </w:r>
      <w:r w:rsidR="00D800EB" w:rsidRPr="004E15BD">
        <w:t xml:space="preserve"> to the </w:t>
      </w:r>
      <w:r w:rsidR="00063FEC" w:rsidRPr="004E15BD">
        <w:t xml:space="preserve">“GS” </w:t>
      </w:r>
      <w:r w:rsidR="00D800EB" w:rsidRPr="004E15BD">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have been used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45pt" o:ole="">
            <v:imagedata r:id="rId5" o:title=""/>
          </v:shape>
          <o:OLEObject Type="Embed" ProgID="Equation.DSMT4" ShapeID="_x0000_i1025" DrawAspect="Content" ObjectID="_1643372570" r:id="rId6"/>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85pt;height:19pt" o:ole="">
            <v:imagedata r:id="rId7" o:title=""/>
          </v:shape>
          <o:OLEObject Type="Embed" ProgID="Equation.DSMT4" ShapeID="_x0000_i1026" DrawAspect="Content" ObjectID="_1643372571" r:id="rId8"/>
        </w:object>
      </w:r>
      <w:r w:rsidR="004E6A3E">
        <w:t>)</w:t>
      </w:r>
      <w:r w:rsidR="00990F31">
        <w:t xml:space="preserve">, </w:t>
      </w:r>
      <w:r w:rsidR="001C7B51">
        <w:t>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178B886C" w:rsidR="005959D2" w:rsidRDefault="004E15BD">
      <w:r>
        <w:t>T</w:t>
      </w:r>
      <w:r w:rsidR="00985F5B">
        <w:t xml:space="preserve">he </w:t>
      </w:r>
      <w:r>
        <w:t xml:space="preserve">main </w:t>
      </w:r>
      <w:r w:rsidR="00985F5B">
        <w:t xml:space="preserve">temporal component </w:t>
      </w:r>
      <w:r>
        <w:t xml:space="preserve">in the GAM </w:t>
      </w:r>
      <w:r w:rsidR="00985F5B">
        <w:t xml:space="preserve">was </w:t>
      </w:r>
      <w:r w:rsidR="00A56D79">
        <w:t>modeled with</w:t>
      </w:r>
      <w:r w:rsidR="005959D2">
        <w:t xml:space="preserve"> a </w:t>
      </w:r>
      <w:r w:rsidR="00C42929">
        <w:t>semi-parametric</w:t>
      </w:r>
      <w:r w:rsidR="005959D2">
        <w:t xml:space="preserve"> smooth</w:t>
      </w:r>
      <w:r w:rsidR="00985F5B">
        <w:t>, estimated</w:t>
      </w:r>
      <w:r w:rsidR="005959D2">
        <w:t xml:space="preserve"> fol</w:t>
      </w:r>
      <w:r w:rsidR="00FF634E">
        <w:t>lowing Crainiceanu et al (2005)</w:t>
      </w:r>
      <w:r w:rsidR="00181669">
        <w:t>.</w:t>
      </w:r>
      <w:r w:rsidR="005959D2">
        <w:t xml:space="preserve"> </w:t>
      </w:r>
    </w:p>
    <w:p w14:paraId="273D1BA9" w14:textId="412B57CD" w:rsidR="005959D2" w:rsidRDefault="00DD79A0">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27" type="#_x0000_t75" style="width:12.65pt;height:11.5pt" o:ole="">
            <v:imagedata r:id="rId9" o:title=""/>
          </v:shape>
          <o:OLEObject Type="Embed" ProgID="Equation.DSMT4" ShapeID="_x0000_i1027" DrawAspect="Content" ObjectID="_1643372572" r:id="rId10"/>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sidR="000035BE">
        <w:t xml:space="preserve">is estimated as a random effect, centered on a </w:t>
      </w:r>
      <w:r w:rsidR="00634DDD">
        <w:t xml:space="preserve">Hyperparameter: a </w:t>
      </w:r>
      <w:r w:rsidR="000035BE">
        <w:t>mean across all strata (</w:t>
      </w:r>
      <w:r w:rsidR="000035BE" w:rsidRPr="000035BE">
        <w:rPr>
          <w:position w:val="-12"/>
        </w:rPr>
        <w:object w:dxaOrig="300" w:dyaOrig="360" w14:anchorId="41D7C510">
          <v:shape id="_x0000_i1028" type="#_x0000_t75" style="width:15pt;height:18.45pt" o:ole="">
            <v:imagedata r:id="rId11" o:title=""/>
          </v:shape>
          <o:OLEObject Type="Embed" ProgID="Equation.DSMT4" ShapeID="_x0000_i1028" DrawAspect="Content" ObjectID="_1643372573" r:id="rId12"/>
        </w:object>
      </w:r>
      <w:r w:rsidR="000035BE">
        <w:t>).</w:t>
      </w:r>
    </w:p>
    <w:p w14:paraId="31BC904B" w14:textId="79165910" w:rsidR="00617D3B" w:rsidRDefault="00DD79A0">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(Crainiceanu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 and i</w:t>
      </w:r>
      <w:r w:rsidR="00471237">
        <w:t>t</w:t>
      </w:r>
      <w:r w:rsidR="002F0604">
        <w:t xml:space="preserve"> was calculated </w:t>
      </w:r>
      <w:r w:rsidR="00471237">
        <w:t xml:space="preserve">in R, </w:t>
      </w:r>
      <w:r w:rsidR="002F0604">
        <w:t>following Crainiceanu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jagam</w:t>
      </w:r>
      <w:r w:rsidR="00183FBC">
        <w:t xml:space="preserve"> function in the</w:t>
      </w:r>
      <w:r w:rsidR="00951E0B">
        <w:t xml:space="preserve"> R-packag</w:t>
      </w:r>
      <w:r w:rsidR="00471237">
        <w:t>e m</w:t>
      </w:r>
      <w:r w:rsidR="007634D3">
        <w:t xml:space="preserve">gcv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mgcv. </w:t>
      </w:r>
      <w:r w:rsidR="001E7DDD">
        <w:t>However, when we tried to implement a fully Bayesian versi</w:t>
      </w:r>
      <w:r w:rsidR="00471237">
        <w:t>on of the mgcv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1A473E3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w:t>
      </w:r>
      <w:r w:rsidR="004E15BD">
        <w:t xml:space="preserve">following </w:t>
      </w:r>
      <w:r w:rsidR="00A66E1C">
        <w:t>the default setting in the R-package bbsBayes</w:t>
      </w:r>
      <w:r w:rsidR="00306160">
        <w:t xml:space="preserve"> (Edwards and Smith unpublished)</w:t>
      </w:r>
      <w:r w:rsidR="004E15BD">
        <w:t>, which</w:t>
      </w:r>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AM-coefficients</w:t>
      </w:r>
      <w:r>
        <w:t xml:space="preserve">, </w:t>
      </w:r>
      <w:r w:rsidR="00A6292C">
        <w:t>were set following</w:t>
      </w:r>
      <w:r w:rsidR="007E17F7">
        <w:t xml:space="preserve"> advice in</w:t>
      </w:r>
      <w:r w:rsidR="00A6292C">
        <w:t xml:space="preserve"> Crainiceanu et al (2005)</w:t>
      </w:r>
      <w:r w:rsidR="007E17F7">
        <w:t xml:space="preserve"> and Gelman (200</w:t>
      </w:r>
      <w:r w:rsidR="00553A37">
        <w:t>6</w:t>
      </w:r>
      <w:r w:rsidR="007E17F7">
        <w:t>)</w:t>
      </w:r>
      <w:r w:rsidR="00A6292C">
        <w:t>, as follows:</w:t>
      </w:r>
      <w:r w:rsidR="007E17F7">
        <w:t xml:space="preserve"> </w:t>
      </w:r>
    </w:p>
    <w:p w14:paraId="3006C45D" w14:textId="47B90930" w:rsidR="00544ECC" w:rsidRPr="00544ECC" w:rsidRDefault="00DD79A0">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DD79A0">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35DDAB68"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Knape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4E15BD">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AFF2F7B" w:rsidR="00544ECC" w:rsidRDefault="00DD79A0">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28945028"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that include the effects of the </w:t>
      </w:r>
      <w:r w:rsidR="004E15BD">
        <w:t xml:space="preserve">smooth and the </w:t>
      </w:r>
      <w:r>
        <w:t>annual fluctuations or that remove these annual fluctuations</w:t>
      </w:r>
      <w:r w:rsidR="006117E7">
        <w:t xml:space="preserve"> to highlight the medium- and long-term changes</w:t>
      </w:r>
      <w:r w:rsidR="004E15BD">
        <w:t xml:space="preserve"> in the smooth</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DD79A0">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DD79A0">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overdispersion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and an R-package bbsBayes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can be applied to the BBS data using </w:t>
      </w:r>
      <w:r w:rsidR="007D113A">
        <w:t>the</w:t>
      </w:r>
      <w:r w:rsidR="008F1847">
        <w:t xml:space="preserve"> R-package “bbsBayes”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 We chose this approach over a leave-one-out approach using a random subset of counts (e.g., Link et al. 2019), because we wanted to assess the predictive success across all counts in the dataset, and because we wanted to explore the temporal and spatial patterns in predictive success. We followed a similar procedure to that outlined in Link et al. 2017 to implement the cross-validation in a parallel computing en</w:t>
      </w:r>
      <w:r w:rsidR="000744E4">
        <w:t>vironment, using the R-</w:t>
      </w:r>
      <w:r w:rsidR="000744E4" w:rsidRPr="00C80B04">
        <w:t>package</w:t>
      </w:r>
      <w:r w:rsidRPr="00C80B04">
        <w:t xml:space="preserve"> foreach</w:t>
      </w:r>
      <w:r w:rsidR="000744E4" w:rsidRPr="00C80B04">
        <w:t xml:space="preserve"> (Microsoft and Weston 2019)</w:t>
      </w:r>
      <w:r w:rsidRPr="00C80B04">
        <w:t>.</w:t>
      </w:r>
      <w:r>
        <w:t xml:space="preserve"> We did not calculate WAIC because previous work has shown that WAIC does not approximate loocv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Vehtari et al. 2017</w:t>
      </w:r>
      <w:r>
        <w:t xml:space="preserve">). </w:t>
      </w:r>
      <w:r w:rsidR="00910982">
        <w:t>F</w:t>
      </w:r>
      <w:r w:rsidR="006B14A3">
        <w:t>or a given model-</w:t>
      </w:r>
      <w:r w:rsidR="006B14A3" w:rsidRPr="006B14A3">
        <w:rPr>
          <w:i/>
        </w:rPr>
        <w:t>M</w:t>
      </w:r>
      <w:r w:rsidR="006B14A3">
        <w:t xml:space="preserve">, </w:t>
      </w:r>
      <w:r w:rsidR="00910982">
        <w:t xml:space="preserve">elpd </w:t>
      </w:r>
      <w:r>
        <w:t xml:space="preserve">is </w:t>
      </w:r>
      <w:r w:rsidR="00117EBD">
        <w:t xml:space="preserve">the </w:t>
      </w:r>
      <w:r w:rsidR="006B14A3">
        <w:t xml:space="preserve">estimated </w:t>
      </w:r>
      <w:r w:rsidR="00910982">
        <w:t xml:space="preserve">log posterior probability for </w:t>
      </w:r>
      <w:r>
        <w:t>each observation</w:t>
      </w:r>
      <w:r w:rsidR="006A5952">
        <w:t>-i, for the model-</w:t>
      </w:r>
      <w:r w:rsidR="006A5952" w:rsidRPr="006A5952">
        <w:rPr>
          <w:i/>
        </w:rPr>
        <w:t>M</w:t>
      </w:r>
      <w:r w:rsidR="006A5952">
        <w:t xml:space="preserve"> fit to all data except those in the set-</w:t>
      </w:r>
      <w:r w:rsidR="00433915">
        <w:t>v</w:t>
      </w:r>
      <w:r w:rsidR="006A5952">
        <w:t xml:space="preserve"> that includes i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DD79A0">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elpd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elpd values to generate BPIC values (Link et al. 2019), instead, we have compared model-based estimates of mean difference in elpd between pairs of models. </w:t>
      </w:r>
      <w:r w:rsidR="00730443">
        <w:t xml:space="preserve">To compare the prediction error between pairs of models, we calculated the </w:t>
      </w:r>
      <w:r w:rsidR="00EB5F8A">
        <w:t>difference in</w:t>
      </w:r>
      <w:r w:rsidR="00991B8A">
        <w:t xml:space="preserve"> the </w:t>
      </w:r>
      <w:r>
        <w:t xml:space="preserve">elpd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r w:rsidR="00EB5F8A">
        <w:t xml:space="preserve">as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(Vehtari et al. 2017, and Link et al. 2017)</w:t>
      </w:r>
      <w:r w:rsidR="00730443">
        <w:t>. This model treated the</w:t>
      </w:r>
      <w:r w:rsidR="00C45492">
        <w:t xml:space="preserve"> elpd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DD79A0">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DD79A0">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2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(Gelman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DD79A0">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exponentiated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xml:space="preserve">) is problematic, because it assumes that a global estimate of variance among observers and routes represents the true observer-route variance within each stratum equally well, and it assumes that the distribution of the estimated observer-route effects is approximately normal (Duan 1983). For many species, one or both of these two </w:t>
      </w:r>
      <w:r w:rsidR="00D474CC">
        <w:lastRenderedPageBreak/>
        <w:t xml:space="preserve">assumptions are not well supported and as a result, annual indices for some species and regions are over-estimated (Smith et al. 2015). </w:t>
      </w:r>
    </w:p>
    <w:p w14:paraId="01EFE5F0" w14:textId="41732F8E" w:rsidR="00743569" w:rsidRPr="00743569" w:rsidRDefault="00DD79A0"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r>
        <w:rPr>
          <w:rFonts w:eastAsiaTheme="minorEastAsia"/>
        </w:rPr>
        <w:t xml:space="preserve">we calculated the annual indices as follows: </w:t>
      </w:r>
    </w:p>
    <w:p w14:paraId="682F1117" w14:textId="31868514" w:rsidR="00743569" w:rsidRDefault="00DD79A0"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2A0DC30F" w:rsidR="00F458FB" w:rsidRDefault="00C859D2" w:rsidP="00F458FB">
      <w:r>
        <w:t>So that instead of relying on the half-variance, log-normal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(i.e.,the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bbsBayes,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DD79A0"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DD79A0"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73F150CE" w:rsidR="00B02BC2" w:rsidRDefault="00E26954" w:rsidP="00F458FB">
      <w:r>
        <w:t>a</w:t>
      </w:r>
      <w:r w:rsidR="00B02BC2">
        <w:t xml:space="preserve">nd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DD79A0"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DD79A0">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and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bbsBayes,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Although the mapped colours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lastRenderedPageBreak/>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1EB6F65" w14:textId="69C37724" w:rsidR="00EE1119" w:rsidRDefault="00344307">
      <w:commentRangeStart w:id="1"/>
      <w:r>
        <w:t xml:space="preserve">Using </w:t>
      </w:r>
      <w:commentRangeEnd w:id="1"/>
      <w:r w:rsidR="000B0EE0">
        <w:rPr>
          <w:rStyle w:val="CommentReference"/>
        </w:rPr>
        <w:commentReference w:id="1"/>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r w:rsidR="006D5680">
        <w:t xml:space="preserve">Fewster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(Knape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COSEWIC species at risk assesments (</w:t>
      </w:r>
      <w:r w:rsidR="00922F1F">
        <w:t>IUCN 2019</w:t>
      </w:r>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bbsBayes)</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 however, that since the mid-1980’s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However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(Gelman et al. 2013</w:t>
      </w:r>
      <w:r>
        <w:t xml:space="preserve"> pg 180, Burnham and Anderson 2002</w:t>
      </w:r>
      <w:r w:rsidR="0058124D">
        <w:t xml:space="preserve"> pg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r>
        <w:t>should also be informed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are used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aprior</w:t>
      </w:r>
      <w:r w:rsidR="00D10BFD">
        <w:t>i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sensu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in a 15-fold cross-validations allowed us to explore the spatial and temporal variation in fit, and to compare the fit across all data used in the model. Estimates of predictive fit from a random selection of BBS counts are biased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 In addition, spatial and temporal blocking can limit the kinds of models compared</w:t>
      </w:r>
      <w:r w:rsidR="003727DC">
        <w:t xml:space="preserve"> (e.g., Gelman et al. 2013</w:t>
      </w:r>
      <w:r w:rsidR="00311F88">
        <w:t xml:space="preserve"> pg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Model selection and multimodel inference: a practical information-theoretic approach. Second edition. Springer-Verlag,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A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r w:rsidRPr="006F38C3">
        <w:rPr>
          <w:rStyle w:val="self-citation-authors"/>
          <w:i/>
        </w:rPr>
        <w:t>Hylocichla mustelina</w:t>
      </w:r>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r w:rsidRPr="00317C34">
        <w:rPr>
          <w:rStyle w:val="self-citation-authors"/>
        </w:rPr>
        <w:t>Crainiceanu C</w:t>
      </w:r>
      <w:r w:rsidR="00160865">
        <w:rPr>
          <w:rStyle w:val="self-citation-authors"/>
        </w:rPr>
        <w:t xml:space="preserve">M, Ruppert D, Wand MP (2005).  </w:t>
      </w:r>
      <w:r w:rsidRPr="00317C34">
        <w:rPr>
          <w:rStyle w:val="self-citation-authors"/>
        </w:rPr>
        <w:t>Bayesian A</w:t>
      </w:r>
      <w:r w:rsidR="00160865">
        <w:rPr>
          <w:rStyle w:val="self-citation-authors"/>
        </w:rPr>
        <w:t>nalysis for Penalized Spline Re</w:t>
      </w:r>
      <w:r w:rsidRPr="00317C34">
        <w:rPr>
          <w:rStyle w:val="self-citation-authors"/>
        </w:rPr>
        <w:t>gression Using W</w:t>
      </w:r>
      <w:r w:rsidR="00160865">
        <w:rPr>
          <w:rStyle w:val="self-citation-authors"/>
        </w:rPr>
        <w:t>inBUGS.</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r w:rsidRPr="00C80B04">
        <w:rPr>
          <w:rStyle w:val="self-citation-authors"/>
        </w:rPr>
        <w:t>Duan</w:t>
      </w:r>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 xml:space="preserve">(2016). Recovery Strategy for the Canada Warbler (Cardellina canadensis) in Canada. Species at Risk Act Recovery Strategy Series. Environment Canada, Ottawa. vii + 56 pp. Available at: </w:t>
      </w:r>
      <w:hyperlink r:id="rId15"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r w:rsidRPr="003F00A9">
        <w:rPr>
          <w:rStyle w:val="self-citation-authors"/>
        </w:rPr>
        <w:t>Fewster, R. M., S. T.Buckland, G. M.Siriwardena, S. R.Baillie, and J. D.Wilson</w:t>
      </w:r>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r w:rsidRPr="008A5A2D">
        <w:rPr>
          <w:rStyle w:val="self-citation-authors"/>
        </w:rPr>
        <w:t>Gelman, A. 2006. Prior distributions for variance parameters in hierarchical models. Bayesian Analysis. 1:515-533.</w:t>
      </w:r>
    </w:p>
    <w:p w14:paraId="0DC1AFB5" w14:textId="2E7905A9" w:rsidR="002A1A18" w:rsidRDefault="002A1A18" w:rsidP="008A5A2D">
      <w:r>
        <w:t>Gelman, A., J. Hwang, and A. Vehtari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r w:rsidRPr="00DC055B">
        <w:rPr>
          <w:rStyle w:val="self-citation-authors"/>
        </w:rPr>
        <w:t>Gelman,</w:t>
      </w:r>
      <w:r>
        <w:rPr>
          <w:rStyle w:val="self-citation-authors"/>
        </w:rPr>
        <w:t xml:space="preserve"> A.,</w:t>
      </w:r>
      <w:r w:rsidRPr="00DC055B">
        <w:rPr>
          <w:rStyle w:val="self-citation-authors"/>
        </w:rPr>
        <w:t xml:space="preserve"> J. B. Carlin, H. S. Stern, D. B. Dunson, A. Vehtari and D. B. Rubin. (</w:t>
      </w:r>
      <w:r>
        <w:rPr>
          <w:rStyle w:val="self-citation-authors"/>
        </w:rPr>
        <w:t>2013</w:t>
      </w:r>
      <w:r w:rsidRPr="00DC055B">
        <w:rPr>
          <w:rStyle w:val="self-citation-authors"/>
        </w:rPr>
        <w:t xml:space="preserve">), Bayesian Data Analysis ,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6"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7" w:history="1">
        <w:r>
          <w:rPr>
            <w:rStyle w:val="Hyperlink"/>
          </w:rPr>
          <w:t>10.1080/01621459.1989.10478852</w:t>
        </w:r>
      </w:hyperlink>
      <w:r>
        <w:t xml:space="preserve"> </w:t>
      </w:r>
    </w:p>
    <w:p w14:paraId="39B12128" w14:textId="77777777" w:rsidR="006F38C3" w:rsidRDefault="006F38C3" w:rsidP="00542464">
      <w:r w:rsidRPr="006F38C3">
        <w:t>Knape, J. (2016). Decomposing trends in Swedish bird populations using generalized additive mixed models. Journal  of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foreach: Provides Foreach Looping Construct. R package version 1.4.7. </w:t>
      </w:r>
      <w:hyperlink r:id="rId18"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9" w:history="1">
        <w:r w:rsidRPr="005D3B0A">
          <w:rPr>
            <w:rStyle w:val="Hyperlink"/>
          </w:rPr>
          <w:t>www.stateofcanadasbirds.org</w:t>
        </w:r>
      </w:hyperlink>
    </w:p>
    <w:p w14:paraId="43ADFA5C" w14:textId="734CCA37"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mgcv. PeerJ 7:e6876 </w:t>
      </w:r>
      <w:hyperlink r:id="rId20"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URL  </w:t>
      </w:r>
      <w:hyperlink r:id="rId21" w:history="1">
        <w:r w:rsidRPr="009A4418">
          <w:rPr>
            <w:rStyle w:val="Hyperlink"/>
          </w:rPr>
          <w:t>https://www.R-project.org/</w:t>
        </w:r>
      </w:hyperlink>
      <w:r>
        <w:t>.</w:t>
      </w:r>
    </w:p>
    <w:p w14:paraId="10FD5BF9" w14:textId="0D9D571D" w:rsidR="00951E0B" w:rsidRDefault="00E96FC6" w:rsidP="00B86AB3">
      <w:r w:rsidRPr="00E96FC6">
        <w:t>Roberts, D. R., V. Bahn, S. Ciuti, M. S. Boyce, J. Elith, G. Guillera-Arroita, S. Hauenstein, J. J. Lahoz-Monfort, B. Schroder, W. Thuiller, D. I. Warton, B. A. Wintle, F. Hartig, and C. F. Dormann. 2017. Cross-validation strategies for data with temporal, spatial, hierarchical or phylogenetic structure. - Ecography doi: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Dokter, A. M., Blancher, P. J., Sauer, J. R., Smith, A. C., Smith, P. A., </w:t>
      </w:r>
      <w:r w:rsidR="001F6412" w:rsidRPr="001F6412">
        <w:t>Stanton</w:t>
      </w:r>
      <w:r w:rsidR="001F6412">
        <w:t>, J.C.</w:t>
      </w:r>
      <w:r w:rsidR="001F6412" w:rsidRPr="001F6412">
        <w:t>, Panjabi</w:t>
      </w:r>
      <w:r w:rsidR="001F6412">
        <w:t>, A.,</w:t>
      </w:r>
      <w:r w:rsidR="001F6412" w:rsidRPr="001F6412">
        <w:t xml:space="preserve"> Helft</w:t>
      </w:r>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Sauer, J.R., J.E. Hines, J.E. Fallon, K.L. Pardieck, D.J. Ziolkowski Jr., and W.A. Link. 2014. The North American Breeding Bird Survey, Results and Analysis 1966 – 2013. Version 01.30.2015 USGS Patuxent Wildlife Research Center, Laurel, MD.</w:t>
      </w:r>
    </w:p>
    <w:p w14:paraId="10D263FB" w14:textId="77777777" w:rsidR="00727F91" w:rsidRDefault="00727F91" w:rsidP="00727F91">
      <w:r>
        <w:t>Smith A.C., M.-A.R. Hudson, C. Downes,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lastRenderedPageBreak/>
        <w:t>Smith, A. C., M.-A.R. Hudson, C. Downes, and C.M. Francis (2015). Change points in the population trends of aerial-insectivorous birds in North America: synchronized in time across species and regions. PLoS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r>
        <w:t xml:space="preserve">Vehtari, A., Gelman, A., and Gabry, J. (2017). Practical Bayesian model evaluation using leave-one-out cross-validation and WAIC. </w:t>
      </w:r>
      <w:r>
        <w:rPr>
          <w:rStyle w:val="Emphasis"/>
        </w:rPr>
        <w:t>Statistics and Computing</w:t>
      </w:r>
      <w:r>
        <w:t>. 27(5), 1413--1432. doi:10.1007/s11222-016-9696-4.</w:t>
      </w:r>
    </w:p>
    <w:p w14:paraId="163EC1F3" w14:textId="4EE74382" w:rsidR="006F38C3" w:rsidRDefault="006F38C3" w:rsidP="00D3609B">
      <w:r>
        <w:t>Wickham, H. ggplot2: Elegant Graphics for Data Analysis. Springer-Verlag New York, 2016.</w:t>
      </w:r>
    </w:p>
    <w:p w14:paraId="57F4534E" w14:textId="7F8AD270" w:rsidR="000B0EE0" w:rsidRDefault="00A056D5" w:rsidP="00D3609B">
      <w:r>
        <w:t>Wood, S. N. Generalized additive models: an introduction with R; 2</w:t>
      </w:r>
      <w:r w:rsidRPr="00A056D5">
        <w:rPr>
          <w:vertAlign w:val="superscript"/>
        </w:rPr>
        <w:t>nd</w:t>
      </w:r>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r w:rsidRPr="00922F1F">
        <w:rPr>
          <w:rStyle w:val="lrzxr"/>
          <w:i/>
        </w:rPr>
        <w:t>Hirundo rustica</w:t>
      </w:r>
      <w:r w:rsidR="0032218E">
        <w:rPr>
          <w:rStyle w:val="lrzxr"/>
        </w:rPr>
        <w:t>) estimated from the BBS</w:t>
      </w:r>
      <w:r>
        <w:rPr>
          <w:rStyle w:val="lrzxr"/>
        </w:rPr>
        <w:t xml:space="preserve"> using two models described here that include a GAM smoothing function to model change over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Adam C. [NCR]" w:date="2020-02-06T19:57:00Z" w:initials="SC[">
    <w:p w14:paraId="5F95C32A" w14:textId="53CB5161" w:rsidR="00DD79A0" w:rsidRDefault="00DD79A0">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D108B"/>
    <w:rsid w:val="005E1D4F"/>
    <w:rsid w:val="005E2C22"/>
    <w:rsid w:val="005E43C8"/>
    <w:rsid w:val="005F19E6"/>
    <w:rsid w:val="006117E7"/>
    <w:rsid w:val="00617D3B"/>
    <w:rsid w:val="006229B5"/>
    <w:rsid w:val="00627F11"/>
    <w:rsid w:val="00634DDD"/>
    <w:rsid w:val="00636713"/>
    <w:rsid w:val="00641336"/>
    <w:rsid w:val="00644456"/>
    <w:rsid w:val="00651492"/>
    <w:rsid w:val="0065459C"/>
    <w:rsid w:val="00657376"/>
    <w:rsid w:val="006575E7"/>
    <w:rsid w:val="00657BD5"/>
    <w:rsid w:val="00660E56"/>
    <w:rsid w:val="00673EDA"/>
    <w:rsid w:val="006749FB"/>
    <w:rsid w:val="00681CA4"/>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07C9"/>
    <w:rsid w:val="00D844BB"/>
    <w:rsid w:val="00DB67C9"/>
    <w:rsid w:val="00DC055B"/>
    <w:rsid w:val="00DD1696"/>
    <w:rsid w:val="00DD5093"/>
    <w:rsid w:val="00DD535A"/>
    <w:rsid w:val="00DD79A0"/>
    <w:rsid w:val="00DE0E93"/>
    <w:rsid w:val="00DE6287"/>
    <w:rsid w:val="00E02252"/>
    <w:rsid w:val="00E02722"/>
    <w:rsid w:val="00E04314"/>
    <w:rsid w:val="00E22FFA"/>
    <w:rsid w:val="00E26954"/>
    <w:rsid w:val="00E31D57"/>
    <w:rsid w:val="00E7115B"/>
    <w:rsid w:val="00E92107"/>
    <w:rsid w:val="00E95221"/>
    <w:rsid w:val="00E96FC6"/>
    <w:rsid w:val="00EB25B5"/>
    <w:rsid w:val="00EB38C2"/>
    <w:rsid w:val="00EB5F8A"/>
    <w:rsid w:val="00EC54D7"/>
    <w:rsid w:val="00EC5C6A"/>
    <w:rsid w:val="00EE1119"/>
    <w:rsid w:val="00EE2295"/>
    <w:rsid w:val="00EF0409"/>
    <w:rsid w:val="00EF228A"/>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omments" Target="comments.xml"/><Relationship Id="rId18" Type="http://schemas.openxmlformats.org/officeDocument/2006/relationships/hyperlink" Target="https://CRAN.R-project.org/package=foreach" TargetMode="Externa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yperlink" Target="https://doi.org/10.1080/01621459.1989.10478852" TargetMode="External"/><Relationship Id="rId2" Type="http://schemas.openxmlformats.org/officeDocument/2006/relationships/styles" Target="styles.xml"/><Relationship Id="rId16" Type="http://schemas.openxmlformats.org/officeDocument/2006/relationships/hyperlink" Target="http://www.iucnredlist.org/documents/RedListGuidelines.pdf" TargetMode="External"/><Relationship Id="rId20" Type="http://schemas.openxmlformats.org/officeDocument/2006/relationships/hyperlink" Target="https://doi.org/10.7717/peerj.6876"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registrelep-sararegistry.gc.ca" TargetMode="External"/><Relationship Id="rId23" Type="http://schemas.microsoft.com/office/2011/relationships/people" Target="people.xml"/><Relationship Id="rId10" Type="http://schemas.openxmlformats.org/officeDocument/2006/relationships/oleObject" Target="embeddings/oleObject3.bin"/><Relationship Id="rId19" Type="http://schemas.openxmlformats.org/officeDocument/2006/relationships/hyperlink" Target="http://www.stateofcanadasbirds.or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2196</TotalTime>
  <Pages>20</Pages>
  <Words>7769</Words>
  <Characters>44287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97</cp:revision>
  <dcterms:created xsi:type="dcterms:W3CDTF">2020-02-07T21:53:00Z</dcterms:created>
  <dcterms:modified xsi:type="dcterms:W3CDTF">2020-02-16T20:36:00Z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