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EE2CD" w14:textId="7CB37538" w:rsidR="00896367" w:rsidRDefault="00896367">
      <w:r>
        <w:t>Improved status and trend estimates from the North American Breeding Bird Survey using a hierarchical Bayesian generalized additive model</w:t>
      </w:r>
    </w:p>
    <w:p w14:paraId="462DD0C2" w14:textId="3884E1B3" w:rsidR="00896367" w:rsidRDefault="00896367">
      <w:r>
        <w:t>Adam C. Smith</w:t>
      </w:r>
      <w:r w:rsidR="0058220E">
        <w:t>, Canadian Wildlife Service, Environment Climate Change Canada, National Wildlife Research Centre, Ottawa Canada.</w:t>
      </w:r>
    </w:p>
    <w:p w14:paraId="132B5B92" w14:textId="79A98D4B" w:rsidR="00896367" w:rsidRDefault="00896367">
      <w:r>
        <w:t>Brandon P.M. Edwards</w:t>
      </w:r>
      <w:r w:rsidR="0058220E">
        <w:t>, Department of Integrated Biology, University of Guelph, Guelph Canada.</w:t>
      </w:r>
    </w:p>
    <w:p w14:paraId="7070E1AA" w14:textId="341F11E9" w:rsidR="00693DD9" w:rsidRDefault="00693DD9">
      <w:r>
        <w:t>Abstract:</w:t>
      </w:r>
    </w:p>
    <w:p w14:paraId="0555132F" w14:textId="6B2D900B" w:rsidR="00B2157C" w:rsidRDefault="00DD79A0">
      <w:r>
        <w:t xml:space="preserve">The status and trend estimates derived from the North American Breeding Bird Survey (BBS), are critical sources of information for bird conservation. However, many of the varied uses of these estimates would be </w:t>
      </w:r>
      <w:r w:rsidR="0058220E">
        <w:t>better served by modeling approaches</w:t>
      </w:r>
      <w:r>
        <w:t xml:space="preserve"> that are more sensitive to changes in the ra</w:t>
      </w:r>
      <w:r w:rsidR="00651492">
        <w:t>tes of population change through time</w:t>
      </w:r>
      <w:r w:rsidR="00360F4A">
        <w:t>, such as change points and cycles,</w:t>
      </w:r>
      <w:r w:rsidR="00651492">
        <w:t xml:space="preserve"> and </w:t>
      </w:r>
      <w:r w:rsidR="00360F4A">
        <w:t xml:space="preserve">that </w:t>
      </w:r>
      <w:r w:rsidR="00651492">
        <w:t xml:space="preserve">allow for the sharing of information </w:t>
      </w:r>
      <w:r w:rsidR="00360F4A">
        <w:t>across the species’ range,</w:t>
      </w:r>
      <w:r w:rsidR="00651492">
        <w:t xml:space="preserve"> to improve region</w:t>
      </w:r>
      <w:r w:rsidR="0058220E">
        <w:t>al estimates. Here we describe</w:t>
      </w:r>
      <w:r w:rsidR="00651492">
        <w:t xml:space="preserve"> h</w:t>
      </w:r>
      <w:r w:rsidR="00B2157C">
        <w:t xml:space="preserve">ierarchical Bayesian </w:t>
      </w:r>
      <w:r w:rsidR="00651492">
        <w:t>generalized addi</w:t>
      </w:r>
      <w:r w:rsidR="0058220E">
        <w:t>tive mixed-models (GAM) that fit</w:t>
      </w:r>
      <w:r w:rsidR="00651492">
        <w:t xml:space="preserve"> these criteria</w:t>
      </w:r>
      <w:r w:rsidR="0058220E">
        <w:t xml:space="preserve">, </w:t>
      </w:r>
      <w:r w:rsidR="00651492">
        <w:t>generat</w:t>
      </w:r>
      <w:r w:rsidR="0058220E">
        <w:t>ing</w:t>
      </w:r>
      <w:r w:rsidR="00651492">
        <w:t xml:space="preserve"> status and trend estimates </w:t>
      </w:r>
      <w:r w:rsidR="00B13B9D">
        <w:t>optimized for many common uses related to</w:t>
      </w:r>
      <w:r w:rsidR="00651492">
        <w:t xml:space="preserve"> conservation assessments.</w:t>
      </w:r>
      <w:r w:rsidR="00B2157C">
        <w:t xml:space="preserve"> </w:t>
      </w:r>
      <w:r w:rsidR="00B13B9D">
        <w:t>We demonstrate the models</w:t>
      </w:r>
      <w:r w:rsidR="0058220E">
        <w:t xml:space="preserve"> and their benefits</w:t>
      </w:r>
      <w:r w:rsidR="00B13B9D">
        <w:t xml:space="preserve"> </w:t>
      </w:r>
      <w:r w:rsidR="0058220E">
        <w:t>using</w:t>
      </w:r>
      <w:r w:rsidR="00B13B9D">
        <w:t xml:space="preserve"> data for Barn Swallow (</w:t>
      </w:r>
      <w:r w:rsidR="00B13B9D" w:rsidRPr="00360F4A">
        <w:rPr>
          <w:i/>
        </w:rPr>
        <w:t>Hirundo rustica</w:t>
      </w:r>
      <w:r w:rsidR="00B13B9D">
        <w:t>)</w:t>
      </w:r>
      <w:r w:rsidR="0058220E">
        <w:t>,</w:t>
      </w:r>
      <w:r w:rsidR="00B13B9D">
        <w:t xml:space="preserve"> Wood Thrush (</w:t>
      </w:r>
      <w:r w:rsidR="00360F4A" w:rsidRPr="00360F4A">
        <w:rPr>
          <w:i/>
        </w:rPr>
        <w:t>Hylocichla mustelina</w:t>
      </w:r>
      <w:r w:rsidR="00B13B9D">
        <w:t xml:space="preserve">) and </w:t>
      </w:r>
      <w:r w:rsidR="0058220E">
        <w:t>a selection of</w:t>
      </w:r>
      <w:r w:rsidR="00B13B9D">
        <w:t xml:space="preserve"> other species, and we </w:t>
      </w:r>
      <w:r w:rsidR="00B2157C">
        <w:t xml:space="preserve">run a full cross-validation of the GAM against two other BBS models to compare </w:t>
      </w:r>
      <w:r w:rsidR="00B13B9D">
        <w:t>predictive fit</w:t>
      </w:r>
      <w:r w:rsidR="00B2157C">
        <w:t>.</w:t>
      </w:r>
      <w:r w:rsidR="00EF228A">
        <w:t xml:space="preserve"> </w:t>
      </w:r>
      <w:r w:rsidR="00B13B9D">
        <w:t>We used a</w:t>
      </w:r>
      <w:r w:rsidR="004E15BD">
        <w:t xml:space="preserve"> 15</w:t>
      </w:r>
      <w:r w:rsidR="00B13B9D">
        <w:t xml:space="preserve">-fold cross-validation approach, </w:t>
      </w:r>
      <w:r w:rsidR="0058220E">
        <w:t xml:space="preserve">which </w:t>
      </w:r>
      <w:r w:rsidR="00EF228A">
        <w:t>provides a practical alternative to assessing predictive fit across the entire BBS dataset, while accounting for the spatial and temporal imbalances in the data.</w:t>
      </w:r>
      <w:r w:rsidR="00B13B9D">
        <w:t xml:space="preserve"> </w:t>
      </w:r>
      <w:r w:rsidR="00B2157C">
        <w:t>The GAM</w:t>
      </w:r>
      <w:r w:rsidR="00360F4A">
        <w:t>s have</w:t>
      </w:r>
      <w:r w:rsidR="00B2157C">
        <w:t xml:space="preserve"> better predictive fit than the standard model for all species studied here</w:t>
      </w:r>
      <w:r w:rsidR="004E15BD">
        <w:t xml:space="preserve">, and </w:t>
      </w:r>
      <w:r w:rsidR="00B2157C">
        <w:t xml:space="preserve">better or comparable predictive fit </w:t>
      </w:r>
      <w:r w:rsidR="0058220E">
        <w:t>compared</w:t>
      </w:r>
      <w:r w:rsidR="00B2157C">
        <w:t xml:space="preserve"> to </w:t>
      </w:r>
      <w:r w:rsidR="00360F4A">
        <w:t xml:space="preserve">an alternative </w:t>
      </w:r>
      <w:r w:rsidR="00B2157C">
        <w:t>first difference model.</w:t>
      </w:r>
      <w:r w:rsidR="00873DF6">
        <w:t xml:space="preserve"> In addition, the GAM with added random year-effects estimates</w:t>
      </w:r>
      <w:r w:rsidR="0058220E">
        <w:t xml:space="preserve"> a population trajectory that ca</w:t>
      </w:r>
      <w:r w:rsidR="00873DF6">
        <w:t xml:space="preserve">n be decomposed into </w:t>
      </w:r>
      <w:r w:rsidR="00360F4A">
        <w:t>a</w:t>
      </w:r>
      <w:r w:rsidR="00873DF6">
        <w:t xml:space="preserve"> smooth component</w:t>
      </w:r>
      <w:r w:rsidR="0058220E">
        <w:t xml:space="preserve"> that tracks population change through the medium- and long-term, plus the</w:t>
      </w:r>
      <w:r w:rsidR="00873DF6">
        <w:t xml:space="preserve"> annual fluctuations around that smooth. </w:t>
      </w:r>
      <w:r w:rsidR="001F0643">
        <w:t xml:space="preserve">Trajectories from the model can be visualized either with or without the annual fluctuations, to suit particular research need, such as separating patterns that may follow climatological cycles from patterns that relate more to annual precipitation. </w:t>
      </w:r>
      <w:r w:rsidR="00873DF6">
        <w:t xml:space="preserve">This decomposition </w:t>
      </w:r>
      <w:r w:rsidR="001F0643">
        <w:t xml:space="preserve">also </w:t>
      </w:r>
      <w:r w:rsidR="00873DF6">
        <w:t xml:space="preserve">generates trend estimates that remove the </w:t>
      </w:r>
      <w:r w:rsidR="0058220E">
        <w:t xml:space="preserve">variation of those </w:t>
      </w:r>
      <w:r w:rsidR="00873DF6">
        <w:t xml:space="preserve">annual fluctuations and are therefore more useful for </w:t>
      </w:r>
      <w:r w:rsidR="0058220E">
        <w:t>trend-based</w:t>
      </w:r>
      <w:r w:rsidR="00873DF6">
        <w:t xml:space="preserve"> status assessments</w:t>
      </w:r>
      <w:r w:rsidR="001F0643">
        <w:t>,</w:t>
      </w:r>
      <w:r w:rsidR="00873DF6">
        <w:t xml:space="preserve"> such as </w:t>
      </w:r>
      <w:r w:rsidR="0058220E">
        <w:t>those by the IUCN</w:t>
      </w:r>
      <w:r w:rsidR="00873DF6">
        <w:t xml:space="preserve">. </w:t>
      </w:r>
    </w:p>
    <w:p w14:paraId="358E1B63" w14:textId="77777777" w:rsidR="00693DD9" w:rsidRDefault="00693DD9">
      <w:r>
        <w:br w:type="page"/>
      </w:r>
    </w:p>
    <w:p w14:paraId="27BD7CB5" w14:textId="77777777" w:rsidR="00693DD9" w:rsidRDefault="00693DD9">
      <w:r>
        <w:lastRenderedPageBreak/>
        <w:t>Introduction</w:t>
      </w:r>
    </w:p>
    <w:p w14:paraId="2B65FA21" w14:textId="574C29CB"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E643FF">
        <w:t xml:space="preserve">are a keystone </w:t>
      </w:r>
      <w:r w:rsidR="00967A4C">
        <w:t>of avian conservation in North America</w:t>
      </w:r>
      <w:r>
        <w:t>.</w:t>
      </w:r>
      <w:r w:rsidR="00967A4C">
        <w:t xml:space="preserve"> </w:t>
      </w:r>
      <w:r w:rsidR="00E643FF">
        <w:t>Using these data, t</w:t>
      </w:r>
      <w:r w:rsidR="00967A4C">
        <w:t>he Canadian Wildlife Service (CWS, a division of Environment and Climate Change Canada) and the United States Geological Survey (USGS) produce national and regional status and trend estimates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E643FF">
        <w:t>are an invaluable resource</w:t>
      </w:r>
      <w:r w:rsidR="000369EE">
        <w:t xml:space="preserve">, </w:t>
      </w:r>
      <w:r w:rsidR="00967A4C">
        <w:t xml:space="preserve">used by many conservation organizations and researchers to visualize, analyze, and assess the population status of over 400 species of birds (e.g., NABCI Canada 2019, </w:t>
      </w:r>
      <w:r w:rsidR="00657376">
        <w:t>Rosenberg et al. 2019, Rosenberg et al. 2017</w:t>
      </w:r>
      <w:r w:rsidR="00967A4C">
        <w:t>).</w:t>
      </w:r>
    </w:p>
    <w:p w14:paraId="0EF659E9" w14:textId="7068A898" w:rsidR="007707B3" w:rsidRDefault="00967A4C">
      <w:r>
        <w:t>While the estimates of status and trend p</w:t>
      </w:r>
      <w:r w:rsidR="000369EE">
        <w:t xml:space="preserve">roduced by the USGS and CWS serve </w:t>
      </w:r>
      <w:r>
        <w:t xml:space="preserve">many different purposes, not </w:t>
      </w:r>
      <w:r w:rsidR="00CD3CD2">
        <w:t>all uses 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w:t>
      </w:r>
      <w:r w:rsidR="00E643FF">
        <w:t xml:space="preserve"> for overall status (Partners in Flight, 2019)</w:t>
      </w:r>
      <w:r w:rsidR="009A722D">
        <w:t>, short-term trends</w:t>
      </w:r>
      <w:r w:rsidR="00E643FF">
        <w:t xml:space="preserve"> to assess extinction-risk (IUCN 2019)</w:t>
      </w:r>
      <w:r w:rsidR="009A722D">
        <w:t>, changes in population trends</w:t>
      </w:r>
      <w:r w:rsidR="00E643FF">
        <w:t xml:space="preserve"> (Environment Climate Change Canada, 2016)</w:t>
      </w:r>
      <w:r w:rsidR="009A722D">
        <w:t>, or annual fluctuations</w:t>
      </w:r>
      <w:r w:rsidR="00E643FF">
        <w:t xml:space="preserve"> (Wilson et al., 2018). </w:t>
      </w:r>
      <w:r w:rsidR="0084398F">
        <w:t>Each one of these uses relies on different parameters and or spatial and temporal variations in those parameters,</w:t>
      </w:r>
      <w:r w:rsidR="009A722D">
        <w:t xml:space="preserve"> and no single model can estimate all parameters equally well.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rsidR="0084398F">
        <w:t xml:space="preserve">continuous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(Fewster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 xml:space="preserve">e slope component of the model). </w:t>
      </w:r>
      <w:r w:rsidR="0084398F">
        <w:t>For many purposes, t</w:t>
      </w:r>
      <w:r w:rsidR="00A76187">
        <w:t>his is a reasonable and useful assumption</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84398F">
        <w:t xml:space="preserve">declining species, such as the </w:t>
      </w:r>
      <w:r w:rsidR="00BD4C89">
        <w:t xml:space="preserve">recovery </w:t>
      </w:r>
      <w:r w:rsidR="00A66E1C">
        <w:t>of a species at risk</w:t>
      </w:r>
      <w:r w:rsidR="0084398F">
        <w:t xml:space="preserve"> (Environment Climate Change Canada, 2016)</w:t>
      </w:r>
      <w:r w:rsidR="00BD4C89">
        <w:t>, this feat</w:t>
      </w:r>
      <w:r w:rsidR="009A722D">
        <w:t xml:space="preserve">ure of the model is problematic. </w:t>
      </w:r>
    </w:p>
    <w:p w14:paraId="529A48AE" w14:textId="07CCFC5E"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(Fewster et al., 2000, Knape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w:t>
      </w:r>
      <w:r w:rsidR="000F0E8F">
        <w:lastRenderedPageBreak/>
        <w:t xml:space="preserve">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w:t>
      </w:r>
      <w:r w:rsidR="0084398F">
        <w:t xml:space="preserve">. However, </w:t>
      </w:r>
      <w:r w:rsidR="00E04314">
        <w:t>if data are sparse</w:t>
      </w:r>
      <w:r w:rsidR="00EC5C6A">
        <w:t xml:space="preserve"> in a given region and year</w:t>
      </w:r>
      <w:r w:rsidR="00681CA4">
        <w:t>,</w:t>
      </w:r>
      <w:r w:rsidR="00E04314">
        <w:t xml:space="preserve"> the population trends are shrunk towards zero</w:t>
      </w:r>
      <w:r w:rsidR="0084398F">
        <w:t xml:space="preserve">, </w:t>
      </w:r>
      <w:r w:rsidR="00C42929">
        <w:t>effectively assuming</w:t>
      </w:r>
      <w:r w:rsidR="0084398F">
        <w:t xml:space="preserve"> a stable population</w:t>
      </w:r>
      <w:r w:rsidR="00E04314">
        <w:t>.</w:t>
      </w:r>
      <w:r w:rsidR="002124ED">
        <w:t xml:space="preserve"> </w:t>
      </w:r>
      <w:r w:rsidR="0084398F">
        <w:t xml:space="preserve">This stability-prior is </w:t>
      </w:r>
      <w:r w:rsidR="00A0588F">
        <w:t>usually</w:t>
      </w:r>
      <w:r w:rsidR="0084398F">
        <w:t xml:space="preserve"> overwhelmed by the data, but </w:t>
      </w:r>
      <w:r w:rsidR="00A0588F">
        <w:t xml:space="preserve">the user of published trend estimates has no clear way to discern its influence. </w:t>
      </w:r>
    </w:p>
    <w:p w14:paraId="3A64B1DE" w14:textId="197984D2"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can be estimated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r w:rsidR="00232200">
        <w:t>can be estimated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r w:rsidR="00A56D79">
        <w:t>is</w:t>
      </w:r>
      <w:r w:rsidR="0016530C">
        <w:t xml:space="preserve"> assessed</w:t>
      </w:r>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(Knape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7762DFF1" w14:textId="77777777" w:rsidR="00693DD9" w:rsidRDefault="00693DD9">
      <w:bookmarkStart w:id="0" w:name="_GoBack"/>
      <w:bookmarkEnd w:id="0"/>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are </w:t>
      </w:r>
      <w:r w:rsidR="005F19E6">
        <w:t>treated</w:t>
      </w:r>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sidRPr="004E15BD">
        <w:t>an alternative parameterization</w:t>
      </w:r>
      <w:r w:rsidR="00D800EB" w:rsidRPr="004E15BD">
        <w:t xml:space="preserve"> to the </w:t>
      </w:r>
      <w:r w:rsidR="00063FEC" w:rsidRPr="004E15BD">
        <w:t xml:space="preserve">“GS” </w:t>
      </w:r>
      <w:r w:rsidR="00D800EB" w:rsidRPr="004E15BD">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have been used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overdispersed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75pt" o:ole="">
            <v:imagedata r:id="rId5" o:title=""/>
          </v:shape>
          <o:OLEObject Type="Embed" ProgID="Equation.DSMT4" ShapeID="_x0000_i1025" DrawAspect="Content" ObjectID="_1644820943" r:id="rId6"/>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75pt;height:18.75pt" o:ole="">
            <v:imagedata r:id="rId7" o:title=""/>
          </v:shape>
          <o:OLEObject Type="Embed" ProgID="Equation.DSMT4" ShapeID="_x0000_i1026" DrawAspect="Content" ObjectID="_1644820944" r:id="rId8"/>
        </w:object>
      </w:r>
      <w:r w:rsidR="004E6A3E">
        <w:t>)</w:t>
      </w:r>
      <w:r w:rsidR="00990F31">
        <w:t xml:space="preserve">, </w:t>
      </w:r>
      <w:r w:rsidR="001C7B51">
        <w:t>a count-level random effect to model overdispersion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178B886C" w:rsidR="005959D2" w:rsidRDefault="004E15BD">
      <w:r>
        <w:t>T</w:t>
      </w:r>
      <w:r w:rsidR="00985F5B">
        <w:t xml:space="preserve">he </w:t>
      </w:r>
      <w:r>
        <w:t xml:space="preserve">main </w:t>
      </w:r>
      <w:r w:rsidR="00985F5B">
        <w:t xml:space="preserve">temporal component </w:t>
      </w:r>
      <w:r>
        <w:t xml:space="preserve">in the GAM </w:t>
      </w:r>
      <w:r w:rsidR="00985F5B">
        <w:t xml:space="preserve">was </w:t>
      </w:r>
      <w:r w:rsidR="00A56D79">
        <w:t>modeled with</w:t>
      </w:r>
      <w:r w:rsidR="005959D2">
        <w:t xml:space="preserve"> a </w:t>
      </w:r>
      <w:r w:rsidR="00C42929">
        <w:t>semi-parametric</w:t>
      </w:r>
      <w:r w:rsidR="005959D2">
        <w:t xml:space="preserve"> smooth</w:t>
      </w:r>
      <w:r w:rsidR="00985F5B">
        <w:t>, estimated</w:t>
      </w:r>
      <w:r w:rsidR="005959D2">
        <w:t xml:space="preserve"> fol</w:t>
      </w:r>
      <w:r w:rsidR="00FF634E">
        <w:t>lowing Crainiceanu et al (2005)</w:t>
      </w:r>
      <w:r w:rsidR="00181669">
        <w:t>.</w:t>
      </w:r>
      <w:r w:rsidR="005959D2">
        <w:t xml:space="preserve"> </w:t>
      </w:r>
    </w:p>
    <w:p w14:paraId="273D1BA9" w14:textId="4A858175" w:rsidR="005959D2" w:rsidRDefault="007357DE">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X</m:t>
                  </m:r>
                </m:e>
                <m:sub>
                  <m:r>
                    <w:rPr>
                      <w:rFonts w:ascii="Cambria Math" w:hAnsi="Cambria Math"/>
                    </w:rPr>
                    <m:t>t,k</m:t>
                  </m:r>
                </m:sub>
              </m:sSub>
            </m:e>
          </m:nary>
        </m:oMath>
      </m:oMathPara>
    </w:p>
    <w:p w14:paraId="6E5AF02B" w14:textId="30B1C65C"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X</m:t>
            </m:r>
          </m:e>
          <m:sub>
            <m:r>
              <w:rPr>
                <w:rFonts w:ascii="Cambria Math" w:hAnsi="Cambria Math"/>
              </w:rPr>
              <m:t>t,k</m:t>
            </m:r>
          </m:sub>
        </m:sSub>
      </m:oMath>
      <w:r>
        <w:t xml:space="preserve">is the year-t and k-th entry in the design matrix </w:t>
      </w:r>
      <m:oMath>
        <m:r>
          <w:rPr>
            <w:rFonts w:ascii="Cambria Math" w:hAnsi="Cambria Math"/>
          </w:rPr>
          <m:t>X</m:t>
        </m:r>
      </m:oMath>
      <w:r w:rsidR="00124DCA" w:rsidRPr="00124DCA">
        <w:t xml:space="preserve"> </w: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r w:rsidR="000035BE">
        <w:t xml:space="preserve">is estimated as a random effect, centered on a </w:t>
      </w:r>
      <w:r w:rsidR="00634DDD">
        <w:t xml:space="preserve">Hyperparameter: a </w:t>
      </w:r>
      <w:r w:rsidR="000035BE">
        <w:t>mean across all strata (</w:t>
      </w:r>
      <w:r w:rsidR="000035BE" w:rsidRPr="000035BE">
        <w:rPr>
          <w:position w:val="-12"/>
        </w:rPr>
        <w:object w:dxaOrig="300" w:dyaOrig="360" w14:anchorId="41D7C510">
          <v:shape id="_x0000_i1027" type="#_x0000_t75" style="width:15pt;height:18.75pt" o:ole="">
            <v:imagedata r:id="rId9" o:title=""/>
          </v:shape>
          <o:OLEObject Type="Embed" ProgID="Equation.DSMT4" ShapeID="_x0000_i1027" DrawAspect="Content" ObjectID="_1644820945" r:id="rId10"/>
        </w:object>
      </w:r>
      <w:r w:rsidR="000035BE">
        <w:t>).</w:t>
      </w:r>
    </w:p>
    <w:p w14:paraId="31BC904B" w14:textId="79165910" w:rsidR="00617D3B" w:rsidRDefault="007357DE">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(Crainiceanu et al. 2005)</w:t>
      </w:r>
      <w:r w:rsidR="00634DDD">
        <w:t xml:space="preserve">. </w:t>
      </w:r>
    </w:p>
    <w:p w14:paraId="5FA7007A" w14:textId="1B9E9662"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w:r w:rsidR="00DC78F6">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 and i</w:t>
      </w:r>
      <w:r w:rsidR="00471237">
        <w:t>t</w:t>
      </w:r>
      <w:r w:rsidR="002F0604">
        <w:t xml:space="preserve"> was calculated </w:t>
      </w:r>
      <w:r w:rsidR="00471237">
        <w:t xml:space="preserve">in R, </w:t>
      </w:r>
      <w:r w:rsidR="002F0604">
        <w:t>following Crainiceanu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jagam</w:t>
      </w:r>
      <w:r w:rsidR="00183FBC">
        <w:t xml:space="preserve"> function in the</w:t>
      </w:r>
      <w:r w:rsidR="00951E0B">
        <w:t xml:space="preserve"> R-packag</w:t>
      </w:r>
      <w:r w:rsidR="00471237">
        <w:t>e m</w:t>
      </w:r>
      <w:r w:rsidR="007634D3">
        <w:t xml:space="preserve">gcv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mgcv. </w:t>
      </w:r>
      <w:r w:rsidR="001E7DDD">
        <w:t>However, when we tried to implement a fully Bayesian versi</w:t>
      </w:r>
      <w:r w:rsidR="00471237">
        <w:t>on of the mgcv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1A473E3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w:t>
      </w:r>
      <w:r w:rsidR="004E15BD">
        <w:t xml:space="preserve">following </w:t>
      </w:r>
      <w:r w:rsidR="00A66E1C">
        <w:t>the default setting in the R-package bbsBayes</w:t>
      </w:r>
      <w:r w:rsidR="00306160">
        <w:t xml:space="preserve"> (Edwards and Smith unpublished)</w:t>
      </w:r>
      <w:r w:rsidR="004E15BD">
        <w:t>, which</w:t>
      </w:r>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AM-coefficients</w:t>
      </w:r>
      <w:r>
        <w:t xml:space="preserve">, </w:t>
      </w:r>
      <w:r w:rsidR="00A6292C">
        <w:t>were set following</w:t>
      </w:r>
      <w:r w:rsidR="007E17F7">
        <w:t xml:space="preserve"> advice in</w:t>
      </w:r>
      <w:r w:rsidR="00A6292C">
        <w:t xml:space="preserve"> Crainiceanu et al (2005)</w:t>
      </w:r>
      <w:r w:rsidR="007E17F7">
        <w:t xml:space="preserve"> and Gelman (200</w:t>
      </w:r>
      <w:r w:rsidR="00553A37">
        <w:t>6</w:t>
      </w:r>
      <w:r w:rsidR="007E17F7">
        <w:t>)</w:t>
      </w:r>
      <w:r w:rsidR="00A6292C">
        <w:t>, as follows:</w:t>
      </w:r>
      <w:r w:rsidR="007E17F7">
        <w:t xml:space="preserve"> </w:t>
      </w:r>
    </w:p>
    <w:p w14:paraId="3006C45D" w14:textId="47B90930" w:rsidR="00544ECC" w:rsidRPr="00544ECC" w:rsidRDefault="007357DE">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7357DE">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35DDAB68"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Knape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4E15BD">
        <w:t xml:space="preserv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6F78751" w:rsidR="00544ECC" w:rsidRDefault="007357DE">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X</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28945028"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that include the effects of the </w:t>
      </w:r>
      <w:r w:rsidR="004E15BD">
        <w:t xml:space="preserve">smooth and the </w:t>
      </w:r>
      <w:r>
        <w:t>annual fluctuations or that remove these annual fluctuations</w:t>
      </w:r>
      <w:r w:rsidR="006117E7">
        <w:t xml:space="preserve"> to highlight the medium- and long-term changes</w:t>
      </w:r>
      <w:r w:rsidR="004E15BD">
        <w:t xml:space="preserve"> in the smooth</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7357DE">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7357DE">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overdispersion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5AB60CB5" w:rsidR="008F1847" w:rsidRDefault="00B86AB3" w:rsidP="008F1847">
      <w:r>
        <w:t>All analyses in this paper were conducted in R (R Core Team, 2019), using JAGS to implement the Bayesian analyses</w:t>
      </w:r>
      <w:r w:rsidR="00D3609B">
        <w:t xml:space="preserve"> (Plummer 2003)</w:t>
      </w:r>
      <w:r w:rsidR="00DD5093">
        <w:t>, and an R-package bbsBayes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r w:rsidR="0057328C">
        <w:t>are</w:t>
      </w:r>
      <w:r w:rsidR="002D21BE">
        <w:t xml:space="preserve"> archived online (</w:t>
      </w:r>
      <w:r w:rsidR="00BA5718">
        <w:t>www.github.com/AdamCSmithCWS/GAM_Paper_Script</w:t>
      </w:r>
      <w:r w:rsidR="002D21BE">
        <w:t>)</w:t>
      </w:r>
      <w:r w:rsidR="008F1847">
        <w:t xml:space="preserve">. In addition, all of the models used here can be applied to the BBS data using </w:t>
      </w:r>
      <w:r w:rsidR="007D113A">
        <w:t>the</w:t>
      </w:r>
      <w:r w:rsidR="008F1847">
        <w:t xml:space="preserve"> R-package “bbsBayes” currently available </w:t>
      </w:r>
      <w:r w:rsidR="008F1847" w:rsidRPr="000A6F62">
        <w:rPr>
          <w:highlight w:val="yellow"/>
        </w:rPr>
        <w:t>on GitHub</w:t>
      </w:r>
      <w:r w:rsidR="00BA5718">
        <w:t xml:space="preserve"> (www.github.com/BrandonEdwards/bbsBayes)</w:t>
      </w:r>
      <w:r w:rsidR="008F1847">
        <w:t>.</w:t>
      </w:r>
    </w:p>
    <w:p w14:paraId="03375807" w14:textId="77777777" w:rsidR="00D800EB" w:rsidRDefault="00D800EB">
      <w:r>
        <w:lastRenderedPageBreak/>
        <w:t>Cross-validation</w:t>
      </w:r>
    </w:p>
    <w:p w14:paraId="508962C1" w14:textId="15194ACC" w:rsidR="006A5952" w:rsidRDefault="006A5952" w:rsidP="006A5952">
      <w:r>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 We chose this approach over a leave-one-out approach using a random subset of counts (e.g., Link et al. 2019), because we wanted to assess the predictive success across all counts in the dataset, and because we wanted to explore the temporal and spatial patterns in predictive success. We followed a similar procedure to that outlined in Link et al. 2017 to implement the cross-validation in a parallel computing en</w:t>
      </w:r>
      <w:r w:rsidR="000744E4">
        <w:t>vironment, using the R-</w:t>
      </w:r>
      <w:r w:rsidR="000744E4" w:rsidRPr="00C80B04">
        <w:t>package</w:t>
      </w:r>
      <w:r w:rsidRPr="00C80B04">
        <w:t xml:space="preserve"> foreach</w:t>
      </w:r>
      <w:r w:rsidR="000744E4" w:rsidRPr="00C80B04">
        <w:t xml:space="preserve"> (Microsoft and Weston 2019)</w:t>
      </w:r>
      <w:r w:rsidRPr="00C80B04">
        <w:t>.</w:t>
      </w:r>
      <w:r>
        <w:t xml:space="preserve"> We did not calculate WAIC because previous work has shown that WAIC does not approximate loocv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Vehtari et al. 2017</w:t>
      </w:r>
      <w:r>
        <w:t xml:space="preserve">). </w:t>
      </w:r>
      <w:r w:rsidR="00910982">
        <w:t>F</w:t>
      </w:r>
      <w:r w:rsidR="006B14A3">
        <w:t>or a given model-</w:t>
      </w:r>
      <w:r w:rsidR="006B14A3" w:rsidRPr="006B14A3">
        <w:rPr>
          <w:i/>
        </w:rPr>
        <w:t>M</w:t>
      </w:r>
      <w:r w:rsidR="006B14A3">
        <w:t xml:space="preserve">, </w:t>
      </w:r>
      <w:r w:rsidR="00910982">
        <w:t xml:space="preserve">elpd </w:t>
      </w:r>
      <w:r>
        <w:t xml:space="preserve">is </w:t>
      </w:r>
      <w:r w:rsidR="00117EBD">
        <w:t xml:space="preserve">the </w:t>
      </w:r>
      <w:r w:rsidR="006B14A3">
        <w:t xml:space="preserve">estimated </w:t>
      </w:r>
      <w:r w:rsidR="00910982">
        <w:t xml:space="preserve">log posterior probability for </w:t>
      </w:r>
      <w:r>
        <w:t>each observation</w:t>
      </w:r>
      <w:r w:rsidR="006A5952">
        <w:t>-i, for the model-</w:t>
      </w:r>
      <w:r w:rsidR="006A5952" w:rsidRPr="006A5952">
        <w:rPr>
          <w:i/>
        </w:rPr>
        <w:t>M</w:t>
      </w:r>
      <w:r w:rsidR="006A5952">
        <w:t xml:space="preserve"> fit to all data except those in the set-</w:t>
      </w:r>
      <w:r w:rsidR="00433915">
        <w:t>v</w:t>
      </w:r>
      <w:r w:rsidR="006A5952">
        <w:t xml:space="preserve"> that includes i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7357DE">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elpd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elpd values to generate BPIC values (Link et al. 2019), instead, we have compared model-based estimates of mean difference in elpd between pairs of models. </w:t>
      </w:r>
      <w:r w:rsidR="00730443">
        <w:t xml:space="preserve">To compare the prediction error between pairs of models, we calculated the </w:t>
      </w:r>
      <w:r w:rsidR="00EB5F8A">
        <w:t>difference in</w:t>
      </w:r>
      <w:r w:rsidR="00991B8A">
        <w:t xml:space="preserve"> the </w:t>
      </w:r>
      <w:r>
        <w:t xml:space="preserve">elpd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r w:rsidR="00EB5F8A">
        <w:t xml:space="preserve">as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(Vehtari et al. 2017, and Link et al. 2017)</w:t>
      </w:r>
      <w:r w:rsidR="00730443">
        <w:t>. This model treated the</w:t>
      </w:r>
      <w:r w:rsidR="00C45492">
        <w:t xml:space="preserve"> elpd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7357DE">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7357DE">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5D9A22D0"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2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w:t>
      </w:r>
      <w:r w:rsidR="001A6280">
        <w:t>2020</w:t>
      </w:r>
      <w:r w:rsidR="00DD5093">
        <w:t>)</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w:t>
      </w:r>
      <w:r w:rsidR="002C3B33">
        <w:lastRenderedPageBreak/>
        <w:t>distribution would give an inappropriately large weight to a few extremely poorly predicted counts (Gelman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7357DE">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exponentiated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xml:space="preserve">) is problematic, because it assumes that a global estimate of variance among observers and routes represents the true observer-route variance within each stratum equally well, and it assumes that the distribution of the estimated observer-route effects is approximately normal (Duan 1983). For many species, one or both of these two </w:t>
      </w:r>
      <w:r w:rsidR="00D474CC">
        <w:lastRenderedPageBreak/>
        <w:t xml:space="preserve">assumptions are not well supported and as a result, annual indices for some species and regions are over-estimated (Smith et al. 2015). </w:t>
      </w:r>
    </w:p>
    <w:p w14:paraId="01EFE5F0" w14:textId="41732F8E" w:rsidR="00743569" w:rsidRPr="00743569" w:rsidRDefault="007357DE"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r>
        <w:rPr>
          <w:rFonts w:eastAsiaTheme="minorEastAsia"/>
        </w:rPr>
        <w:t xml:space="preserve">we calculated the annual indices as follows: </w:t>
      </w:r>
    </w:p>
    <w:p w14:paraId="682F1117" w14:textId="31868514" w:rsidR="00743569" w:rsidRDefault="007357DE"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746E2A17" w:rsidR="00F458FB" w:rsidRDefault="00C859D2" w:rsidP="00F458FB">
      <w:r>
        <w:t>So that instead of relying on the half-variance, log-normal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(i.e.,the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5B0CB3">
        <w:rPr>
          <w:rFonts w:eastAsiaTheme="minorEastAsia"/>
        </w:rPr>
        <w:t>does</w:t>
      </w:r>
      <w:r w:rsidR="00BE0A69">
        <w:rPr>
          <w:rFonts w:eastAsiaTheme="minorEastAsia"/>
        </w:rPr>
        <w:t xml:space="preserve"> not</w:t>
      </w:r>
      <w:r w:rsidR="00127CB6">
        <w:rPr>
          <w:rFonts w:eastAsiaTheme="minorEastAsia"/>
        </w:rPr>
        <w:t xml:space="preserve"> necessarily </w:t>
      </w:r>
      <w:r w:rsidR="005B0CB3">
        <w:rPr>
          <w:rFonts w:eastAsiaTheme="minorEastAsia"/>
        </w:rPr>
        <w:t>represent a</w:t>
      </w:r>
      <w:r w:rsidR="00127CB6">
        <w:rPr>
          <w:rFonts w:eastAsiaTheme="minorEastAsia"/>
        </w:rPr>
        <w:t xml:space="preserve">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bbsBayes,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w:t>
      </w:r>
      <w:r w:rsidR="001A6280">
        <w:t>2020</w:t>
      </w:r>
      <w:r w:rsidR="006F66D1">
        <w:t xml:space="preserve">).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7357DE"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7357DE"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2F0DBFE4" w:rsidR="00B02BC2" w:rsidRDefault="00E26954" w:rsidP="00F458FB">
      <w:r>
        <w:t>a</w:t>
      </w:r>
      <w:r w:rsidR="00B02BC2">
        <w:t>nd a second</w:t>
      </w:r>
      <w:r w:rsidR="005B0CB3">
        <w:t xml:space="preserve">,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7357DE"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7357DE">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and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w:t>
      </w:r>
      <w:r>
        <w:rPr>
          <w:rFonts w:eastAsiaTheme="minorEastAsia"/>
        </w:rPr>
        <w:lastRenderedPageBreak/>
        <w:t>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bbsBayes,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235D6A85"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 xml:space="preserve">in the remainder of the species’ range (Figure </w:t>
      </w:r>
      <w:r w:rsidR="004A3023">
        <w:t>9</w:t>
      </w:r>
      <w:r w:rsidR="00A7010B">
        <w:t>). Although the mapped colours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5F8A9D6E" w14:textId="77777777" w:rsidR="008963EF" w:rsidRDefault="008963EF">
      <w:r>
        <w:lastRenderedPageBreak/>
        <w:t>Discussion</w:t>
      </w:r>
    </w:p>
    <w:p w14:paraId="01EB6F65" w14:textId="69C37724" w:rsidR="00EE1119" w:rsidRDefault="00344307">
      <w:r>
        <w:t>Using 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r w:rsidR="006D5680">
        <w:t xml:space="preserve">Fewster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p>
    <w:p w14:paraId="063B08E0" w14:textId="6253DE55"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(Knape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w:t>
      </w:r>
      <w:r w:rsidR="00BA5718">
        <w:t xml:space="preserve">Canada’s </w:t>
      </w:r>
      <w:r w:rsidR="00801D2E">
        <w:t>COSEWIC species at risk assesments (</w:t>
      </w:r>
      <w:r w:rsidR="00922F1F">
        <w:t>IUCN 2019</w:t>
      </w:r>
      <w:r w:rsidR="00801D2E">
        <w:t>). If the estimated rate of population decline is strongly dependent on the particular year in which a species is assessed,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w:t>
      </w:r>
      <w:r w:rsidR="00D807C9">
        <w:t xml:space="preserve"> just a single trend estimate</w:t>
      </w:r>
      <w:r w:rsidR="00C75D00">
        <w:t>. However, t</w:t>
      </w:r>
      <w:r w:rsidR="00183D7A">
        <w:t xml:space="preserve">he example in Figure </w:t>
      </w:r>
      <w:r w:rsidR="0020692E">
        <w:t>6</w:t>
      </w:r>
      <w:r w:rsidR="00183D7A">
        <w:t>, raises the question of whether Wood Thru</w:t>
      </w:r>
      <w:r w:rsidR="0020692E">
        <w:t>sh would have been assessed as Threatened</w:t>
      </w:r>
      <w:r w:rsidR="00183D7A">
        <w:t xml:space="preserve"> in Canada if </w:t>
      </w:r>
      <w:r w:rsidR="00136B3C">
        <w:t>the relevant trend had been estimated in 2010 or 2012, instead of 2011 (</w:t>
      </w:r>
      <w:r w:rsidR="006F38C3">
        <w:t>COSEWIC 2012</w:t>
      </w:r>
      <w:r w:rsidR="00136B3C">
        <w: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w:t>
      </w:r>
      <w:r w:rsidR="00551C4C">
        <w:lastRenderedPageBreak/>
        <w:t xml:space="preserve">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bbsBayes)</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All models agree however, that since the mid-1980’s their population have decreased.</w:t>
      </w:r>
    </w:p>
    <w:p w14:paraId="350A67D7" w14:textId="19B3465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xml:space="preserve">, similar to the overall pattern in Link et al. </w:t>
      </w:r>
      <w:r w:rsidR="001A6280">
        <w:t>2020</w:t>
      </w:r>
      <w:r>
        <w:t>. However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33BFA79C" w:rsidR="006B590A" w:rsidRDefault="00311F88">
      <w:r>
        <w:t xml:space="preserve">In general, estimates of predictive accuracy are one aspect of a thoughtful model building and assessment process, but are insufficient </w:t>
      </w:r>
      <w:r w:rsidR="00AE099C">
        <w:t>on their own (Gelman et al. 2013</w:t>
      </w:r>
      <w:r>
        <w:t xml:space="preserve"> pg 180, Burnham and Anderson 2002</w:t>
      </w:r>
      <w:r w:rsidR="0058124D">
        <w:t xml:space="preserve"> pg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w:t>
      </w:r>
      <w:r w:rsidR="001A6280">
        <w:t>2020</w:t>
      </w:r>
      <w:r>
        <w:t xml:space="preserve">).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theory or model</w:t>
      </w:r>
      <w:r w:rsidR="00D10BFD">
        <w:t>;</w:t>
      </w:r>
      <w:r w:rsidR="00101F80">
        <w:t xml:space="preserve"> and the data (Chatfield 1995)</w:t>
      </w:r>
      <w:r>
        <w:t xml:space="preserve">. </w:t>
      </w:r>
    </w:p>
    <w:p w14:paraId="7DA2B1F3" w14:textId="4B1EF479" w:rsidR="00D519A5" w:rsidRDefault="00101F80">
      <w:r>
        <w:t>Beyond the predictive accuracy results here, we suggest that model choice</w:t>
      </w:r>
      <w:r w:rsidR="00D10BFD">
        <w:t xml:space="preserve"> for the BBS </w:t>
      </w:r>
      <w:r>
        <w:t>should also be informed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 xml:space="preserve">for questions </w:t>
      </w:r>
      <w:r w:rsidR="00D10BFD">
        <w:lastRenderedPageBreak/>
        <w:t>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are used to assess the recovery (e.g., a change in the rate of decline) </w:t>
      </w:r>
      <w:r w:rsidR="00D10BFD">
        <w:t xml:space="preserve">of a species at risk (e.g., </w:t>
      </w:r>
      <w:r w:rsidR="003727DC">
        <w:t>Environment Climate Change Canada, 2016</w:t>
      </w:r>
      <w:r w:rsidR="00D10BFD">
        <w:t>)</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aprior</w:t>
      </w:r>
      <w:r w:rsidR="00D10BFD">
        <w:t>i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sensu Chatfield 1995) and </w:t>
      </w:r>
      <w:r w:rsidR="001962E0">
        <w:t>the objectives of the use of the</w:t>
      </w:r>
      <w:r w:rsidR="005E2C22">
        <w:t xml:space="preserve"> modeled</w:t>
      </w:r>
      <w:r w:rsidR="001962E0">
        <w:t xml:space="preserve"> estimates. </w:t>
      </w:r>
      <w:r>
        <w:t xml:space="preserve"> </w:t>
      </w:r>
      <w:r w:rsidR="003727DC">
        <w:t xml:space="preserve">   </w:t>
      </w:r>
    </w:p>
    <w:p w14:paraId="452F46C5" w14:textId="76526152" w:rsidR="006749FB" w:rsidRDefault="00494C39">
      <w:r>
        <w:t xml:space="preserve">Using all data in a 15-fold cross-validations allowed us to explore the spatial and temporal variation in fit, and to compare the fit across all data used in the model. Estimates of predictive fit from a random selection of BBS counts are biased </w:t>
      </w:r>
      <w:r w:rsidR="00CC507A">
        <w:t>because of the strong spatial and temporal dependencies in t</w:t>
      </w:r>
      <w:r w:rsidR="003727DC">
        <w:t>he BBS data (Roberts et al. 2017</w:t>
      </w:r>
      <w:r w:rsidR="00CC507A">
        <w:t>).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w:t>
      </w:r>
      <w:r w:rsidR="003727DC">
        <w:t>predictions (Roberts et al. 2017</w:t>
      </w:r>
      <w:r w:rsidR="006F4E90">
        <w:t xml:space="preserve">),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 In addition, spatial and temporal blocking can limit the kinds of models compared</w:t>
      </w:r>
      <w:r w:rsidR="003727DC">
        <w:t xml:space="preserve"> (e.g., Gelman et al. 2013</w:t>
      </w:r>
      <w:r w:rsidR="00311F88">
        <w:t xml:space="preserve"> pg 180)</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17D5D549" w14:textId="1DA16EE0" w:rsidR="00E31D57" w:rsidRDefault="00E31D57" w:rsidP="00E31D57">
      <w:pPr>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Model selection and multimodel inference: a practical information-theoretic approach. Second edition. Springer-Verlag, New York, New York, USA.</w:t>
      </w:r>
    </w:p>
    <w:p w14:paraId="4E2626C1" w14:textId="6DB69178" w:rsidR="006229B5" w:rsidRDefault="006229B5" w:rsidP="00E31D57">
      <w:pPr>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A 158:419–466.</w:t>
      </w:r>
    </w:p>
    <w:p w14:paraId="0FF7A0C8" w14:textId="4E5EC6EF" w:rsidR="006F38C3" w:rsidRDefault="006F38C3" w:rsidP="00E31D57">
      <w:pPr>
        <w:rPr>
          <w:rStyle w:val="self-citation-authors"/>
        </w:rPr>
      </w:pPr>
      <w:r w:rsidRPr="006F38C3">
        <w:rPr>
          <w:rStyle w:val="self-citation-authors"/>
        </w:rPr>
        <w:t xml:space="preserve">COSEWIC. 2012. COSEWIC assessment and status report on the Wood Thrush </w:t>
      </w:r>
      <w:r w:rsidRPr="006F38C3">
        <w:rPr>
          <w:rStyle w:val="self-citation-authors"/>
          <w:i/>
        </w:rPr>
        <w:t>Hylocichla mustelina</w:t>
      </w:r>
      <w:r w:rsidRPr="006F38C3">
        <w:rPr>
          <w:rStyle w:val="self-citation-authors"/>
        </w:rPr>
        <w:t xml:space="preserve"> in Canada. Committee on the Status of Endangered Wildlif</w:t>
      </w:r>
      <w:r>
        <w:rPr>
          <w:rStyle w:val="self-citation-authors"/>
        </w:rPr>
        <w:t>e in Canada. Ottawa.</w:t>
      </w:r>
    </w:p>
    <w:p w14:paraId="499C63B0" w14:textId="56A3349C" w:rsidR="00317C34" w:rsidRDefault="00317C34" w:rsidP="006229B5">
      <w:pPr>
        <w:rPr>
          <w:rStyle w:val="self-citation-authors"/>
        </w:rPr>
      </w:pPr>
      <w:r w:rsidRPr="00317C34">
        <w:rPr>
          <w:rStyle w:val="self-citation-authors"/>
        </w:rPr>
        <w:t>Crainiceanu C</w:t>
      </w:r>
      <w:r w:rsidR="00160865">
        <w:rPr>
          <w:rStyle w:val="self-citation-authors"/>
        </w:rPr>
        <w:t xml:space="preserve">M, Ruppert D, Wand MP (2005).  </w:t>
      </w:r>
      <w:r w:rsidRPr="00317C34">
        <w:rPr>
          <w:rStyle w:val="self-citation-authors"/>
        </w:rPr>
        <w:t>Bayesian A</w:t>
      </w:r>
      <w:r w:rsidR="00160865">
        <w:rPr>
          <w:rStyle w:val="self-citation-authors"/>
        </w:rPr>
        <w:t>nalysis for Penalized Spline Re</w:t>
      </w:r>
      <w:r w:rsidRPr="00317C34">
        <w:rPr>
          <w:rStyle w:val="self-citation-authors"/>
        </w:rPr>
        <w:t>gression Using W</w:t>
      </w:r>
      <w:r w:rsidR="00160865">
        <w:rPr>
          <w:rStyle w:val="self-citation-authors"/>
        </w:rPr>
        <w:t>inBUGS.</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801B5AD" w14:textId="7238230E" w:rsidR="00C80B04" w:rsidRDefault="00C80B04" w:rsidP="00C80B04">
      <w:pPr>
        <w:rPr>
          <w:rStyle w:val="self-citation-authors"/>
        </w:rPr>
      </w:pPr>
      <w:r w:rsidRPr="00C80B04">
        <w:rPr>
          <w:rStyle w:val="self-citation-authors"/>
        </w:rPr>
        <w:t>Duan</w:t>
      </w:r>
      <w:r>
        <w:rPr>
          <w:rStyle w:val="self-citation-authors"/>
        </w:rPr>
        <w:t>, N</w:t>
      </w:r>
      <w:r w:rsidRPr="00C80B04">
        <w:rPr>
          <w:rStyle w:val="self-citation-authors"/>
        </w:rPr>
        <w:t>. 1983.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p>
    <w:p w14:paraId="6EA5D515" w14:textId="6AEE074C" w:rsidR="00727F91" w:rsidRDefault="00D807C9" w:rsidP="00C80B04">
      <w:pPr>
        <w:rPr>
          <w:rStyle w:val="self-citation-authors"/>
        </w:rPr>
      </w:pPr>
      <w:r>
        <w:t xml:space="preserve">Environment Climate Change Canada </w:t>
      </w:r>
      <w:r w:rsidR="00727F91">
        <w:t xml:space="preserve">(2016). Recovery Strategy for the Canada Warbler (Cardellina canadensis) in Canada. Species at Risk Act Recovery Strategy Series. Environment Canada, Ottawa. vii + 56 pp. Available at: </w:t>
      </w:r>
      <w:hyperlink r:id="rId11"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2038890B" w:rsidR="008A5A2D" w:rsidRPr="008A5A2D" w:rsidRDefault="003F00A9" w:rsidP="003F00A9">
      <w:pPr>
        <w:rPr>
          <w:rStyle w:val="self-citation-authors"/>
        </w:rPr>
      </w:pPr>
      <w:r w:rsidRPr="003F00A9">
        <w:rPr>
          <w:rStyle w:val="self-citation-authors"/>
        </w:rPr>
        <w:t>Fewster, R. M., S. T.Buckland, G. M.Siriwardena, S. R.Baillie, and J. D.Wilson</w:t>
      </w:r>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32BCBD94" w:rsidR="008A5A2D" w:rsidRDefault="008A5A2D" w:rsidP="008A5A2D">
      <w:pPr>
        <w:rPr>
          <w:rStyle w:val="self-citation-authors"/>
        </w:rPr>
      </w:pPr>
      <w:r w:rsidRPr="008A5A2D">
        <w:rPr>
          <w:rStyle w:val="self-citation-authors"/>
        </w:rPr>
        <w:t>Gelman, A. 2006. Prior distributions for variance parameters in hierarchical models. Bayesian Analysis. 1:515-533.</w:t>
      </w:r>
    </w:p>
    <w:p w14:paraId="0DC1AFB5" w14:textId="2E7905A9" w:rsidR="002A1A18" w:rsidRDefault="002A1A18" w:rsidP="008A5A2D">
      <w:r>
        <w:t>Gelman, A., J. Hwang, and A. Vehtari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
    <w:p w14:paraId="73DAEEF2" w14:textId="5D925E41" w:rsidR="00DC055B" w:rsidRDefault="00DC055B" w:rsidP="008A5A2D">
      <w:pPr>
        <w:rPr>
          <w:rStyle w:val="self-citation-authors"/>
        </w:rPr>
      </w:pPr>
      <w:r w:rsidRPr="00DC055B">
        <w:rPr>
          <w:rStyle w:val="self-citation-authors"/>
        </w:rPr>
        <w:t>Gelman,</w:t>
      </w:r>
      <w:r>
        <w:rPr>
          <w:rStyle w:val="self-citation-authors"/>
        </w:rPr>
        <w:t xml:space="preserve"> A.,</w:t>
      </w:r>
      <w:r w:rsidRPr="00DC055B">
        <w:rPr>
          <w:rStyle w:val="self-citation-authors"/>
        </w:rPr>
        <w:t xml:space="preserve"> J. B. Carlin, H. S. Stern, D. B. Dunson, A. Vehtari and D. B. Rubin. (</w:t>
      </w:r>
      <w:r>
        <w:rPr>
          <w:rStyle w:val="self-citation-authors"/>
        </w:rPr>
        <w:t>2013</w:t>
      </w:r>
      <w:r w:rsidRPr="00DC055B">
        <w:rPr>
          <w:rStyle w:val="self-citation-authors"/>
        </w:rPr>
        <w:t xml:space="preserve">), Bayesian Data Analysis , Chapman and Hall/CRC </w:t>
      </w:r>
      <w:r>
        <w:rPr>
          <w:rStyle w:val="self-citation-authors"/>
        </w:rPr>
        <w:t>Boca Raton</w:t>
      </w:r>
      <w:r w:rsidRPr="00DC055B">
        <w:rPr>
          <w:rStyle w:val="self-citation-authors"/>
        </w:rPr>
        <w:t>.</w:t>
      </w:r>
    </w:p>
    <w:p w14:paraId="2289BA11" w14:textId="7E9EB77D" w:rsidR="00922F1F" w:rsidRDefault="00922F1F" w:rsidP="00922F1F">
      <w:pPr>
        <w:rPr>
          <w:rStyle w:val="self-citation-authors"/>
        </w:rPr>
      </w:pPr>
      <w:r w:rsidRPr="00922F1F">
        <w:rPr>
          <w:rFonts w:ascii="Cambria" w:hAnsi="Cambria" w:cs="Cambria"/>
          <w:color w:val="000000"/>
          <w:sz w:val="23"/>
          <w:szCs w:val="23"/>
          <w:lang w:val="en-CA"/>
        </w:rPr>
        <w:t xml:space="preserve">IUCN Standards and Petitions Committee. 2019. Guidelines for Using the IUCN Red List Categories and Criteria. Version 14. Prepared by the Standards and Petitions Committee. Downloadable from </w:t>
      </w:r>
      <w:hyperlink r:id="rId12" w:history="1">
        <w:r w:rsidRPr="005D3B0A">
          <w:rPr>
            <w:rStyle w:val="Hyperlink"/>
            <w:rFonts w:ascii="Cambria" w:hAnsi="Cambria" w:cs="Cambria"/>
            <w:sz w:val="23"/>
            <w:szCs w:val="23"/>
            <w:lang w:val="en-CA"/>
          </w:rPr>
          <w:t>http://www.iucnredlist.org/documents/RedListGuidelines.pdf</w:t>
        </w:r>
      </w:hyperlink>
      <w:r w:rsidRPr="00922F1F">
        <w:rPr>
          <w:rFonts w:ascii="Cambria" w:hAnsi="Cambria" w:cs="Cambria"/>
          <w:color w:val="000000"/>
          <w:sz w:val="23"/>
          <w:szCs w:val="23"/>
          <w:lang w:val="en-CA"/>
        </w:rPr>
        <w:t>.</w:t>
      </w:r>
      <w:r>
        <w:rPr>
          <w:rFonts w:ascii="Cambria" w:hAnsi="Cambria" w:cs="Cambria"/>
          <w:color w:val="000000"/>
          <w:sz w:val="23"/>
          <w:szCs w:val="23"/>
          <w:lang w:val="en-CA"/>
        </w:rPr>
        <w:t xml:space="preserve"> </w:t>
      </w:r>
    </w:p>
    <w:p w14:paraId="181A1E7A" w14:textId="7FE46D22"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3" w:history="1">
        <w:r>
          <w:rPr>
            <w:rStyle w:val="Hyperlink"/>
          </w:rPr>
          <w:t>10.1080/01621459.1989.10478852</w:t>
        </w:r>
      </w:hyperlink>
      <w:r>
        <w:t xml:space="preserve"> </w:t>
      </w:r>
    </w:p>
    <w:p w14:paraId="39B12128" w14:textId="77777777" w:rsidR="006F38C3" w:rsidRDefault="006F38C3" w:rsidP="00542464">
      <w:r w:rsidRPr="006F38C3">
        <w:t>Knape, J. (2016). Decomposing trends in Swedish bird populations using generalized additive mixed models. Journal  of  Applied  Ecology, 53, 1852–1861.</w:t>
      </w:r>
    </w:p>
    <w:p w14:paraId="793BB393" w14:textId="57F6FF68" w:rsidR="00727F91" w:rsidRDefault="00727F91" w:rsidP="00542464">
      <w:r>
        <w:t>Link, W. A. and J. R. Sauer (2016). Bayesian cross-validation for model evaluation and selection, with application to the North American Breeding Bird Survey. Ecology 97:1746–1758.</w:t>
      </w:r>
    </w:p>
    <w:p w14:paraId="36212B92" w14:textId="1DA1A5D8" w:rsidR="001A6280" w:rsidRDefault="001A6280" w:rsidP="001A6280">
      <w:r>
        <w:lastRenderedPageBreak/>
        <w:t>Link, W.A., J.R. Sauer, and D.K. Niven. (2017). Model selection for the North American Breeding Bird Survey: A comparison of methods. Condor 119(3):546–556.</w:t>
      </w:r>
    </w:p>
    <w:p w14:paraId="6D8AA432" w14:textId="23D72340" w:rsidR="00446B0D" w:rsidRDefault="00446B0D" w:rsidP="00446B0D">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B86AB3">
      <w:pPr>
        <w:rPr>
          <w:rStyle w:val="self-citation-authors"/>
        </w:rPr>
      </w:pPr>
      <w:r w:rsidRPr="00B86AB3">
        <w:rPr>
          <w:rStyle w:val="self-citation-authors"/>
        </w:rPr>
        <w:t xml:space="preserve">Microsoft and Steve Weston (2019). foreach: Provides Foreach Looping Construct. R package version 1.4.7. </w:t>
      </w:r>
      <w:hyperlink r:id="rId14" w:history="1">
        <w:r w:rsidRPr="009A4418">
          <w:rPr>
            <w:rStyle w:val="Hyperlink"/>
          </w:rPr>
          <w:t>https://CRAN.R-project.org/package=foreach</w:t>
        </w:r>
      </w:hyperlink>
    </w:p>
    <w:p w14:paraId="63F69790" w14:textId="17EEAFAD" w:rsidR="002B3413" w:rsidRDefault="002B3413" w:rsidP="00B86AB3">
      <w:pPr>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12 pages. </w:t>
      </w:r>
      <w:hyperlink r:id="rId15" w:history="1">
        <w:r w:rsidRPr="005D3B0A">
          <w:rPr>
            <w:rStyle w:val="Hyperlink"/>
          </w:rPr>
          <w:t>www.stateofcanadasbirds.org</w:t>
        </w:r>
      </w:hyperlink>
    </w:p>
    <w:p w14:paraId="116C9310" w14:textId="2ABE254D" w:rsidR="00E643FF" w:rsidRDefault="00E643FF" w:rsidP="00B86AB3">
      <w:pPr>
        <w:rPr>
          <w:rStyle w:val="self-citation-authors"/>
        </w:rPr>
      </w:pPr>
      <w:r w:rsidRPr="00E643FF">
        <w:rPr>
          <w:rStyle w:val="self-citation-authors"/>
        </w:rPr>
        <w:t xml:space="preserve">Partners in Flight. 2019. Avian Conservation Assessment Database, version 2019. Available at </w:t>
      </w:r>
      <w:hyperlink r:id="rId16" w:history="1">
        <w:r w:rsidRPr="005230FE">
          <w:rPr>
            <w:rStyle w:val="Hyperlink"/>
          </w:rPr>
          <w:t>http://pif.birdconservancy.org/ACAD</w:t>
        </w:r>
      </w:hyperlink>
    </w:p>
    <w:p w14:paraId="43ADFA5C" w14:textId="04998AC0"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4DC51B9C" w14:textId="16066ACE" w:rsidR="00A27182" w:rsidRDefault="00A27182" w:rsidP="00B86AB3">
      <w:r w:rsidRPr="00A27182">
        <w:t xml:space="preserve">Pedersen EJ, Miller DL, Simpson GL, Ross N. 2019. Hierarchical generalized additive models in ecology: an introduction with mgcv. PeerJ 7:e6876 </w:t>
      </w:r>
      <w:hyperlink r:id="rId17" w:history="1">
        <w:r w:rsidR="00A72B19" w:rsidRPr="005D3B0A">
          <w:rPr>
            <w:rStyle w:val="Hyperlink"/>
          </w:rPr>
          <w:t>https://doi.org/10.7717/peerj.6876</w:t>
        </w:r>
      </w:hyperlink>
      <w:r w:rsidR="00A72B19">
        <w:t xml:space="preserve"> </w:t>
      </w:r>
      <w:r w:rsidRPr="00A27182">
        <w:t xml:space="preserve"> </w:t>
      </w:r>
    </w:p>
    <w:p w14:paraId="4FFE617D" w14:textId="46E802ED" w:rsidR="00B86AB3" w:rsidRDefault="00B86AB3" w:rsidP="00B86AB3">
      <w:r>
        <w:t xml:space="preserve">R Core Team (2019). R: A language and environment for statistical computing. R  Foundation for Statistical Computing, Vienna, Austria. URL  </w:t>
      </w:r>
      <w:hyperlink r:id="rId18" w:history="1">
        <w:r w:rsidRPr="009A4418">
          <w:rPr>
            <w:rStyle w:val="Hyperlink"/>
          </w:rPr>
          <w:t>https://www.R-project.org/</w:t>
        </w:r>
      </w:hyperlink>
      <w:r>
        <w:t>.</w:t>
      </w:r>
    </w:p>
    <w:p w14:paraId="10FD5BF9" w14:textId="0D9D571D" w:rsidR="00951E0B" w:rsidRDefault="00E96FC6" w:rsidP="00B86AB3">
      <w:r w:rsidRPr="00E96FC6">
        <w:t>Roberts, D. R., V. Bahn, S. Ciuti, M. S. Boyce, J. Elith, G. Guillera-Arroita, S. Hauenstein, J. J. Lahoz-Monfort, B. Schroder, W. Thuiller, D. I. Warton, B. A. Wintle, F. Hartig, and C. F. Dormann. 2017. Cross-validation strategies for data with temporal, spatial, hierarchical or phylogenetic structure. - Ecography doi: 10.1111/ecog.02881.</w:t>
      </w:r>
    </w:p>
    <w:p w14:paraId="6823A429" w14:textId="19B91BBA" w:rsidR="004F6FB5" w:rsidRDefault="004F6FB5" w:rsidP="00B86AB3">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p>
    <w:p w14:paraId="73286719" w14:textId="2607A94F" w:rsidR="00A96BC9" w:rsidRDefault="00A96BC9" w:rsidP="00727F91">
      <w:r w:rsidRPr="00A96BC9">
        <w:t xml:space="preserve">Rosenberg, K. V., Dokter, A. M., Blancher, P. J., Sauer, J. R., Smith, A. C., Smith, P. A., </w:t>
      </w:r>
      <w:r w:rsidR="001F6412" w:rsidRPr="001F6412">
        <w:t>Stanton</w:t>
      </w:r>
      <w:r w:rsidR="001F6412">
        <w:t>, J.C.</w:t>
      </w:r>
      <w:r w:rsidR="001F6412" w:rsidRPr="001F6412">
        <w:t>, Panjabi</w:t>
      </w:r>
      <w:r w:rsidR="001F6412">
        <w:t>, A.,</w:t>
      </w:r>
      <w:r w:rsidR="001F6412" w:rsidRPr="001F6412">
        <w:t xml:space="preserve"> Helft</w:t>
      </w:r>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p>
    <w:p w14:paraId="7CCE48F9" w14:textId="78B31E9F" w:rsidR="00727F91" w:rsidRDefault="00727F91" w:rsidP="00727F91">
      <w:r>
        <w:t>Sauer, J. R., and W. A. Link. 2011. Analysis of the North American Breeding Bird Survey using hierarchical models. The Auk 128:87–98.</w:t>
      </w:r>
    </w:p>
    <w:p w14:paraId="0AAAB6BF" w14:textId="0E164A3C" w:rsidR="009D59F9" w:rsidRDefault="009D59F9" w:rsidP="009D59F9">
      <w:r>
        <w:t>Sauer, J.R., J.E. Hines, J.E. Fallon, K.L. Pardieck, D.J. Ziolkowski Jr., and W.A. Link. 2014. The North American Breeding Bird Survey, Results and Analysis 1966 – 2013. Version 01.30.2015 USGS Patuxent Wildlife Research Center, Laurel, MD.</w:t>
      </w:r>
    </w:p>
    <w:p w14:paraId="10D263FB" w14:textId="77777777" w:rsidR="00727F91" w:rsidRDefault="00727F91" w:rsidP="00727F91">
      <w:r>
        <w:lastRenderedPageBreak/>
        <w:t>Smith A.C., M.-A.R. Hudson, C. Downes, and C.M. Francis (2014). Estimating breeding bird survey trends and annual indices for Canada: how do the new hierarchical Bayesian estimates differ from previous estimates. Canadian Field-Naturalist 128:119-134.</w:t>
      </w:r>
    </w:p>
    <w:p w14:paraId="521176D3" w14:textId="6AAB6C52" w:rsidR="00D3609B" w:rsidRDefault="00727F91" w:rsidP="006F38C3">
      <w:r>
        <w:t>Smith, A. C., M.-A.R. Hudson, C. Downes, and C.M. Francis (2015). Change points in the population trends of aerial-insectivorous birds in North America: synchronized in time across species and regions. PLoS One 10:e0130768.</w:t>
      </w:r>
    </w:p>
    <w:p w14:paraId="57D890FA" w14:textId="6EC2D713" w:rsidR="00727F91" w:rsidRDefault="00727F91" w:rsidP="00727F91">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6F38C3">
      <w:r>
        <w:t xml:space="preserve">Vehtari, A., Gelman, A., and Gabry, J. (2017). Practical Bayesian model evaluation using leave-one-out cross-validation and WAIC. </w:t>
      </w:r>
      <w:r>
        <w:rPr>
          <w:rStyle w:val="Emphasis"/>
        </w:rPr>
        <w:t>Statistics and Computing</w:t>
      </w:r>
      <w:r>
        <w:t>. 27(5), 1413--1432. doi:10.1007/s11222-016-9696-4.</w:t>
      </w:r>
    </w:p>
    <w:p w14:paraId="163EC1F3" w14:textId="3CD82F85" w:rsidR="006F38C3" w:rsidRDefault="006F38C3" w:rsidP="00D3609B">
      <w:r>
        <w:t>Wickham, H. ggplot2: Elegant Graphics for Data Analysis. Springer-Verlag New York, 2016.</w:t>
      </w:r>
    </w:p>
    <w:p w14:paraId="4CA3D396" w14:textId="02A7EC78" w:rsidR="006831CD" w:rsidRDefault="006831CD" w:rsidP="00D3609B">
      <w:r>
        <w:rPr>
          <w:rStyle w:val="author"/>
        </w:rPr>
        <w:t>Wilson, S.</w:t>
      </w:r>
      <w:r>
        <w:t xml:space="preserve">, </w:t>
      </w:r>
      <w:r>
        <w:rPr>
          <w:rStyle w:val="author"/>
        </w:rPr>
        <w:t>Smith, A. C.</w:t>
      </w:r>
      <w:r>
        <w:t xml:space="preserve">, &amp; </w:t>
      </w:r>
      <w:r>
        <w:rPr>
          <w:rStyle w:val="author"/>
        </w:rPr>
        <w:t>Naujokaitis‐Lewis, I.</w:t>
      </w:r>
      <w:r>
        <w:t xml:space="preserve"> (</w:t>
      </w:r>
      <w:r>
        <w:rPr>
          <w:rStyle w:val="pubyear"/>
        </w:rPr>
        <w:t>2018</w:t>
      </w:r>
      <w:r>
        <w:t xml:space="preserve">). </w:t>
      </w:r>
      <w:r>
        <w:rPr>
          <w:rStyle w:val="articletitle"/>
        </w:rPr>
        <w:t>Opposing responses to drought shape spatial population dynamics of declining grassland birds</w:t>
      </w:r>
      <w:r>
        <w:t xml:space="preserve">. </w:t>
      </w:r>
      <w:r>
        <w:rPr>
          <w:i/>
          <w:iCs/>
        </w:rPr>
        <w:t>Diversity and Distributions</w:t>
      </w:r>
      <w:r>
        <w:t xml:space="preserve">, </w:t>
      </w:r>
      <w:r>
        <w:rPr>
          <w:rStyle w:val="vol"/>
        </w:rPr>
        <w:t>24</w:t>
      </w:r>
      <w:r>
        <w:t xml:space="preserve">, </w:t>
      </w:r>
      <w:r>
        <w:rPr>
          <w:rStyle w:val="pagefirst"/>
        </w:rPr>
        <w:t>1687</w:t>
      </w:r>
      <w:r>
        <w:t xml:space="preserve">– </w:t>
      </w:r>
      <w:r>
        <w:rPr>
          <w:rStyle w:val="pagelast"/>
        </w:rPr>
        <w:t>1698</w:t>
      </w:r>
      <w:r>
        <w:t>.</w:t>
      </w:r>
    </w:p>
    <w:p w14:paraId="57F4534E" w14:textId="7F8AD270" w:rsidR="000B0EE0" w:rsidRDefault="00A056D5" w:rsidP="00D3609B">
      <w:r>
        <w:t>Wood, S. N. Generalized additive models: an introduction with R; 2</w:t>
      </w:r>
      <w:r w:rsidRPr="00A056D5">
        <w:rPr>
          <w:vertAlign w:val="superscript"/>
        </w:rPr>
        <w:t>nd</w:t>
      </w:r>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4600F3ED" w:rsidR="00855AFF" w:rsidRDefault="00E0666E">
      <w:r>
        <w:lastRenderedPageBreak/>
        <w:t>Figure Titles</w:t>
      </w:r>
    </w:p>
    <w:p w14:paraId="70490EF3" w14:textId="77777777" w:rsidR="00D844BB" w:rsidRDefault="00D844BB"/>
    <w:p w14:paraId="6FC907CC" w14:textId="27D8BF5E" w:rsidR="00855AFF" w:rsidRDefault="00855AFF">
      <w:pPr>
        <w:rPr>
          <w:rStyle w:val="lrzxr"/>
        </w:rPr>
      </w:pPr>
      <w:r>
        <w:t>Figure 1. Survey-wide population trajectories for Barn Swallow (</w:t>
      </w:r>
      <w:r w:rsidRPr="00922F1F">
        <w:rPr>
          <w:rStyle w:val="lrzxr"/>
          <w:i/>
        </w:rPr>
        <w:t>Hirundo rustica</w:t>
      </w:r>
      <w:r w:rsidR="0032218E">
        <w:rPr>
          <w:rStyle w:val="lrzxr"/>
        </w:rPr>
        <w:t>) estimated from the BBS</w:t>
      </w:r>
      <w:r>
        <w:rPr>
          <w:rStyle w:val="lrzxr"/>
        </w:rPr>
        <w:t xml:space="preserve"> using two models described here that include a GAM smoothing function to model change over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In most strata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2160C87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7484DE2E"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w:t>
      </w:r>
      <w:r w:rsidR="00E0666E">
        <w:rPr>
          <w:rStyle w:val="lrzxr"/>
        </w:rPr>
        <w:t xml:space="preserve"> (</w:t>
      </w:r>
      <w:r w:rsidR="00E0666E" w:rsidRPr="00360F4A">
        <w:rPr>
          <w:i/>
        </w:rPr>
        <w:t>Hylocichla mustelina</w:t>
      </w:r>
      <w:r w:rsidR="00E0666E">
        <w:rPr>
          <w:rStyle w:val="lrzxr"/>
        </w:rPr>
        <w:t>)</w:t>
      </w:r>
      <w:r>
        <w:rPr>
          <w:rStyle w:val="lrzxr"/>
        </w:rPr>
        <w:t xml:space="preserve">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26CFC58" w14:textId="34F7AB94" w:rsidR="00777969" w:rsidRDefault="00777969">
      <w:pPr>
        <w:rPr>
          <w:rStyle w:val="lrzxr"/>
        </w:rPr>
      </w:pPr>
      <w:r>
        <w:rPr>
          <w:rStyle w:val="lrzxr"/>
        </w:rPr>
        <w:lastRenderedPageBreak/>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B4AD80" w:rsidR="00644456" w:rsidRDefault="00644456">
      <w:pPr>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4D3E"/>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4DCA"/>
    <w:rsid w:val="00125EE8"/>
    <w:rsid w:val="00127CB6"/>
    <w:rsid w:val="00136B3C"/>
    <w:rsid w:val="001527F6"/>
    <w:rsid w:val="00160865"/>
    <w:rsid w:val="0016530C"/>
    <w:rsid w:val="00181669"/>
    <w:rsid w:val="00182182"/>
    <w:rsid w:val="00183D7A"/>
    <w:rsid w:val="00183FBC"/>
    <w:rsid w:val="001962E0"/>
    <w:rsid w:val="00197FD7"/>
    <w:rsid w:val="001A6280"/>
    <w:rsid w:val="001B07D7"/>
    <w:rsid w:val="001B170F"/>
    <w:rsid w:val="001B2AB7"/>
    <w:rsid w:val="001C280D"/>
    <w:rsid w:val="001C36D1"/>
    <w:rsid w:val="001C7B51"/>
    <w:rsid w:val="001D0D44"/>
    <w:rsid w:val="001D1ACF"/>
    <w:rsid w:val="001D495F"/>
    <w:rsid w:val="001D76F7"/>
    <w:rsid w:val="001E2BFA"/>
    <w:rsid w:val="001E7DDD"/>
    <w:rsid w:val="001F0643"/>
    <w:rsid w:val="001F6412"/>
    <w:rsid w:val="0020692E"/>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A1A18"/>
    <w:rsid w:val="002B3413"/>
    <w:rsid w:val="002C06C8"/>
    <w:rsid w:val="002C3B33"/>
    <w:rsid w:val="002D21BE"/>
    <w:rsid w:val="002D7DB1"/>
    <w:rsid w:val="002E0C96"/>
    <w:rsid w:val="002F0604"/>
    <w:rsid w:val="002F1266"/>
    <w:rsid w:val="00301A67"/>
    <w:rsid w:val="00306160"/>
    <w:rsid w:val="00311F88"/>
    <w:rsid w:val="00313FC9"/>
    <w:rsid w:val="00317C34"/>
    <w:rsid w:val="0032218E"/>
    <w:rsid w:val="00326B8A"/>
    <w:rsid w:val="00341D42"/>
    <w:rsid w:val="00344307"/>
    <w:rsid w:val="003504BE"/>
    <w:rsid w:val="00352290"/>
    <w:rsid w:val="0035395B"/>
    <w:rsid w:val="00354BDE"/>
    <w:rsid w:val="00356846"/>
    <w:rsid w:val="003575B9"/>
    <w:rsid w:val="00360F4A"/>
    <w:rsid w:val="003727DC"/>
    <w:rsid w:val="003935F3"/>
    <w:rsid w:val="00396953"/>
    <w:rsid w:val="003A15FE"/>
    <w:rsid w:val="003A509E"/>
    <w:rsid w:val="003A5246"/>
    <w:rsid w:val="003B0B14"/>
    <w:rsid w:val="003B5CEA"/>
    <w:rsid w:val="003C5F12"/>
    <w:rsid w:val="003D40AF"/>
    <w:rsid w:val="003D71C1"/>
    <w:rsid w:val="003F00A9"/>
    <w:rsid w:val="003F3880"/>
    <w:rsid w:val="00421401"/>
    <w:rsid w:val="004277F9"/>
    <w:rsid w:val="00433915"/>
    <w:rsid w:val="00442A26"/>
    <w:rsid w:val="0044376C"/>
    <w:rsid w:val="00446B0D"/>
    <w:rsid w:val="00471237"/>
    <w:rsid w:val="004717DF"/>
    <w:rsid w:val="00486194"/>
    <w:rsid w:val="00494C39"/>
    <w:rsid w:val="004A3023"/>
    <w:rsid w:val="004A7143"/>
    <w:rsid w:val="004C234A"/>
    <w:rsid w:val="004D1A15"/>
    <w:rsid w:val="004E15BD"/>
    <w:rsid w:val="004E1F2B"/>
    <w:rsid w:val="004E40A1"/>
    <w:rsid w:val="004E6A3E"/>
    <w:rsid w:val="004F6FB5"/>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8220E"/>
    <w:rsid w:val="005959D2"/>
    <w:rsid w:val="005A592E"/>
    <w:rsid w:val="005B0CB3"/>
    <w:rsid w:val="005C6043"/>
    <w:rsid w:val="005D108B"/>
    <w:rsid w:val="005E1D4F"/>
    <w:rsid w:val="005E2C22"/>
    <w:rsid w:val="005E43C8"/>
    <w:rsid w:val="005F19E6"/>
    <w:rsid w:val="006117E7"/>
    <w:rsid w:val="00617D3B"/>
    <w:rsid w:val="006229B5"/>
    <w:rsid w:val="00627F11"/>
    <w:rsid w:val="00634039"/>
    <w:rsid w:val="00634DDD"/>
    <w:rsid w:val="00636713"/>
    <w:rsid w:val="00641336"/>
    <w:rsid w:val="00644456"/>
    <w:rsid w:val="00651492"/>
    <w:rsid w:val="0065459C"/>
    <w:rsid w:val="00657376"/>
    <w:rsid w:val="006575E7"/>
    <w:rsid w:val="00657BD5"/>
    <w:rsid w:val="00660E56"/>
    <w:rsid w:val="00673EDA"/>
    <w:rsid w:val="006749FB"/>
    <w:rsid w:val="00681CA4"/>
    <w:rsid w:val="006831CD"/>
    <w:rsid w:val="00691BFC"/>
    <w:rsid w:val="00693DD9"/>
    <w:rsid w:val="006A0B60"/>
    <w:rsid w:val="006A50F1"/>
    <w:rsid w:val="006A5952"/>
    <w:rsid w:val="006B14A3"/>
    <w:rsid w:val="006B590A"/>
    <w:rsid w:val="006D4865"/>
    <w:rsid w:val="006D5680"/>
    <w:rsid w:val="006E5531"/>
    <w:rsid w:val="006F0D1A"/>
    <w:rsid w:val="006F38C3"/>
    <w:rsid w:val="006F4E90"/>
    <w:rsid w:val="006F66D1"/>
    <w:rsid w:val="00703BCA"/>
    <w:rsid w:val="0070604D"/>
    <w:rsid w:val="0071744A"/>
    <w:rsid w:val="00717E77"/>
    <w:rsid w:val="00721B12"/>
    <w:rsid w:val="007246BE"/>
    <w:rsid w:val="00727F91"/>
    <w:rsid w:val="00730443"/>
    <w:rsid w:val="00734E23"/>
    <w:rsid w:val="007357DE"/>
    <w:rsid w:val="00737D11"/>
    <w:rsid w:val="0074350B"/>
    <w:rsid w:val="00743569"/>
    <w:rsid w:val="0075190E"/>
    <w:rsid w:val="0075267E"/>
    <w:rsid w:val="007634D3"/>
    <w:rsid w:val="007707B3"/>
    <w:rsid w:val="00773B5F"/>
    <w:rsid w:val="00777969"/>
    <w:rsid w:val="007842D4"/>
    <w:rsid w:val="007A5C62"/>
    <w:rsid w:val="007B55F4"/>
    <w:rsid w:val="007B79B7"/>
    <w:rsid w:val="007D113A"/>
    <w:rsid w:val="007E17F7"/>
    <w:rsid w:val="007E6DDB"/>
    <w:rsid w:val="00801D2E"/>
    <w:rsid w:val="00823D8B"/>
    <w:rsid w:val="00833A6E"/>
    <w:rsid w:val="00835545"/>
    <w:rsid w:val="0084398F"/>
    <w:rsid w:val="00845AC6"/>
    <w:rsid w:val="00854D3E"/>
    <w:rsid w:val="00855AFF"/>
    <w:rsid w:val="00873DF6"/>
    <w:rsid w:val="00874000"/>
    <w:rsid w:val="008830F7"/>
    <w:rsid w:val="00885C52"/>
    <w:rsid w:val="00896367"/>
    <w:rsid w:val="008963EF"/>
    <w:rsid w:val="008A5A2D"/>
    <w:rsid w:val="008B69AF"/>
    <w:rsid w:val="008F1847"/>
    <w:rsid w:val="00904297"/>
    <w:rsid w:val="00910982"/>
    <w:rsid w:val="00913140"/>
    <w:rsid w:val="00915E67"/>
    <w:rsid w:val="00922D60"/>
    <w:rsid w:val="00922F1F"/>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A7DE2"/>
    <w:rsid w:val="009B6C41"/>
    <w:rsid w:val="009C68BB"/>
    <w:rsid w:val="009D59F9"/>
    <w:rsid w:val="009F444A"/>
    <w:rsid w:val="00A056D5"/>
    <w:rsid w:val="00A0588F"/>
    <w:rsid w:val="00A11516"/>
    <w:rsid w:val="00A11FA6"/>
    <w:rsid w:val="00A27182"/>
    <w:rsid w:val="00A44E21"/>
    <w:rsid w:val="00A507BA"/>
    <w:rsid w:val="00A526EE"/>
    <w:rsid w:val="00A5348D"/>
    <w:rsid w:val="00A56D79"/>
    <w:rsid w:val="00A6292C"/>
    <w:rsid w:val="00A66E1C"/>
    <w:rsid w:val="00A7010B"/>
    <w:rsid w:val="00A72AC4"/>
    <w:rsid w:val="00A72B19"/>
    <w:rsid w:val="00A76187"/>
    <w:rsid w:val="00A7662D"/>
    <w:rsid w:val="00A83BA1"/>
    <w:rsid w:val="00A87415"/>
    <w:rsid w:val="00A96BC9"/>
    <w:rsid w:val="00AA0DD7"/>
    <w:rsid w:val="00AA1DF1"/>
    <w:rsid w:val="00AA31B3"/>
    <w:rsid w:val="00AA421B"/>
    <w:rsid w:val="00AB07CC"/>
    <w:rsid w:val="00AC49E5"/>
    <w:rsid w:val="00AD4586"/>
    <w:rsid w:val="00AE099C"/>
    <w:rsid w:val="00AF16ED"/>
    <w:rsid w:val="00B02BC2"/>
    <w:rsid w:val="00B04B46"/>
    <w:rsid w:val="00B1390D"/>
    <w:rsid w:val="00B13B9D"/>
    <w:rsid w:val="00B13BA0"/>
    <w:rsid w:val="00B14D83"/>
    <w:rsid w:val="00B15F61"/>
    <w:rsid w:val="00B2157C"/>
    <w:rsid w:val="00B3492B"/>
    <w:rsid w:val="00B43169"/>
    <w:rsid w:val="00B67E12"/>
    <w:rsid w:val="00B7696C"/>
    <w:rsid w:val="00B86AB3"/>
    <w:rsid w:val="00B87D37"/>
    <w:rsid w:val="00BA5718"/>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0B04"/>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22D5"/>
    <w:rsid w:val="00D474CC"/>
    <w:rsid w:val="00D519A5"/>
    <w:rsid w:val="00D54D99"/>
    <w:rsid w:val="00D57997"/>
    <w:rsid w:val="00D6455E"/>
    <w:rsid w:val="00D64FB0"/>
    <w:rsid w:val="00D723F2"/>
    <w:rsid w:val="00D800EB"/>
    <w:rsid w:val="00D807C9"/>
    <w:rsid w:val="00D844BB"/>
    <w:rsid w:val="00DB67C9"/>
    <w:rsid w:val="00DC055B"/>
    <w:rsid w:val="00DC78F6"/>
    <w:rsid w:val="00DD1696"/>
    <w:rsid w:val="00DD5093"/>
    <w:rsid w:val="00DD535A"/>
    <w:rsid w:val="00DD79A0"/>
    <w:rsid w:val="00DE0E93"/>
    <w:rsid w:val="00DE6287"/>
    <w:rsid w:val="00E02252"/>
    <w:rsid w:val="00E02722"/>
    <w:rsid w:val="00E04314"/>
    <w:rsid w:val="00E0666E"/>
    <w:rsid w:val="00E22FFA"/>
    <w:rsid w:val="00E26954"/>
    <w:rsid w:val="00E31D57"/>
    <w:rsid w:val="00E643FF"/>
    <w:rsid w:val="00E7115B"/>
    <w:rsid w:val="00E92107"/>
    <w:rsid w:val="00E95221"/>
    <w:rsid w:val="00E96FC6"/>
    <w:rsid w:val="00EB25B5"/>
    <w:rsid w:val="00EB38C2"/>
    <w:rsid w:val="00EB5F8A"/>
    <w:rsid w:val="00EC54D7"/>
    <w:rsid w:val="00EC5C6A"/>
    <w:rsid w:val="00EE1119"/>
    <w:rsid w:val="00EE2295"/>
    <w:rsid w:val="00EF0409"/>
    <w:rsid w:val="00EF228A"/>
    <w:rsid w:val="00EF28B4"/>
    <w:rsid w:val="00EF46CD"/>
    <w:rsid w:val="00F176CF"/>
    <w:rsid w:val="00F323A5"/>
    <w:rsid w:val="00F44F2A"/>
    <w:rsid w:val="00F458FB"/>
    <w:rsid w:val="00F5720B"/>
    <w:rsid w:val="00F57F60"/>
    <w:rsid w:val="00F7061E"/>
    <w:rsid w:val="00F7554D"/>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doi.org/10.1080/01621459.1989.10478852"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www.iucnredlist.org/documents/RedListGuidelines.pdf" TargetMode="External"/><Relationship Id="rId17" Type="http://schemas.openxmlformats.org/officeDocument/2006/relationships/hyperlink" Target="https://doi.org/10.7717/peerj.6876" TargetMode="External"/><Relationship Id="rId2" Type="http://schemas.openxmlformats.org/officeDocument/2006/relationships/styles" Target="styles.xml"/><Relationship Id="rId16" Type="http://schemas.openxmlformats.org/officeDocument/2006/relationships/hyperlink" Target="http://pif.birdconservancy.org/AC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registrelep-sararegistry.gc.ca" TargetMode="External"/><Relationship Id="rId5" Type="http://schemas.openxmlformats.org/officeDocument/2006/relationships/image" Target="media/image1.wmf"/><Relationship Id="rId15" Type="http://schemas.openxmlformats.org/officeDocument/2006/relationships/hyperlink" Target="http://www.stateofcanadasbirds.org" TargetMode="Externa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CRAN.R-project.org/package=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7784</Words>
  <Characters>44370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2</cp:revision>
  <dcterms:created xsi:type="dcterms:W3CDTF">2020-03-04T14:56:00Z</dcterms:created>
  <dcterms:modified xsi:type="dcterms:W3CDTF">2020-03-04T14:56:00Z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