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D5F49" w14:textId="066DDED9" w:rsidR="007C0352" w:rsidRPr="007C0352" w:rsidRDefault="00896367" w:rsidP="007B1E01">
      <w:pPr>
        <w:pStyle w:val="Title"/>
        <w:spacing w:line="480" w:lineRule="auto"/>
      </w:pPr>
      <w:commentRangeStart w:id="0"/>
      <w:r>
        <w:t>Improved</w:t>
      </w:r>
      <w:commentRangeEnd w:id="0"/>
      <w:r w:rsidR="00266847">
        <w:rPr>
          <w:rStyle w:val="CommentReference"/>
          <w:rFonts w:asciiTheme="minorHAnsi" w:eastAsiaTheme="minorHAnsi" w:hAnsiTheme="minorHAnsi" w:cstheme="minorBidi"/>
          <w:spacing w:val="0"/>
          <w:kern w:val="0"/>
        </w:rPr>
        <w:commentReference w:id="0"/>
      </w:r>
      <w:r>
        <w:t xml:space="preserve"> status and trend estimates from the North American Breeding Bird Survey using a Bayesian </w:t>
      </w:r>
      <w:r w:rsidR="00C6713A">
        <w:t xml:space="preserve">hierarchical </w:t>
      </w:r>
      <w:r>
        <w:t>generalized additive model</w:t>
      </w:r>
    </w:p>
    <w:p w14:paraId="492ED5FA" w14:textId="14F70791" w:rsidR="0098663A" w:rsidRDefault="00896367" w:rsidP="002F18BD">
      <w:pPr>
        <w:spacing w:line="480" w:lineRule="auto"/>
        <w:jc w:val="center"/>
      </w:pPr>
      <w:r w:rsidRPr="007C0352">
        <w:rPr>
          <w:b/>
        </w:rPr>
        <w:t>Adam C. Smith</w:t>
      </w:r>
      <w:r w:rsidR="0098663A" w:rsidRPr="0098663A">
        <w:rPr>
          <w:b/>
          <w:vertAlign w:val="superscript"/>
        </w:rPr>
        <w:t>1</w:t>
      </w:r>
      <w:r w:rsidR="0098663A">
        <w:t xml:space="preserve"> and </w:t>
      </w:r>
      <w:r w:rsidR="0098663A" w:rsidRPr="007C0352">
        <w:rPr>
          <w:b/>
        </w:rPr>
        <w:t>Brandon P.M. Edwards</w:t>
      </w:r>
      <w:r w:rsidR="0098663A">
        <w:t xml:space="preserve"> </w:t>
      </w:r>
      <w:r w:rsidR="0098663A" w:rsidRPr="0098663A">
        <w:rPr>
          <w:vertAlign w:val="superscript"/>
        </w:rPr>
        <w:t>2</w:t>
      </w:r>
    </w:p>
    <w:p w14:paraId="462DD0C2" w14:textId="20ABC6C2" w:rsidR="00896367" w:rsidRDefault="0098663A" w:rsidP="002F18BD">
      <w:pPr>
        <w:spacing w:line="480" w:lineRule="auto"/>
        <w:rPr>
          <w:rStyle w:val="orcid-id-https"/>
        </w:rPr>
      </w:pPr>
      <w:r w:rsidRPr="0098663A">
        <w:rPr>
          <w:vertAlign w:val="superscript"/>
        </w:rPr>
        <w:t>1</w:t>
      </w:r>
      <w:r w:rsidR="0058220E">
        <w:t>Canadian Wildlife Service, Environment Climate Change Canada, National Wildlife Research Centre, Ottawa Canada.</w:t>
      </w:r>
      <w:r w:rsidR="00C0254D">
        <w:t xml:space="preserve">  </w:t>
      </w:r>
      <w:r w:rsidR="00C0254D">
        <w:br/>
      </w:r>
      <w:hyperlink r:id="rId10" w:history="1">
        <w:r w:rsidR="00C0254D" w:rsidRPr="0018757B">
          <w:rPr>
            <w:rStyle w:val="Hyperlink"/>
          </w:rPr>
          <w:t>adam.smith2@canada.ca</w:t>
        </w:r>
      </w:hyperlink>
      <w:r w:rsidR="00C0254D">
        <w:t xml:space="preserve"> </w:t>
      </w:r>
      <w:r w:rsidR="00C0254D">
        <w:br/>
        <w:t xml:space="preserve">ORCID: </w:t>
      </w:r>
      <w:r w:rsidR="00C0254D">
        <w:rPr>
          <w:rStyle w:val="orcid-id-https"/>
        </w:rPr>
        <w:t>0000-0002-2829-4843</w:t>
      </w:r>
    </w:p>
    <w:p w14:paraId="78F4C4CF" w14:textId="60440C2C" w:rsidR="0098663A" w:rsidRDefault="0098663A" w:rsidP="002F18BD">
      <w:pPr>
        <w:spacing w:line="480" w:lineRule="auto"/>
        <w:rPr>
          <w:rFonts w:ascii="Calibri" w:eastAsia="Times New Roman" w:hAnsi="Calibri" w:cs="Calibri"/>
          <w:color w:val="000000"/>
        </w:rPr>
      </w:pPr>
      <w:r w:rsidRPr="0098663A">
        <w:rPr>
          <w:vertAlign w:val="superscript"/>
        </w:rPr>
        <w:t>2</w:t>
      </w:r>
      <w:r>
        <w:t>Department of Mathematics &amp; Statistics, University of Guelph, Guelph Canada.</w:t>
      </w:r>
      <w:r w:rsidR="000E6B2D">
        <w:br/>
        <w:t xml:space="preserve">ORCID: </w:t>
      </w:r>
      <w:r w:rsidR="000E6B2D">
        <w:rPr>
          <w:rFonts w:ascii="Calibri" w:eastAsia="Times New Roman" w:hAnsi="Calibri" w:cs="Calibri"/>
          <w:color w:val="000000"/>
        </w:rPr>
        <w:t>0000-0003-0865-3076</w:t>
      </w:r>
    </w:p>
    <w:p w14:paraId="2D93EAAC" w14:textId="3C37B264" w:rsidR="00E0298F" w:rsidRDefault="00E0298F" w:rsidP="002F18BD">
      <w:pPr>
        <w:spacing w:line="480" w:lineRule="auto"/>
        <w:rPr>
          <w:rFonts w:ascii="Calibri" w:eastAsia="Times New Roman" w:hAnsi="Calibri" w:cs="Calibri"/>
          <w:color w:val="000000"/>
        </w:rPr>
      </w:pPr>
    </w:p>
    <w:p w14:paraId="45282E72" w14:textId="318AB6CA" w:rsidR="00E0298F" w:rsidRDefault="00E0298F" w:rsidP="002F18BD">
      <w:pPr>
        <w:spacing w:line="480" w:lineRule="auto"/>
        <w:rPr>
          <w:rFonts w:ascii="Calibri" w:eastAsia="Times New Roman" w:hAnsi="Calibri" w:cs="Calibri"/>
          <w:color w:val="000000"/>
        </w:rPr>
      </w:pPr>
    </w:p>
    <w:p w14:paraId="31932206" w14:textId="39522DF8" w:rsidR="00E0298F" w:rsidRDefault="00E0298F" w:rsidP="002F18BD">
      <w:pPr>
        <w:spacing w:line="480" w:lineRule="auto"/>
      </w:pPr>
    </w:p>
    <w:p w14:paraId="20BA604F" w14:textId="290D68AE" w:rsidR="00181D35" w:rsidRDefault="00181D35" w:rsidP="002F18BD">
      <w:pPr>
        <w:spacing w:line="480" w:lineRule="auto"/>
      </w:pPr>
    </w:p>
    <w:p w14:paraId="0275949C" w14:textId="73D2DD64" w:rsidR="00181D35" w:rsidRDefault="00181D35" w:rsidP="002F18BD">
      <w:pPr>
        <w:spacing w:line="480" w:lineRule="auto"/>
      </w:pPr>
    </w:p>
    <w:p w14:paraId="7B84326C" w14:textId="198F5C23" w:rsidR="00181D35" w:rsidRDefault="00181D35" w:rsidP="002F18BD">
      <w:pPr>
        <w:spacing w:line="480" w:lineRule="auto"/>
      </w:pPr>
    </w:p>
    <w:p w14:paraId="2BCE6AC8" w14:textId="77777777" w:rsidR="00181D35" w:rsidRDefault="00181D35" w:rsidP="002F18BD">
      <w:pPr>
        <w:spacing w:line="480" w:lineRule="auto"/>
      </w:pPr>
    </w:p>
    <w:p w14:paraId="7070E1AA" w14:textId="1FA6B547" w:rsidR="00693DD9" w:rsidRDefault="00693DD9" w:rsidP="002F18BD">
      <w:pPr>
        <w:pStyle w:val="Heading1"/>
        <w:spacing w:line="480" w:lineRule="auto"/>
      </w:pPr>
      <w:r>
        <w:t>Abstract</w:t>
      </w:r>
    </w:p>
    <w:p w14:paraId="59852D66" w14:textId="23EBF2F5" w:rsidR="004F235C" w:rsidRDefault="00C145C8" w:rsidP="00C145C8">
      <w:pPr>
        <w:pStyle w:val="ListParagraph"/>
        <w:numPr>
          <w:ilvl w:val="0"/>
          <w:numId w:val="2"/>
        </w:numPr>
        <w:spacing w:line="480" w:lineRule="auto"/>
      </w:pPr>
      <w:r>
        <w:t xml:space="preserve">The status and trend estimates derived from the North American Breeding Bird Survey (BBS), are critical sources of information for bird conservation. However, many of the varied uses of </w:t>
      </w:r>
      <w:r>
        <w:lastRenderedPageBreak/>
        <w:t xml:space="preserve">these estimates are </w:t>
      </w:r>
      <w:r w:rsidR="007B1E01">
        <w:t>poorly</w:t>
      </w:r>
      <w:r>
        <w:t xml:space="preserve"> supported by the current </w:t>
      </w:r>
      <w:r w:rsidR="007B1E01">
        <w:t xml:space="preserve">standard </w:t>
      </w:r>
      <w:r>
        <w:t>model. For example, inferences about population recovery require modeling approaches that are more sensitive to changes in the rates of population change through time</w:t>
      </w:r>
      <w:r w:rsidR="007B1E01">
        <w:t xml:space="preserve"> and </w:t>
      </w:r>
      <w:r w:rsidR="00FB7559">
        <w:t xml:space="preserve">population </w:t>
      </w:r>
      <w:r>
        <w:t>cycles. In addition, regional status assessments would benefit from models that allow for the sharing of information across the species’ range.</w:t>
      </w:r>
    </w:p>
    <w:p w14:paraId="63F9AA6F" w14:textId="400AEEDE" w:rsidR="00C145C8" w:rsidRDefault="0058220E" w:rsidP="002F18BD">
      <w:pPr>
        <w:pStyle w:val="ListParagraph"/>
        <w:numPr>
          <w:ilvl w:val="0"/>
          <w:numId w:val="2"/>
        </w:numPr>
        <w:spacing w:line="480" w:lineRule="auto"/>
      </w:pPr>
      <w:r>
        <w:t>Here we describe</w:t>
      </w:r>
      <w:r w:rsidR="00651492">
        <w:t xml:space="preserve"> h</w:t>
      </w:r>
      <w:r w:rsidR="00B2157C">
        <w:t xml:space="preserve">ierarchical Bayesian </w:t>
      </w:r>
      <w:r w:rsidR="00651492">
        <w:t>generalized addi</w:t>
      </w:r>
      <w:r>
        <w:t>tive mixed-models (GAM) that fit</w:t>
      </w:r>
      <w:r w:rsidR="00651492">
        <w:t xml:space="preserve"> these criteria</w:t>
      </w:r>
      <w:r>
        <w:t xml:space="preserve">, </w:t>
      </w:r>
      <w:r w:rsidR="00651492">
        <w:t>generat</w:t>
      </w:r>
      <w:r>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t xml:space="preserve"> and their benefits</w:t>
      </w:r>
      <w:r w:rsidR="00B13B9D">
        <w:t xml:space="preserve"> </w:t>
      </w:r>
      <w:r>
        <w:t>using</w:t>
      </w:r>
      <w:r w:rsidR="00B13B9D">
        <w:t xml:space="preserve"> data for Barn Swallow (</w:t>
      </w:r>
      <w:r w:rsidR="00B13B9D" w:rsidRPr="00C145C8">
        <w:rPr>
          <w:i/>
        </w:rPr>
        <w:t>Hirundo rustica</w:t>
      </w:r>
      <w:r w:rsidR="00B13B9D">
        <w:t>)</w:t>
      </w:r>
      <w:r>
        <w:t>,</w:t>
      </w:r>
      <w:r w:rsidR="00B13B9D">
        <w:t xml:space="preserve"> Wood Thrush (</w:t>
      </w:r>
      <w:r w:rsidR="00360F4A" w:rsidRPr="00C145C8">
        <w:rPr>
          <w:i/>
        </w:rPr>
        <w:t>Hylocichla mustelina</w:t>
      </w:r>
      <w:r w:rsidR="00B13B9D">
        <w:t>)</w:t>
      </w:r>
      <w:r w:rsidR="007F3AAF">
        <w:t xml:space="preserve">, </w:t>
      </w:r>
      <w:r w:rsidR="007F3AAF">
        <w:rPr>
          <w:rStyle w:val="lrzxr"/>
        </w:rPr>
        <w:t>Carolina Wren (</w:t>
      </w:r>
      <w:r w:rsidR="007F3AAF" w:rsidRPr="005D50AD">
        <w:rPr>
          <w:i/>
        </w:rPr>
        <w:t>Thryothorus ludovicianus</w:t>
      </w:r>
      <w:r w:rsidR="007F3AAF">
        <w:rPr>
          <w:rStyle w:val="lrzxr"/>
        </w:rPr>
        <w:t xml:space="preserve">), </w:t>
      </w:r>
      <w:r w:rsidR="00B13B9D">
        <w:t xml:space="preserve">and </w:t>
      </w:r>
      <w:r>
        <w:t>a selection of</w:t>
      </w:r>
      <w:r w:rsidR="00B13B9D">
        <w:t xml:space="preserve"> other species, and we </w:t>
      </w:r>
      <w:r w:rsidR="00B2157C">
        <w:t>run a full cross-validation of the GAM</w:t>
      </w:r>
      <w:r w:rsidR="009E3BE7">
        <w:t>s</w:t>
      </w:r>
      <w:r w:rsidR="00B2157C">
        <w:t xml:space="preserve"> against two other BBS models to compare </w:t>
      </w:r>
      <w:r w:rsidR="00B13B9D">
        <w:t>predictive fit</w:t>
      </w:r>
      <w:r w:rsidR="00B2157C">
        <w:t>.</w:t>
      </w:r>
      <w:r w:rsidR="00EF228A">
        <w:t xml:space="preserve"> </w:t>
      </w:r>
      <w:r w:rsidR="00BA7892">
        <w:t>We use</w:t>
      </w:r>
      <w:r w:rsidR="00B13B9D">
        <w:t xml:space="preserve"> a</w:t>
      </w:r>
      <w:r w:rsidR="004E15BD">
        <w:t xml:space="preserve"> 15</w:t>
      </w:r>
      <w:r w:rsidR="00B13B9D">
        <w:t>-</w:t>
      </w:r>
      <w:r w:rsidR="00BA7892">
        <w:t xml:space="preserve">fold cross-validation approach that </w:t>
      </w:r>
      <w:r w:rsidR="00EF228A">
        <w:t>provides a practical alternative to assessing predictive fit across the entire BBS dataset, while accounting for the spatial and temporal imbalances in the data.</w:t>
      </w:r>
      <w:r w:rsidR="00B13B9D">
        <w:t xml:space="preserve"> </w:t>
      </w:r>
    </w:p>
    <w:p w14:paraId="6F91B7DD" w14:textId="1719F88A" w:rsidR="00034A02" w:rsidRDefault="00B2157C" w:rsidP="002F18BD">
      <w:pPr>
        <w:pStyle w:val="ListParagraph"/>
        <w:numPr>
          <w:ilvl w:val="0"/>
          <w:numId w:val="2"/>
        </w:numPr>
        <w:spacing w:line="480" w:lineRule="auto"/>
      </w:pPr>
      <w:r>
        <w:t>The GAM</w:t>
      </w:r>
      <w:r w:rsidR="00360F4A">
        <w:t>s have</w:t>
      </w:r>
      <w:r>
        <w:t xml:space="preserve"> better predictive fit than the standard model for all species studied here</w:t>
      </w:r>
      <w:r w:rsidR="004E15BD">
        <w:t xml:space="preserve">, and </w:t>
      </w:r>
      <w:r>
        <w:t xml:space="preserve">better or comparable predictive fit </w:t>
      </w:r>
      <w:r w:rsidR="0058220E">
        <w:t>compared</w:t>
      </w:r>
      <w:r>
        <w:t xml:space="preserve"> to </w:t>
      </w:r>
      <w:r w:rsidR="00360F4A">
        <w:t xml:space="preserve">an alternative </w:t>
      </w:r>
      <w:r>
        <w:t>first difference model.</w:t>
      </w:r>
      <w:r w:rsidR="00873DF6">
        <w:t xml:space="preserve"> In addition, </w:t>
      </w:r>
      <w:r w:rsidR="002236BE">
        <w:t>one version of the GAM described here</w:t>
      </w:r>
      <w:r w:rsidR="00873DF6">
        <w:t xml:space="preserve"> </w:t>
      </w:r>
      <w:r w:rsidR="00FB7559">
        <w:t xml:space="preserve">(GAMYE) </w:t>
      </w:r>
      <w:r w:rsidR="00873DF6">
        <w:t>estimates</w:t>
      </w:r>
      <w:r w:rsidR="0058220E">
        <w:t xml:space="preserve"> a population trajectory that ca</w:t>
      </w:r>
      <w:r w:rsidR="00873DF6">
        <w:t xml:space="preserve">n be decomposed into </w:t>
      </w:r>
      <w:r w:rsidR="00360F4A">
        <w:t>a</w:t>
      </w:r>
      <w:r w:rsidR="00873DF6">
        <w:t xml:space="preserve"> smooth component</w:t>
      </w:r>
      <w:r w:rsidR="0058220E">
        <w:t xml:space="preserve"> </w:t>
      </w:r>
      <w:r w:rsidR="002236BE">
        <w:t>and</w:t>
      </w:r>
      <w:r w:rsidR="0058220E">
        <w:t xml:space="preserve"> the</w:t>
      </w:r>
      <w:r w:rsidR="00873DF6">
        <w:t xml:space="preserve"> annual fluctuations around that smooth. </w:t>
      </w:r>
    </w:p>
    <w:p w14:paraId="0F934071" w14:textId="34C005E2" w:rsidR="000015D8" w:rsidRDefault="00873DF6" w:rsidP="002F18BD">
      <w:pPr>
        <w:pStyle w:val="ListParagraph"/>
        <w:numPr>
          <w:ilvl w:val="0"/>
          <w:numId w:val="2"/>
        </w:numPr>
        <w:spacing w:line="480" w:lineRule="auto"/>
      </w:pPr>
      <w:r>
        <w:t xml:space="preserve">This decomposition </w:t>
      </w:r>
      <w:r w:rsidR="001F0643">
        <w:t xml:space="preserve">also </w:t>
      </w:r>
      <w:r w:rsidR="002236BE">
        <w:t>allows</w:t>
      </w:r>
      <w:r>
        <w:t xml:space="preserve"> trend estimates </w:t>
      </w:r>
      <w:r w:rsidR="00C25309">
        <w:t>based only on the smooth component, which</w:t>
      </w:r>
      <w:r>
        <w:t xml:space="preserve"> </w:t>
      </w:r>
      <w:r w:rsidR="002236BE">
        <w:t xml:space="preserve">are more stable between years </w:t>
      </w:r>
      <w:r>
        <w:t xml:space="preserve">and are therefore </w:t>
      </w:r>
      <w:r w:rsidR="002236BE">
        <w:t>more</w:t>
      </w:r>
      <w:r>
        <w:t xml:space="preserve"> useful for </w:t>
      </w:r>
      <w:r w:rsidR="0058220E">
        <w:t>trend-based</w:t>
      </w:r>
      <w:r>
        <w:t xml:space="preserve"> status assessments</w:t>
      </w:r>
      <w:r w:rsidR="001F0643">
        <w:t>,</w:t>
      </w:r>
      <w:r>
        <w:t xml:space="preserve"> such as </w:t>
      </w:r>
      <w:r w:rsidR="0058220E">
        <w:t>those by the IUCN</w:t>
      </w:r>
      <w:r>
        <w:t xml:space="preserve">. </w:t>
      </w:r>
      <w:r w:rsidR="00C25309">
        <w:t>It also allows for the easy customization of a BBS model to incorporate covariates that influence the smooth component separately from those that influence annual fluctuations (e.g., climate cycles vs annual precipitation). This GAMYE model</w:t>
      </w:r>
      <w:r w:rsidR="00C25309" w:rsidRPr="00C25309">
        <w:t xml:space="preserve"> </w:t>
      </w:r>
      <w:r w:rsidR="00C25309">
        <w:t xml:space="preserve">is </w:t>
      </w:r>
      <w:r w:rsidR="00C25309">
        <w:lastRenderedPageBreak/>
        <w:t xml:space="preserve">a broadly useful model for the BBS and other long-term surveys, because of its flexibility, </w:t>
      </w:r>
      <w:r w:rsidR="00AC51EA">
        <w:t xml:space="preserve">its decomposition, and the </w:t>
      </w:r>
      <w:r w:rsidR="00C25309">
        <w:t xml:space="preserve">hierarchical structure that </w:t>
      </w:r>
      <w:r w:rsidR="00AC51EA">
        <w:t>shares information among regions</w:t>
      </w:r>
      <w:r w:rsidR="00C25309">
        <w:t>.</w:t>
      </w:r>
    </w:p>
    <w:p w14:paraId="3976943F" w14:textId="77777777" w:rsidR="0037710D" w:rsidRDefault="000015D8" w:rsidP="0037710D">
      <w:pPr>
        <w:pStyle w:val="Heading1"/>
      </w:pPr>
      <w:r>
        <w:t>Keywords</w:t>
      </w:r>
    </w:p>
    <w:p w14:paraId="77DAAA30" w14:textId="77777777" w:rsidR="00F67D6F" w:rsidRDefault="00F67D6F" w:rsidP="00F67D6F">
      <w:r>
        <w:t>Bayesian</w:t>
      </w:r>
    </w:p>
    <w:p w14:paraId="1ABFFC09" w14:textId="2DE2A3BF" w:rsidR="00F67D6F" w:rsidRDefault="00F67D6F" w:rsidP="00F67D6F">
      <w:r>
        <w:t>Breeding bird survey</w:t>
      </w:r>
    </w:p>
    <w:p w14:paraId="6AB09F5D" w14:textId="04B02B16" w:rsidR="00F67D6F" w:rsidRDefault="00F67D6F" w:rsidP="00F67D6F">
      <w:r>
        <w:t>Cross validation</w:t>
      </w:r>
    </w:p>
    <w:p w14:paraId="5DDD7B1A" w14:textId="637A51B3" w:rsidR="00FD76FD" w:rsidRDefault="00FD76FD" w:rsidP="0037710D">
      <w:r>
        <w:t>Generalized additive model</w:t>
      </w:r>
    </w:p>
    <w:p w14:paraId="669D1F42" w14:textId="0B72C0CC" w:rsidR="00F67D6F" w:rsidRDefault="00F67D6F" w:rsidP="0037710D">
      <w:r>
        <w:t>Population change</w:t>
      </w:r>
    </w:p>
    <w:p w14:paraId="358E1B63" w14:textId="29D4669D" w:rsidR="00693DD9" w:rsidRDefault="003D23FC" w:rsidP="0037710D">
      <w:r>
        <w:t>Status and trend estimates</w:t>
      </w:r>
      <w:r w:rsidR="00693DD9">
        <w:br w:type="page"/>
      </w:r>
    </w:p>
    <w:p w14:paraId="27BD7CB5" w14:textId="77777777" w:rsidR="00693DD9" w:rsidRDefault="00693DD9" w:rsidP="002F18BD">
      <w:pPr>
        <w:pStyle w:val="Heading1"/>
        <w:spacing w:line="480" w:lineRule="auto"/>
      </w:pPr>
      <w:r>
        <w:lastRenderedPageBreak/>
        <w:t>Introduction</w:t>
      </w:r>
    </w:p>
    <w:p w14:paraId="2B65FA21" w14:textId="2481D5E2" w:rsidR="00693DD9" w:rsidRDefault="007707B3" w:rsidP="002F18BD">
      <w:pPr>
        <w:spacing w:line="480" w:lineRule="auto"/>
      </w:pPr>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w:t>
      </w:r>
      <w:r w:rsidR="00C44CCE">
        <w:t xml:space="preserve"> (estimates of annual relative abundance and rates of change in abundance</w:t>
      </w:r>
      <w:r w:rsidR="00E91E3C">
        <w:t>, respectively</w:t>
      </w:r>
      <w:r w:rsidR="00C44CCE">
        <w:t>)</w:t>
      </w:r>
      <w:r w:rsidR="00967A4C">
        <w:t xml:space="preserve">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w:t>
      </w:r>
      <w:r w:rsidR="002164B6">
        <w:t xml:space="preserve">as </w:t>
      </w:r>
      <w:r w:rsidR="00967A4C">
        <w:t xml:space="preserve">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 xml:space="preserve">are </w:t>
      </w:r>
      <w:r w:rsidR="00967A4C">
        <w:t xml:space="preserve">used by many conservation organizations and researchers to visualize, analyze, and assess the population status of over 400 species of birds (e.g., </w:t>
      </w:r>
      <w:r w:rsidR="009E3BE7">
        <w:t xml:space="preserve">Rosenberg et al. 2017, </w:t>
      </w:r>
      <w:r w:rsidR="00967A4C">
        <w:t xml:space="preserve">NABCI Canada 2019, </w:t>
      </w:r>
      <w:r w:rsidR="00657376">
        <w:t>Rosenberg et al. 2019</w:t>
      </w:r>
      <w:r w:rsidR="00967A4C">
        <w:t>).</w:t>
      </w:r>
    </w:p>
    <w:p w14:paraId="0EF659E9" w14:textId="3F37D5BD" w:rsidR="007707B3" w:rsidRDefault="00967A4C" w:rsidP="002F18BD">
      <w:pPr>
        <w:spacing w:line="480" w:lineRule="auto"/>
      </w:pPr>
      <w:r>
        <w:t xml:space="preserve">While the estimates of status and trend </w:t>
      </w:r>
      <w:r w:rsidR="002164B6">
        <w:t>from the BBS</w:t>
      </w:r>
      <w:r w:rsidR="000369EE">
        <w:t xml:space="preserve"> serve </w:t>
      </w:r>
      <w:r>
        <w:t xml:space="preserve">many different purposes, not </w:t>
      </w:r>
      <w:r w:rsidR="00CD3CD2">
        <w:t>all uses are</w:t>
      </w:r>
      <w:r>
        <w:t xml:space="preserve">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9E3BE7">
        <w:t xml:space="preserve"> to assess species recovery</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it is true of any</w:t>
      </w:r>
      <w:r w:rsidR="006117E7">
        <w:t xml:space="preserve"> single</w:t>
      </w:r>
      <w:r w:rsidR="00D723F2">
        <w:t xml:space="preserve"> model. </w:t>
      </w:r>
      <w:r w:rsidR="0005378F">
        <w:t>For example, t</w:t>
      </w:r>
      <w:r w:rsidR="00CD3CD2">
        <w:t xml:space="preserve">he standard model </w:t>
      </w:r>
      <w:r>
        <w:t>use</w:t>
      </w:r>
      <w:r w:rsidR="006117E7">
        <w:t>d since approximately 2011, estimate</w:t>
      </w:r>
      <w:r w:rsidR="009E3BE7">
        <w:t>s</w:t>
      </w:r>
      <w:r w:rsidR="006117E7">
        <w:t xml:space="preserve"> population change using</w:t>
      </w:r>
      <w:r>
        <w:t xml:space="preserve"> </w:t>
      </w:r>
      <w:r w:rsidR="00CD3CD2">
        <w:t>slope-parameters</w:t>
      </w:r>
      <w:r>
        <w:t xml:space="preserve"> </w:t>
      </w:r>
      <w:r w:rsidR="00CD3CD2">
        <w:t>and</w:t>
      </w:r>
      <w:r>
        <w:t xml:space="preserve"> random year-effects in a </w:t>
      </w:r>
      <w:r w:rsidR="00C6713A">
        <w:t>Bayesian hierarchical</w:t>
      </w:r>
      <w:r>
        <w:t xml:space="preserve">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w:t>
      </w:r>
      <w:r w:rsidR="003504BE">
        <w:lastRenderedPageBreak/>
        <w:t xml:space="preserve">conservative when it comes to estimating changes in a species’ population trend, or population cycles (Fewster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r w:rsidR="00BD4C89">
        <w:t>, this feat</w:t>
      </w:r>
      <w:r w:rsidR="009A722D">
        <w:t xml:space="preserve">ure of the model is problematic. </w:t>
      </w:r>
    </w:p>
    <w:p w14:paraId="529A48AE" w14:textId="4CBBFDF6" w:rsidR="007707B3" w:rsidRDefault="007707B3" w:rsidP="002F18BD">
      <w:pPr>
        <w:spacing w:line="480" w:lineRule="auto"/>
      </w:pPr>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(Fewster et al., 2000, Knape 2016)</w:t>
      </w:r>
      <w:r>
        <w:t>.</w:t>
      </w:r>
      <w:r w:rsidR="00AA31B3">
        <w:t xml:space="preserve"> </w:t>
      </w:r>
      <w:r w:rsidR="00A7662D">
        <w:t>The semi-parametric</w:t>
      </w:r>
      <w:r w:rsidR="00D723F2">
        <w:t xml:space="preserve"> smooths </w:t>
      </w:r>
      <w:r w:rsidR="00BC103B">
        <w:t>can</w:t>
      </w:r>
      <w:r w:rsidR="00D723F2">
        <w:t xml:space="preserve"> fit almost any shape of population trajectory, including stable populations, constant rates of increase or decrease, cycles of varying frequency and amplitude, or abrupt change points in population trends (Wood 2017)</w:t>
      </w:r>
      <w:r w:rsidR="00EC5C6A">
        <w:t xml:space="preserve">. </w:t>
      </w:r>
      <w:r w:rsidR="00261C3B">
        <w:t>Furthermore</w:t>
      </w:r>
      <w:r w:rsidR="00EC5C6A">
        <w:t xml:space="preserve">,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are shrunk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is </w:t>
      </w:r>
      <w:r w:rsidR="00A0588F">
        <w:t>usually</w:t>
      </w:r>
      <w:r w:rsidR="0084398F">
        <w:t xml:space="preserve"> overwhelmed by the data, but </w:t>
      </w:r>
      <w:r w:rsidR="00A0588F">
        <w:t xml:space="preserve">the user of published trend estimates has no clear way to discern its influence. </w:t>
      </w:r>
    </w:p>
    <w:p w14:paraId="3A64B1DE" w14:textId="54253980" w:rsidR="007707B3" w:rsidRDefault="007707B3" w:rsidP="002F18BD">
      <w:pPr>
        <w:spacing w:line="480" w:lineRule="auto"/>
      </w:pPr>
      <w:r>
        <w:lastRenderedPageBreak/>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sidP="002F18BD">
      <w:pPr>
        <w:spacing w:line="480" w:lineRule="auto"/>
      </w:pPr>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w:t>
      </w:r>
      <w:r w:rsidR="000D7A0A">
        <w:lastRenderedPageBreak/>
        <w:t xml:space="preserve">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5AE5427B" w:rsidR="00421401" w:rsidRDefault="00673EDA" w:rsidP="002F18BD">
      <w:pPr>
        <w:spacing w:line="480" w:lineRule="auto"/>
      </w:pPr>
      <w:r>
        <w:t>In t</w:t>
      </w:r>
      <w:r w:rsidR="00421401">
        <w:t>his paper</w:t>
      </w:r>
      <w:r>
        <w:t>, we</w:t>
      </w:r>
      <w:r w:rsidR="00421401">
        <w:t xml:space="preserve"> describe a</w:t>
      </w:r>
      <w:r>
        <w:t xml:space="preserve"> status and trend model that uses a</w:t>
      </w:r>
      <w:r w:rsidR="00421401">
        <w:t xml:space="preserve"> hierarchical GAM</w:t>
      </w:r>
      <w:r w:rsidR="00E91E3C">
        <w:t xml:space="preserve"> </w:t>
      </w:r>
      <w:r w:rsidR="00421401">
        <w:t xml:space="preserve">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(Knape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08CB292B" w14:textId="77777777" w:rsidR="00180E24" w:rsidRDefault="00180E24" w:rsidP="002F18BD">
      <w:pPr>
        <w:pStyle w:val="Heading1"/>
        <w:spacing w:line="480" w:lineRule="auto"/>
      </w:pPr>
      <w:r>
        <w:t>Methods</w:t>
      </w:r>
    </w:p>
    <w:p w14:paraId="74F6FDE1" w14:textId="77777777" w:rsidR="00180E24" w:rsidRDefault="00180E24" w:rsidP="002F18BD">
      <w:pPr>
        <w:pStyle w:val="Heading2"/>
        <w:spacing w:line="480" w:lineRule="auto"/>
      </w:pPr>
      <w:r>
        <w:t>Overview</w:t>
      </w:r>
    </w:p>
    <w:p w14:paraId="4276A7D6" w14:textId="0309C152" w:rsidR="00180E24" w:rsidRDefault="00180E24" w:rsidP="002F18BD">
      <w:pPr>
        <w:spacing w:line="480" w:lineRule="auto"/>
      </w:pPr>
      <w:r>
        <w:tab/>
        <w:t xml:space="preserve">We designed a </w:t>
      </w:r>
      <w:r w:rsidR="00C6713A">
        <w:t>Bayesian hierarchical</w:t>
      </w:r>
      <w:r>
        <w:t xml:space="preserve"> model for estimating status and trends from the North American Breeding Bird Survey (BBS) that uses a Generalized Additive Model (GAM) smooth to estimate the medium- and long-term temporal components of a species population trajectory. In the model, the GAM smooths are treated as random-effects</w:t>
      </w:r>
      <w:r w:rsidR="00E91E3C">
        <w:t xml:space="preserve"> within the geographic strata (the spatial units of the predictions, intersections of Bird Conservation Regions and province/state/territory boundaries)</w:t>
      </w:r>
      <w:r>
        <w:t>, so that information is shared on the shape of a species’ population trajectory among sub-regions of the species’ range</w:t>
      </w:r>
      <w:r w:rsidR="00561701">
        <w:t xml:space="preserve">. In comparison to the non-Bayesian hierarchical GAMs (HGAM) in </w:t>
      </w:r>
      <w:r w:rsidRPr="004E15BD">
        <w:t xml:space="preserve">Pedersen et al. </w:t>
      </w:r>
      <w:r>
        <w:t>2019</w:t>
      </w:r>
      <w:r w:rsidR="00561701">
        <w:t>, our model is most similar to the “GS” model that has a global smoother and group-level smoothers with a similar degree of wiggliness</w:t>
      </w:r>
      <w:r>
        <w:t xml:space="preserve">. We applied two versions of the GAM: one in which the GAM smooth </w:t>
      </w:r>
      <w:r w:rsidR="00E91E3C">
        <w:t>was the only component</w:t>
      </w:r>
      <w:r>
        <w:t xml:space="preserve"> modeling changes in abundance over time (GAM), and another in which random year effects were also estimated to allow for single-year </w:t>
      </w:r>
      <w:r w:rsidR="00E91E3C">
        <w:t xml:space="preserve">departures </w:t>
      </w:r>
      <w:r>
        <w:t>from the GAM smooth (</w:t>
      </w:r>
      <w:r w:rsidR="00E86C3D">
        <w:t>GAMYE, which is</w:t>
      </w:r>
      <w:r w:rsidR="00D515BF">
        <w:t xml:space="preserve"> </w:t>
      </w:r>
      <w:r w:rsidR="00E86C3D">
        <w:t>conceptually similar to the model described in Knape 2016</w:t>
      </w:r>
      <w:r>
        <w:t>).</w:t>
      </w:r>
    </w:p>
    <w:p w14:paraId="7C13B53A" w14:textId="320E2DFF" w:rsidR="00561701" w:rsidRDefault="007F48DC" w:rsidP="00561701">
      <w:pPr>
        <w:spacing w:line="480" w:lineRule="auto"/>
      </w:pPr>
      <w:r>
        <w:lastRenderedPageBreak/>
        <w:t>For</w:t>
      </w:r>
      <w:r w:rsidR="00180E24">
        <w:t xml:space="preserve"> a selection of species, we compared estimates and predictive accuracy of our two models using the GAM smooth, against two alternative models that have been used to analyze the BBS.  </w:t>
      </w:r>
      <w:r>
        <w:t>Our models use the counts of individual birds observed on BBS routes in a given year by a particular observer. The BBS routes are roadside survey-routes that include 50 stops at which a 3-minute point count is conducted, once annually, during the peak of the breeding season (</w:t>
      </w:r>
      <w:r w:rsidR="00F42CDE">
        <w:t>Robbins et al. 1986</w:t>
      </w:r>
      <w:r>
        <w:t xml:space="preserve">). </w:t>
      </w:r>
      <w:r w:rsidR="00180E24">
        <w:t xml:space="preserve">The four statistical models differed only in the parameters used to model changes in species relative abundance over time. We used </w:t>
      </w:r>
      <w:r w:rsidR="00E91E3C">
        <w:t>15</w:t>
      </w:r>
      <w:r w:rsidR="00180E24">
        <w:t>-fold cross validation</w:t>
      </w:r>
      <w:r w:rsidR="00E91E3C">
        <w:t xml:space="preserve"> (Burman 1983)</w:t>
      </w:r>
      <w:r w:rsidR="00180E24">
        <w:t xml:space="preserve"> to estimate </w:t>
      </w:r>
      <w:r w:rsidR="00E37187">
        <w:t xml:space="preserve">the observation-level, out-of-sample predictive </w:t>
      </w:r>
      <w:r w:rsidR="00E91E3C">
        <w:t>accuracy</w:t>
      </w:r>
      <w:r w:rsidR="00E37187">
        <w:t xml:space="preserve"> of all four models (Link et al. 2019, Vehtari et al. 2017). </w:t>
      </w:r>
      <w:r w:rsidR="00180E24">
        <w:t xml:space="preserve">We compared </w:t>
      </w:r>
      <w:r w:rsidR="00E37187">
        <w:t xml:space="preserve">the overall predictive accuracy </w:t>
      </w:r>
      <w:r w:rsidR="00180E24">
        <w:t>among the models, and we explored the spatial and temporal variation in predictive accuracy in depth.</w:t>
      </w:r>
    </w:p>
    <w:p w14:paraId="63EB4D54" w14:textId="0F643FE3" w:rsidR="00561701" w:rsidRDefault="005860E1" w:rsidP="00561701">
      <w:pPr>
        <w:spacing w:line="480" w:lineRule="auto"/>
      </w:pPr>
      <w:r>
        <w:t>In addition to the GAMs, we compared four alternative BBS models , all of which</w:t>
      </w:r>
      <w:r w:rsidR="00561701">
        <w:t xml:space="preserve"> have the same basic structure:</w:t>
      </w:r>
    </w:p>
    <w:p w14:paraId="55026A41" w14:textId="77777777" w:rsidR="00561701" w:rsidRPr="00B67E12" w:rsidRDefault="00561701" w:rsidP="00561701">
      <w:pPr>
        <w:spacing w:line="480" w:lineRule="auto"/>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58B3182D" w14:textId="6AC91FDF" w:rsidR="00561701" w:rsidRDefault="00561701" w:rsidP="00561701">
      <w:pPr>
        <w:spacing w:line="480" w:lineRule="auto"/>
      </w:pPr>
      <w:r>
        <w:t xml:space="preserve">The models 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Pr="00922D60">
        <w:t xml:space="preserve"> </w:t>
      </w:r>
      <w:r>
        <w:t xml:space="preserve">(i.e., geographic stratum </w:t>
      </w:r>
      <m:oMath>
        <m:r>
          <w:rPr>
            <w:rFonts w:ascii="Cambria Math" w:hAnsi="Cambria Math"/>
          </w:rPr>
          <m:t>s</m:t>
        </m:r>
      </m:oMath>
      <w:r>
        <w:t xml:space="preserve">, observer and route combination </w:t>
      </w:r>
      <m:oMath>
        <m:r>
          <w:rPr>
            <w:rFonts w:ascii="Cambria Math" w:hAnsi="Cambria Math"/>
          </w:rPr>
          <m:t>j</m:t>
        </m:r>
      </m:oMath>
      <w:r>
        <w:t xml:space="preserve">, and year </w:t>
      </w:r>
      <m:oMath>
        <m:r>
          <w:rPr>
            <w:rFonts w:ascii="Cambria Math" w:hAnsi="Cambria Math"/>
          </w:rPr>
          <m:t>t</m:t>
        </m:r>
      </m:oMath>
      <w:r>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observer-route effects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first-year startup effects for a given observer</w:t>
      </w:r>
      <m:oMath>
        <m:r>
          <w:rPr>
            <w:rFonts w:ascii="Cambria Math" w:hAnsi="Cambria Math"/>
          </w:rPr>
          <m:t xml:space="preserve"> (ηΙ</m:t>
        </m:r>
        <m:d>
          <m:dPr>
            <m:begChr m:val="["/>
            <m:endChr m:val="]"/>
            <m:ctrlPr>
              <w:rPr>
                <w:rFonts w:ascii="Cambria Math" w:hAnsi="Cambria Math"/>
              </w:rPr>
            </m:ctrlPr>
          </m:dPr>
          <m:e>
            <m:r>
              <w:rPr>
                <w:rFonts w:ascii="Cambria Math" w:hAnsi="Cambria Math"/>
              </w:rPr>
              <m:t>j,t</m:t>
            </m:r>
          </m:e>
        </m:d>
        <m:r>
          <w:rPr>
            <w:rFonts w:ascii="Cambria Math" w:hAnsi="Cambria Math"/>
          </w:rPr>
          <m:t>)</m:t>
        </m:r>
      </m:oMath>
      <w:r>
        <w:t xml:space="preserve"> 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t xml:space="preserve">), and a temporal component estimated using </w:t>
      </w:r>
      <w:r w:rsidR="00F42CDE">
        <w:t>a function of year, which varies across the four models</w:t>
      </w:r>
      <w:r>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t>). The models here only varied in their temporal components</w:t>
      </w:r>
      <w:r w:rsidR="00F42CDE">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F42CDE">
        <w:t>)</w:t>
      </w:r>
      <w:r>
        <w:t xml:space="preserve">. </w:t>
      </w:r>
      <w:r w:rsidR="00C6713A">
        <w:t>We set the priors</w:t>
      </w:r>
      <w:r>
        <w:t xml:space="preserve"> following Link et al. (2017)</w:t>
      </w:r>
      <w:r w:rsidR="00C6713A">
        <w:t xml:space="preserve"> and Smith et al. (2019), and we used</w:t>
      </w:r>
      <w:r>
        <w:t xml:space="preserve"> the heavy-tailed, t-distribution to model the count-level extra-Poisson dispersion (Link et al. 2019).</w:t>
      </w:r>
    </w:p>
    <w:p w14:paraId="34004BF2" w14:textId="77777777" w:rsidR="00561701" w:rsidRDefault="00561701" w:rsidP="002F18BD">
      <w:pPr>
        <w:spacing w:line="480" w:lineRule="auto"/>
      </w:pPr>
    </w:p>
    <w:p w14:paraId="03EAC4EA" w14:textId="0713B845" w:rsidR="00180E24" w:rsidRDefault="00180E24" w:rsidP="002F18BD">
      <w:pPr>
        <w:pStyle w:val="Heading2"/>
        <w:spacing w:line="480" w:lineRule="auto"/>
      </w:pPr>
      <w:r>
        <w:lastRenderedPageBreak/>
        <w:t>Bayesian hierarchical GAM</w:t>
      </w:r>
      <w:r w:rsidR="00985A22">
        <w:t>s</w:t>
      </w:r>
    </w:p>
    <w:p w14:paraId="238ED2E2" w14:textId="0936478A" w:rsidR="00180E24" w:rsidRDefault="00180E24" w:rsidP="00561701">
      <w:pPr>
        <w:spacing w:line="480" w:lineRule="auto"/>
      </w:pPr>
      <w:r>
        <w:tab/>
      </w:r>
    </w:p>
    <w:p w14:paraId="2722F6A7" w14:textId="77777777" w:rsidR="00985A22" w:rsidRDefault="00985A22" w:rsidP="001E597A">
      <w:pPr>
        <w:pStyle w:val="Heading3"/>
      </w:pPr>
      <w:r>
        <w:t>GAM</w:t>
      </w:r>
    </w:p>
    <w:p w14:paraId="393CE0E6" w14:textId="5074AD23" w:rsidR="00180E24" w:rsidRDefault="00180E24" w:rsidP="002F18BD">
      <w:pPr>
        <w:spacing w:line="480" w:lineRule="auto"/>
      </w:pPr>
      <w:r>
        <w:t xml:space="preserve">The main temporal component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in the GAM was modeled with a semi-parametric smooth, estimated following Crainiceanu et al (2005) as </w:t>
      </w:r>
    </w:p>
    <w:p w14:paraId="6F8CA541" w14:textId="5E418C99" w:rsidR="00180E24" w:rsidRDefault="00994032" w:rsidP="002F18BD">
      <w:pPr>
        <w:spacing w:line="480" w:lineRule="auto"/>
      </w:pPr>
      <m:oMathPara>
        <m:oMath>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s</m:t>
              </m:r>
            </m:sub>
            <m:sup>
              <m:r>
                <m:rPr>
                  <m:sty m:val="p"/>
                </m:rPr>
                <w:rPr>
                  <w:rFonts w:ascii="Cambria Math" w:hAnsi="Cambria Math"/>
                </w:rPr>
                <m:t>GAM</m:t>
              </m:r>
            </m:sup>
          </m:sSubSup>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01AC9651" w14:textId="13BBBB8D" w:rsidR="00180E24" w:rsidRDefault="00180E24" w:rsidP="002F18BD">
      <w:pPr>
        <w:spacing w:line="480" w:lineRule="auto"/>
      </w:pPr>
      <w:r>
        <w:t xml:space="preserve">where </w:t>
      </w:r>
      <m:oMath>
        <m:r>
          <w:rPr>
            <w:rFonts w:ascii="Cambria Math" w:hAnsi="Cambria Math"/>
          </w:rPr>
          <m:t>Κ</m:t>
        </m:r>
      </m:oMath>
      <w:r>
        <w:t xml:space="preserve"> is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rPr>
          <w:rFonts w:eastAsiaTheme="minorEastAsia"/>
        </w:rPr>
        <w:t xml:space="preserve"> </w:t>
      </w:r>
      <w:r>
        <w:t xml:space="preserve">is the year </w:t>
      </w:r>
      <m:oMath>
        <m:r>
          <w:rPr>
            <w:rFonts w:ascii="Cambria Math" w:hAnsi="Cambria Math"/>
          </w:rPr>
          <m:t>t</m:t>
        </m:r>
      </m:oMath>
      <w:r>
        <w:t xml:space="preserve"> and </w:t>
      </w:r>
      <m:oMath>
        <m:r>
          <w:rPr>
            <w:rFonts w:ascii="Cambria Math" w:hAnsi="Cambria Math"/>
          </w:rPr>
          <m:t>k</m:t>
        </m:r>
      </m:oMath>
      <w:r>
        <w:rPr>
          <w:rFonts w:eastAsiaTheme="minorEastAsia"/>
        </w:rPr>
        <w:t>th</w:t>
      </w:r>
      <w:r>
        <w:t xml:space="preserve"> entry in the design matrix </w:t>
      </w:r>
      <m:oMath>
        <m:r>
          <m:rPr>
            <m:sty m:val="p"/>
          </m:rPr>
          <w:rPr>
            <w:rFonts w:ascii="Cambria Math" w:hAnsi="Cambria Math"/>
          </w:rPr>
          <m:t>Χ</m:t>
        </m:r>
        <m:r>
          <w:rPr>
            <w:rFonts w:ascii="Cambria Math" w:hAnsi="Cambria Math"/>
          </w:rPr>
          <m:t xml:space="preserve"> </m:t>
        </m:r>
      </m:oMath>
      <w:r>
        <w:t xml:space="preserve">(defined below),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is the </w:t>
      </w:r>
      <m:oMath>
        <m:r>
          <w:rPr>
            <w:rFonts w:ascii="Cambria Math" w:hAnsi="Cambria Math"/>
          </w:rPr>
          <m:t>Κ</m:t>
        </m:r>
      </m:oMath>
      <w:r>
        <w:t xml:space="preserve">-length vector of parameters that control the shape of the trajectory in stratum </w:t>
      </w:r>
      <m:oMath>
        <m:r>
          <w:rPr>
            <w:rFonts w:ascii="Cambria Math" w:hAnsi="Cambria Math"/>
          </w:rPr>
          <m:t>s</m:t>
        </m:r>
      </m:oMath>
      <w:r>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Pr>
          <w:rFonts w:eastAsiaTheme="minorEastAsia"/>
        </w:rPr>
        <w:t xml:space="preserve"> </w:t>
      </w:r>
      <w:r>
        <w:t>is estimated as a random effect, centered on a mean across all strata (</w:t>
      </w:r>
      <w:r w:rsidR="00F2032E">
        <w:rPr>
          <w:rFonts w:eastAsiaTheme="minorEastAsia"/>
        </w:rPr>
        <w:t xml:space="preserve">a hyperparameter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rPr>
          <w:rFonts w:eastAsiaTheme="minorEastAsia"/>
        </w:rPr>
        <w:t>)</w:t>
      </w:r>
    </w:p>
    <w:p w14:paraId="550F63E3" w14:textId="4BF5FD6F" w:rsidR="00180E24" w:rsidRPr="00FB0FC0" w:rsidRDefault="00994032" w:rsidP="002F18BD">
      <w:pPr>
        <w:spacing w:line="480" w:lineRule="auto"/>
        <w:rPr>
          <w:rFonts w:eastAsiaTheme="minorEastAsia"/>
        </w:rPr>
      </w:pPr>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 xml:space="preserve"> ~ 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370874F9" w14:textId="003F2BF3" w:rsidR="00FB0FC0" w:rsidRDefault="00A70EA2" w:rsidP="002F18BD">
      <w:pPr>
        <w:spacing w:line="480" w:lineRule="auto"/>
        <w:rPr>
          <w:rFonts w:eastAsiaTheme="minorEastAsia"/>
        </w:rPr>
      </w:pPr>
      <w:r>
        <w:rPr>
          <w:rFonts w:eastAsiaTheme="minorEastAsia"/>
        </w:rPr>
        <w:t>and</w:t>
      </w:r>
    </w:p>
    <w:p w14:paraId="69EFAB13" w14:textId="0EAE95AB" w:rsidR="00FB0FC0" w:rsidRPr="0043522E" w:rsidRDefault="00994032" w:rsidP="002F18BD">
      <w:pPr>
        <w:spacing w:line="480" w:lineRule="auto"/>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r>
            <w:rPr>
              <w:rFonts w:ascii="Cambria Math" w:hAnsi="Cambria Math"/>
            </w:rPr>
            <m:t xml:space="preserve"> ~ Normal</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e>
          </m:d>
        </m:oMath>
      </m:oMathPara>
    </w:p>
    <w:p w14:paraId="45173AC9" w14:textId="1CA5101C" w:rsidR="00156F17" w:rsidRDefault="00A70EA2" w:rsidP="00156F17">
      <w:pPr>
        <w:spacing w:line="480" w:lineRule="auto"/>
      </w:pPr>
      <w:r>
        <w:t xml:space="preserve">where the </w:t>
      </w:r>
      <w:r w:rsidR="00180E24">
        <w:t xml:space="preserve">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180E24">
        <w:rPr>
          <w:rFonts w:eastAsiaTheme="minorEastAsia"/>
        </w:rPr>
        <w:t xml:space="preserve"> </w:t>
      </w:r>
      <w:r w:rsidR="00180E24">
        <w:t>control</w:t>
      </w:r>
      <w:r>
        <w:t>s</w:t>
      </w:r>
      <w:r w:rsidR="00180E24">
        <w:t xml:space="preserve"> the shrinkage towards a first-degree polynomial</w:t>
      </w:r>
      <w:r w:rsidR="005860E1">
        <w:t xml:space="preserve">. That is, this random effect variance term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5860E1">
        <w:t xml:space="preserve"> acts as the complexity penalty, shrinking the </w:t>
      </w:r>
      <w:r w:rsidR="00985A22">
        <w:t>wiggliness</w:t>
      </w:r>
      <w:r w:rsidR="005860E1">
        <w:t xml:space="preserve"> of the mean trajectory towards a straight and flat line</w:t>
      </w:r>
      <w:r w:rsidR="00180E24">
        <w:t xml:space="preserve">). </w:t>
      </w:r>
      <w:r w:rsidR="005860E1">
        <w:t>In combination, t</w:t>
      </w:r>
      <w:r w:rsidR="00180E24">
        <w: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180E24">
        <w:t xml:space="preserve">) control the complexity penalty of the </w:t>
      </w:r>
      <w:r w:rsidR="00985A22">
        <w:t xml:space="preserve">species trajectories </w:t>
      </w:r>
      <w:r w:rsidR="00180E24">
        <w:t xml:space="preserve">and the variation in </w:t>
      </w:r>
      <w:r w:rsidR="00985A22">
        <w:t xml:space="preserve">pattern and </w:t>
      </w:r>
      <w:r w:rsidR="00180E24">
        <w:t>complexity among strata</w:t>
      </w:r>
      <w:r w:rsidR="00A422D6">
        <w:t xml:space="preserve"> and were </w:t>
      </w:r>
      <w:r w:rsidR="009E3BE7">
        <w:t xml:space="preserve">given the following </w:t>
      </w:r>
      <w:r w:rsidR="00A422D6">
        <w:t>priors</w:t>
      </w:r>
      <w:r w:rsidR="00464ED8">
        <w:t>, following advice in Crainiceanu et al (2005</w:t>
      </w:r>
      <w:r w:rsidR="008279B6">
        <w:t>)</w:t>
      </w:r>
      <w:r w:rsidR="009E3BE7">
        <w:t>:</w:t>
      </w:r>
      <w:r w:rsidR="00464ED8">
        <w:t xml:space="preserve"> </w:t>
      </w:r>
    </w:p>
    <w:p w14:paraId="273716C6" w14:textId="7DD6840D" w:rsidR="00156F17" w:rsidRPr="00544ECC" w:rsidRDefault="00994032" w:rsidP="00156F17">
      <w:pPr>
        <w:spacing w:line="480" w:lineRule="auto"/>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 0.2</m:t>
                  </m:r>
                </m:e>
              </m:d>
            </m:den>
          </m:f>
        </m:oMath>
      </m:oMathPara>
    </w:p>
    <w:p w14:paraId="0F38343A" w14:textId="164F1A48" w:rsidR="001E38A1" w:rsidRPr="00544ECC" w:rsidRDefault="00994032" w:rsidP="00156F17">
      <w:pPr>
        <w:spacing w:line="480" w:lineRule="auto"/>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4172F7BE" w14:textId="61832737" w:rsidR="008279B6" w:rsidRDefault="008279B6" w:rsidP="00985A22">
      <w:pPr>
        <w:spacing w:line="480" w:lineRule="auto"/>
      </w:pPr>
      <w:r>
        <w:lastRenderedPageBreak/>
        <w:t xml:space="preserve">These prior parameters were chosen as a balance between ensuring that the priors are sufficiently vague and yet constrained to realistic values given the scale of the basis function. We </w:t>
      </w:r>
      <w:r w:rsidR="00623CAC">
        <w:t>have so far had good results across a wide range of species using these priors, but they are an area of ongoing research</w:t>
      </w:r>
      <w:r>
        <w:t xml:space="preserve"> and users of the package bbsBayes can access the JAGS model descriptions to explore</w:t>
      </w:r>
      <w:r w:rsidR="00623CAC">
        <w:t xml:space="preserve"> alternative priors. </w:t>
      </w:r>
    </w:p>
    <w:p w14:paraId="204E65DD" w14:textId="4BA7E757" w:rsidR="00985A22" w:rsidRDefault="00985A22" w:rsidP="00985A22">
      <w:pPr>
        <w:spacing w:line="480" w:lineRule="auto"/>
      </w:pPr>
      <w:r>
        <w:t>The design matrix for the smoothing function (</w:t>
      </w:r>
      <m:oMath>
        <m:r>
          <m:rPr>
            <m:sty m:val="p"/>
          </m:rPr>
          <w:rPr>
            <w:rFonts w:ascii="Cambria Math" w:hAnsi="Cambria Math"/>
          </w:rPr>
          <m:t>Χ</m:t>
        </m:r>
      </m:oMath>
      <w:r>
        <w:t xml:space="preserve">) has a row for each year, and a column for each of </w:t>
      </w:r>
      <m:oMath>
        <m:r>
          <w:rPr>
            <w:rFonts w:ascii="Cambria Math" w:hAnsi="Cambria Math"/>
          </w:rPr>
          <m:t>Κ</m:t>
        </m:r>
      </m:oMath>
      <w:r>
        <w:rPr>
          <w:rFonts w:eastAsiaTheme="minorEastAsia"/>
        </w:rPr>
        <w:t xml:space="preserve"> </w:t>
      </w:r>
      <w:r>
        <w:t>knots. The GAM smooth represented a 3</w:t>
      </w:r>
      <w:r w:rsidRPr="00944F2C">
        <w:rPr>
          <w:vertAlign w:val="superscript"/>
        </w:rPr>
        <w:t>rd</w:t>
      </w:r>
      <w:r>
        <w:t>-degree polynomial spline: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 was calculated in R, following Crainiceanu et al (2005). Here, we have used 13 knots (</w:t>
      </w:r>
      <m:oMath>
        <m:r>
          <w:rPr>
            <w:rFonts w:ascii="Cambria Math" w:hAnsi="Cambria Math"/>
          </w:rPr>
          <m:t>Κ</m:t>
        </m:r>
      </m:oMath>
      <w:r>
        <w:t xml:space="preserve"> = 13), across the 53 year time-series of the BBS (1966-2018), following the default setting in the R-package bbsBayes (Edwards and Smith 2020), which is to add one knot for every 4 years in the time-series. With this number of knots, we have found that the 53-year trajectories are sufficiently flexible to capture all but the shortest-term variation (</w:t>
      </w:r>
      <w:r w:rsidR="00623CAC">
        <w:t>e.g., variation on the scale of 3-53 years,</w:t>
      </w:r>
      <w:r>
        <w:t xml:space="preserve"> but not annual fluctuations). </w:t>
      </w:r>
    </w:p>
    <w:p w14:paraId="48C80556" w14:textId="633C6DD5" w:rsidR="00985A22" w:rsidRDefault="00985A22" w:rsidP="001E597A">
      <w:pPr>
        <w:pStyle w:val="Heading3"/>
      </w:pPr>
      <w:r>
        <w:t>GAMYE</w:t>
      </w:r>
    </w:p>
    <w:p w14:paraId="14489194" w14:textId="70069D28" w:rsidR="001E38A1" w:rsidRDefault="001E38A1" w:rsidP="001E38A1">
      <w:pPr>
        <w:spacing w:line="480" w:lineRule="auto"/>
      </w:pPr>
      <w:r>
        <w:t>The GAMYE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t xml:space="preserve">) estimated following Sauer and Link (2011) and Smith et al. (2015), as </w:t>
      </w:r>
    </w:p>
    <w:p w14:paraId="3F058D31" w14:textId="77777777" w:rsidR="001E38A1" w:rsidRPr="00F822DA" w:rsidRDefault="00994032" w:rsidP="001E38A1">
      <w:pPr>
        <w:spacing w:line="480" w:lineRule="auto"/>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t,s</m:t>
              </m:r>
            </m:sub>
          </m:sSub>
          <m:r>
            <w:rPr>
              <w:rFonts w:ascii="Cambria Math" w:hAnsi="Cambria Math"/>
            </w:rPr>
            <m:t xml:space="preserve"> ~ Normal</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e>
          </m:d>
        </m:oMath>
      </m:oMathPara>
    </w:p>
    <w:p w14:paraId="53067401" w14:textId="77777777" w:rsidR="001E38A1" w:rsidRDefault="001E38A1" w:rsidP="001E38A1">
      <w:pPr>
        <w:spacing w:line="480" w:lineRule="auto"/>
      </w:pPr>
      <w:r>
        <w:rPr>
          <w:rFonts w:eastAsiaTheme="minorEastAsia"/>
        </w:rPr>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Pr>
          <w:rFonts w:eastAsiaTheme="minorEastAsia"/>
        </w:rPr>
        <w:t xml:space="preserve"> are stratum-specific variances. Thus, the temporal component for the GAMYE</w:t>
      </w:r>
      <w:r>
        <w:t xml:space="preserve"> is given by </w:t>
      </w:r>
    </w:p>
    <w:p w14:paraId="399D3716" w14:textId="58C4DA2C" w:rsidR="001E38A1" w:rsidRDefault="00994032" w:rsidP="001E38A1">
      <w:pPr>
        <w:spacing w:line="480" w:lineRule="auto"/>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GAMYE</m:t>
              </m:r>
            </m:sup>
          </m:sSubSup>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17487A87" w14:textId="76E95125" w:rsidR="00180E24" w:rsidRDefault="00180E24" w:rsidP="002F18BD">
      <w:pPr>
        <w:pStyle w:val="Heading2"/>
        <w:spacing w:line="480" w:lineRule="auto"/>
      </w:pPr>
      <w:r>
        <w:t>Alternative models</w:t>
      </w:r>
    </w:p>
    <w:p w14:paraId="7795FFA7" w14:textId="77777777" w:rsidR="00561701" w:rsidRDefault="00180E24" w:rsidP="002F18BD">
      <w:pPr>
        <w:spacing w:line="480" w:lineRule="auto"/>
      </w:pPr>
      <w:r>
        <w:t xml:space="preserve">For a selection of species, we compared the predictions and predictive accuracy of the two GAMs against two alternative models previously used for the BBS. </w:t>
      </w:r>
    </w:p>
    <w:p w14:paraId="1841FF06" w14:textId="77777777" w:rsidR="00561701" w:rsidRDefault="00561701" w:rsidP="001E597A">
      <w:pPr>
        <w:pStyle w:val="Heading3"/>
      </w:pPr>
      <w:r>
        <w:lastRenderedPageBreak/>
        <w:t>SLOPE</w:t>
      </w:r>
    </w:p>
    <w:p w14:paraId="5291599E" w14:textId="6DBD0810" w:rsidR="00180E24" w:rsidRDefault="00180E24" w:rsidP="002F18BD">
      <w:pPr>
        <w:spacing w:line="480" w:lineRule="auto"/>
      </w:pPr>
      <w:r>
        <w:t xml:space="preserve">The SLOPE model includes a log-linear slope parameter and random year-effects to model species trajectories. It is a linear-trend model </w:t>
      </w:r>
      <w:r w:rsidR="009E3BE7">
        <w:t>currently</w:t>
      </w:r>
      <w:r>
        <w:t xml:space="preserve"> used by both </w:t>
      </w:r>
      <w:r w:rsidR="009E3BE7">
        <w:t>the CSW (</w:t>
      </w:r>
      <w:r>
        <w:t xml:space="preserve">Smith et al. 2014) and the </w:t>
      </w:r>
      <w:r w:rsidR="009E3BE7">
        <w:t>USGS</w:t>
      </w:r>
      <w:r>
        <w:t xml:space="preserve"> (Sauer et al. 2017) as an omnibus model to supply status and trend estimates from the BBS (essentially the same as model SH</w:t>
      </w:r>
      <w:r w:rsidR="00C44CCE">
        <w:t>, the Slope model with Heavy-tailed error</w:t>
      </w:r>
      <w:r>
        <w:t xml:space="preserve"> in Link et al 2017). The main temporal component in the SLOPE model is </w:t>
      </w:r>
    </w:p>
    <w:p w14:paraId="2D27F4AA" w14:textId="6FDAFB1D" w:rsidR="00180E24" w:rsidRPr="00544ECC" w:rsidRDefault="00994032" w:rsidP="002F18BD">
      <w:pPr>
        <w:spacing w:line="480" w:lineRule="auto"/>
        <w:rPr>
          <w:rFonts w:eastAsiaTheme="minorEastAsia"/>
        </w:rPr>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SLOPE</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3350BCFA" w14:textId="77777777" w:rsidR="005860E1" w:rsidRDefault="005860E1" w:rsidP="001E597A">
      <w:pPr>
        <w:pStyle w:val="Heading3"/>
      </w:pPr>
      <w:r>
        <w:t>DIFFERENCE</w:t>
      </w:r>
    </w:p>
    <w:p w14:paraId="70E1F7AB" w14:textId="746F73FC" w:rsidR="00180E24" w:rsidRDefault="005860E1" w:rsidP="002F18BD">
      <w:pPr>
        <w:spacing w:line="480" w:lineRule="auto"/>
      </w:pPr>
      <w:r>
        <w:t>T</w:t>
      </w:r>
      <w:r w:rsidR="00180E24">
        <w:t>he first-difference model (DIFFERENCE)</w:t>
      </w:r>
      <w:r>
        <w:t xml:space="preserve"> is</w:t>
      </w:r>
      <w:r w:rsidR="00180E24">
        <w:t xml:space="preserve"> based on a model described in Link and Sauer (2015) </w:t>
      </w:r>
      <w:r>
        <w:t xml:space="preserve">and </w:t>
      </w:r>
      <w:r w:rsidR="00180E24">
        <w:t>models the main temporal component as</w:t>
      </w:r>
    </w:p>
    <w:p w14:paraId="27E75A20" w14:textId="3EE07F59" w:rsidR="00180E24" w:rsidRDefault="00994032" w:rsidP="002F18BD">
      <w:pPr>
        <w:spacing w:line="480" w:lineRule="auto"/>
        <w:rPr>
          <w:rFonts w:eastAsiaTheme="minorEastAsia"/>
        </w:rPr>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DIFFERENCE</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717952F7" w14:textId="5DDF7A1F" w:rsidR="00180E24" w:rsidRDefault="00180E24" w:rsidP="002F18BD">
      <w:pPr>
        <w:spacing w:line="480" w:lineRule="auto"/>
      </w:pPr>
      <w:r>
        <w:t>The DIFFERENCE model includes year-effects that follow a random walk from the first year of the time-series, by modeling the first-order differences between years as random effects with mean zero and an estimated variance.</w:t>
      </w:r>
    </w:p>
    <w:p w14:paraId="615CDBE4" w14:textId="77777777" w:rsidR="00C44CCE" w:rsidRPr="00544ECC" w:rsidRDefault="00C44CCE" w:rsidP="002F18BD">
      <w:pPr>
        <w:spacing w:line="480" w:lineRule="auto"/>
        <w:rPr>
          <w:rFonts w:eastAsiaTheme="minorEastAsia"/>
        </w:rPr>
      </w:pPr>
    </w:p>
    <w:p w14:paraId="3FF54305" w14:textId="37891CD6" w:rsidR="00180E24" w:rsidRDefault="00180E24" w:rsidP="002F18BD">
      <w:pPr>
        <w:spacing w:line="480" w:lineRule="auto"/>
      </w:pPr>
      <w:r>
        <w:t xml:space="preserve">All analyses in this paper were conducted in R (R Core Team, 2019), using JAGS to implement the Bayesian analyses (Plummer 2003), and an R-package bbsBayes (Edwards and Smith </w:t>
      </w:r>
      <w:r w:rsidR="000D16B6">
        <w:t>2020</w:t>
      </w:r>
      <w:r>
        <w:t xml:space="preserve">) to access the BBS data and run all of the models used here. The graphs relied heavily on the package ggplot2 (Wickham 2016). BUGS-language descriptions of the GAM and GAMYE, as well as all the code and data used to produce the analyses in this study, are archived online (www.github.com/AdamCSmithCWS/GAM_Paper_Script). In addition, all of the models used here can be applied to the BBS data using the R-package “bbsBayes” </w:t>
      </w:r>
      <w:r w:rsidR="003864DF">
        <w:t>(Edwards and Smith 2020).</w:t>
      </w:r>
    </w:p>
    <w:p w14:paraId="3F18DC80" w14:textId="77777777" w:rsidR="00180E24" w:rsidRDefault="00180E24" w:rsidP="002F18BD">
      <w:pPr>
        <w:pStyle w:val="Heading2"/>
        <w:spacing w:line="480" w:lineRule="auto"/>
      </w:pPr>
      <w:r>
        <w:lastRenderedPageBreak/>
        <w:t>Cross-validation</w:t>
      </w:r>
    </w:p>
    <w:p w14:paraId="37CFF17E" w14:textId="0D51FF67" w:rsidR="00180E24" w:rsidRDefault="00180E24" w:rsidP="002F18BD">
      <w:pPr>
        <w:spacing w:line="480" w:lineRule="auto"/>
      </w:pPr>
      <w:r>
        <w:t xml:space="preserve">We used a temporally and spatially stratified v-fold cross-validation (Burman 1983, often termed “k-fold”, but here we use Berman’s original “v-fold” to distinguish it from “k” </w:t>
      </w:r>
      <w:r w:rsidR="008279B6">
        <w:t xml:space="preserve">which is often used to describe the number of </w:t>
      </w:r>
      <w:r>
        <w:t xml:space="preserve">knots in </w:t>
      </w:r>
      <w:r w:rsidR="008279B6">
        <w:t xml:space="preserve">a </w:t>
      </w:r>
      <w:r>
        <w:t>GAM) with v = 15, where we held-out random sets of counts, stratified across all years and strata so that each of the v-folds included some observations from every combination of strata and years. We chose this approach over a leave-one-out cross-validation (loocv) approach using a random subset of counts (e.g., Link et al. 2019) because we wanted to assess the predictive success across all counts in the dataset, explore the temporal and spatial patterns in predictive success</w:t>
      </w:r>
      <w:r w:rsidR="008279B6">
        <w:t>, and a full loocv is not practical for computational reasons (see Link et al. 2017)</w:t>
      </w:r>
      <w:r>
        <w:t>. We followed a similar procedure to that outlined in Link et al. (2017) to implement the cross-validation in a parallel computing environment, using the R-</w:t>
      </w:r>
      <w:r w:rsidRPr="00C80B04">
        <w:t>package foreach (Microsoft and Weston 2019).</w:t>
      </w:r>
      <w:r>
        <w:t xml:space="preserve"> We did not calculate WAIC because previous work has shown that WAIC does not approximate loocv well for the BBS data (Link et al. 2017, Link et al. 2019).</w:t>
      </w:r>
    </w:p>
    <w:p w14:paraId="3F704431" w14:textId="77777777" w:rsidR="00180E24" w:rsidRDefault="00180E24" w:rsidP="002F18BD">
      <w:pPr>
        <w:spacing w:line="480" w:lineRule="auto"/>
      </w:pPr>
      <w:r>
        <w:t>We used the 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t>) to compare the observation-level, out-of-sample predictive success of all four models (Link et al. 2019, Vehtari et al. 2017). For a given model</w:t>
      </w:r>
      <w:r>
        <w:rPr>
          <w:i/>
        </w:rPr>
        <w:t xml:space="preserve"> </w:t>
      </w:r>
      <m:oMath>
        <m:r>
          <w:rPr>
            <w:rFonts w:ascii="Cambria Math" w:hAnsi="Cambria Math"/>
          </w:rPr>
          <m:t>M</m:t>
        </m:r>
      </m:oMath>
      <w:r>
        <w:t xml:space="preserve">, </w:t>
      </w:r>
      <m:oMath>
        <m:r>
          <m:rPr>
            <m:sty m:val="p"/>
          </m:rPr>
          <w:rPr>
            <w:rFonts w:ascii="Cambria Math" w:hAnsi="Cambria Math"/>
          </w:rPr>
          <m:t>elpd</m:t>
        </m:r>
      </m:oMath>
      <w:r>
        <w:t xml:space="preserve"> is the estimated log posterior probability for each observation </w:t>
      </w:r>
      <m:oMath>
        <m:r>
          <w:rPr>
            <w:rFonts w:ascii="Cambria Math" w:hAnsi="Cambria Math"/>
          </w:rPr>
          <m:t>i</m:t>
        </m:r>
      </m:oMath>
      <w:r>
        <w:t>, for the model</w:t>
      </w:r>
      <w:r>
        <w:rPr>
          <w:i/>
        </w:rPr>
        <w:t xml:space="preserve"> </w:t>
      </w:r>
      <m:oMath>
        <m:r>
          <w:rPr>
            <w:rFonts w:ascii="Cambria Math" w:hAnsi="Cambria Math"/>
          </w:rPr>
          <m:t>M</m:t>
        </m:r>
      </m:oMath>
      <w:r>
        <w:t xml:space="preserve"> fit to all data except those in the set </w:t>
      </w:r>
      <m:oMath>
        <m:r>
          <w:rPr>
            <w:rFonts w:ascii="Cambria Math" w:hAnsi="Cambria Math"/>
          </w:rPr>
          <m:t>v</m:t>
        </m:r>
      </m:oMath>
      <w:r>
        <w:t xml:space="preserve"> that includes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 That is,</w:t>
      </w:r>
    </w:p>
    <w:p w14:paraId="50F4E856" w14:textId="77777777" w:rsidR="00180E24" w:rsidRDefault="00994032" w:rsidP="002F18BD">
      <w:pPr>
        <w:spacing w:line="480" w:lineRule="auto"/>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5E821198" w14:textId="77777777" w:rsidR="00180E24" w:rsidRDefault="00180E24" w:rsidP="002F18BD">
      <w:pPr>
        <w:spacing w:line="480" w:lineRule="auto"/>
      </w:pPr>
      <w:r>
        <w:t xml:space="preserve">Larger values of </w:t>
      </w:r>
      <m:oMath>
        <m:r>
          <m:rPr>
            <m:sty m:val="p"/>
          </m:rPr>
          <w:rPr>
            <w:rFonts w:ascii="Cambria Math" w:hAnsi="Cambria Math"/>
          </w:rPr>
          <m:t>elpd</m:t>
        </m:r>
      </m:oMath>
      <w:r>
        <w:t xml:space="preserve"> indicate better predictive success, that is a higher probability of the observed data given the model</w:t>
      </w:r>
      <w:r>
        <w:rPr>
          <w:i/>
        </w:rPr>
        <w:t xml:space="preserve"> </w:t>
      </w:r>
      <m:oMath>
        <m:r>
          <w:rPr>
            <w:rFonts w:ascii="Cambria Math" w:hAnsi="Cambria Math"/>
          </w:rPr>
          <m:t>M</m:t>
        </m:r>
      </m:oMath>
      <w:r>
        <w:t>, the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w:t>
      </w:r>
    </w:p>
    <w:p w14:paraId="3EE9D2B4" w14:textId="1DBFD4F6" w:rsidR="00180E24" w:rsidRDefault="00180E24" w:rsidP="002F18BD">
      <w:pPr>
        <w:spacing w:line="480" w:lineRule="auto"/>
      </w:pPr>
      <w:r>
        <w:t xml:space="preserve">We have not summed </w:t>
      </w:r>
      <m:oMath>
        <m:r>
          <m:rPr>
            <m:sty m:val="p"/>
          </m:rPr>
          <w:rPr>
            <w:rFonts w:ascii="Cambria Math" w:hAnsi="Cambria Math"/>
          </w:rPr>
          <m:t>elpd</m:t>
        </m:r>
      </m:oMath>
      <w:r>
        <w:t xml:space="preserve"> values to generate BPIC values (Link et al. 2019); rather, we have compared model-based estimates of mean difference in</w:t>
      </w:r>
      <m:oMath>
        <m:r>
          <m:rPr>
            <m:sty m:val="p"/>
          </m:rPr>
          <w:rPr>
            <w:rFonts w:ascii="Cambria Math" w:hAnsi="Cambria Math"/>
          </w:rPr>
          <m:t xml:space="preserve"> elpd</m:t>
        </m:r>
      </m:oMath>
      <w:r>
        <w:rPr>
          <w:rFonts w:eastAsiaTheme="minorEastAsia"/>
          <w:iCs/>
        </w:rPr>
        <w:t xml:space="preserve"> </w:t>
      </w:r>
      <w:r>
        <w:t xml:space="preserve">between pairs of models. To compare the prediction </w:t>
      </w:r>
      <w:r>
        <w:lastRenderedPageBreak/>
        <w:t xml:space="preserve">error between pairs of models, we calculated the difference in the </w:t>
      </w:r>
      <m:oMath>
        <m:r>
          <m:rPr>
            <m:sty m:val="p"/>
          </m:rPr>
          <w:rPr>
            <w:rFonts w:ascii="Cambria Math" w:hAnsi="Cambria Math"/>
          </w:rPr>
          <m:t>elpd</m:t>
        </m:r>
      </m:oMath>
      <w:r>
        <w:t xml:space="preserve"> of each observed count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under models 1 and 2, as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t xml:space="preserve">, so that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t xml:space="preserve"> indicate more support for model 1.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 xml:space="preserve">values using an additional </w:t>
      </w:r>
      <w:r w:rsidR="00C6713A">
        <w:t>Bayesian hierarchical</w:t>
      </w:r>
      <w:r>
        <w:t xml:space="preserve"> model to account for the imbalances in the BBS-data among years and regions, and the inherent uncertainty associated with any cross-validation statistic (Vehtari et al. 2017, and Link et al. 2017). This model treated the </w:t>
      </w:r>
      <m:oMath>
        <m:r>
          <m:rPr>
            <m:sty m:val="p"/>
          </m:rPr>
          <w:rPr>
            <w:rFonts w:ascii="Cambria Math" w:hAnsi="Cambria Math"/>
          </w:rPr>
          <m:t>elpd</m:t>
        </m:r>
      </m:oMath>
      <w:r>
        <w:t xml:space="preserve"> differences for a count from a given year </w:t>
      </w:r>
      <m:oMath>
        <m:r>
          <w:rPr>
            <w:rFonts w:ascii="Cambria Math" w:hAnsi="Cambria Math"/>
          </w:rPr>
          <m:t>t</m:t>
        </m:r>
      </m:oMath>
      <w:r>
        <w:t xml:space="preserve"> and stratum </w:t>
      </w:r>
      <m:oMath>
        <m:r>
          <w:rPr>
            <w:rFonts w:ascii="Cambria Math" w:hAnsi="Cambria Math"/>
          </w:rPr>
          <m:t>s</m:t>
        </m:r>
      </m:oMath>
      <w:r>
        <w:rPr>
          <w:rFonts w:eastAsiaTheme="minorEastAsia"/>
        </w:rPr>
        <w:t xml:space="preserve"> </w:t>
      </w:r>
      <w:r>
        <w:t>(</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Pr>
          <w:rFonts w:eastAsiaTheme="minorEastAsia"/>
        </w:rPr>
        <w:t xml:space="preserve">) </w:t>
      </w:r>
      <w:r>
        <w:t>as having a t-distribution with an estimated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Pr>
          <w:rFonts w:eastAsiaTheme="minorEastAsia"/>
        </w:rPr>
        <w:t>)</w:t>
      </w:r>
      <w:r>
        <w:t xml:space="preserve"> and degrees of freedom (</w:t>
      </w:r>
      <m:oMath>
        <m:r>
          <w:rPr>
            <w:rFonts w:ascii="Cambria Math" w:hAnsi="Cambria Math"/>
          </w:rPr>
          <m:t>ν</m:t>
        </m:r>
      </m:oMath>
      <w:r>
        <w:t>). That is,</w:t>
      </w:r>
    </w:p>
    <w:p w14:paraId="2B451F1B" w14:textId="77777777" w:rsidR="00180E24" w:rsidRPr="00965932" w:rsidRDefault="00994032" w:rsidP="002F18BD">
      <w:pPr>
        <w:spacing w:line="480" w:lineRule="auto"/>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15C70EE0" w14:textId="77777777" w:rsidR="00180E24" w:rsidRDefault="00994032" w:rsidP="002F18BD">
      <w:pPr>
        <w:spacing w:line="48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10926678" w14:textId="45823DE4" w:rsidR="00180E24" w:rsidRDefault="00180E24" w:rsidP="002F18BD">
      <w:pPr>
        <w:spacing w:line="480" w:lineRule="auto"/>
      </w:pPr>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2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w:t>
      </w:r>
      <m:oMath>
        <m:r>
          <w:rPr>
            <w:rFonts w:ascii="Cambria Math" w:hAnsi="Cambria Math"/>
          </w:rPr>
          <m:t>s</m:t>
        </m:r>
      </m:oMath>
      <w:r>
        <w:t xml:space="preserve">,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 </w:t>
      </w:r>
      <m:oMath>
        <m:r>
          <w:rPr>
            <w:rFonts w:ascii="Cambria Math" w:eastAsiaTheme="minorEastAsia" w:hAnsi="Cambria Math"/>
          </w:rPr>
          <m:t>t</m:t>
        </m:r>
      </m:oMath>
      <w:r>
        <w:rPr>
          <w:rFonts w:eastAsiaTheme="minorEastAsia"/>
        </w:rPr>
        <w:t>.</w:t>
      </w:r>
      <w:r>
        <w:t xml:space="preserve"> We used this robust estimation approach, instead of the z-score approach used by Link and Sauer (2020) because of the extremely heavy tails in the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 xml:space="preserve"> values.</w:t>
      </w:r>
      <w:r w:rsidRPr="002C3B33">
        <w:t xml:space="preserve"> </w:t>
      </w:r>
      <w:r>
        <w:t>Given these heavy tails, a statistical analysis assuming a normal distribution would give an inappropriately large weight to a few extremely poorly predicted counts (Gelman et al. 2014). In essence, our model is simply a “robust” version of the z-score approach (Lange et al. 1989) with the added hierarchical parameters to account for the spatial and temporal imbalance in the BBS data.</w:t>
      </w:r>
    </w:p>
    <w:p w14:paraId="5B71BAD2" w14:textId="77777777" w:rsidR="00180E24" w:rsidRDefault="00180E24" w:rsidP="002F18BD">
      <w:pPr>
        <w:spacing w:line="480" w:lineRule="auto"/>
      </w:pPr>
      <w:r>
        <w:t xml:space="preserve">   </w:t>
      </w:r>
    </w:p>
    <w:p w14:paraId="3518F117" w14:textId="77777777" w:rsidR="00180E24" w:rsidRDefault="00180E24" w:rsidP="002F18BD">
      <w:pPr>
        <w:pStyle w:val="Heading2"/>
        <w:spacing w:line="480" w:lineRule="auto"/>
      </w:pPr>
      <w:r>
        <w:t>Trend estimates and their variability in space and time</w:t>
      </w:r>
    </w:p>
    <w:p w14:paraId="18E5E14A" w14:textId="635990DC" w:rsidR="00180E24" w:rsidRDefault="00180E24" w:rsidP="002F18BD">
      <w:pPr>
        <w:spacing w:line="480" w:lineRule="auto"/>
      </w:pPr>
      <w:r>
        <w:t xml:space="preserve">We compared trend </w:t>
      </w:r>
      <w:r w:rsidR="00623CAC">
        <w:t xml:space="preserve">estimates </w:t>
      </w:r>
      <w:r>
        <w:t xml:space="preserve">from all models at the survey-wide and stratum-levels for their magnitude, precision, variation among strata, and variation among years. For all models, we used the </w:t>
      </w:r>
      <w:r>
        <w:lastRenderedPageBreak/>
        <w:t>same definition of trend following Sauer and Link (2011) and Smith et al. (2015); that is, an interval-specific geometric mean of proportional changes in population size, expressed as a percentage. Thus, the trend estimate for 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through year b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is given by</w:t>
      </w:r>
    </w:p>
    <w:p w14:paraId="460096DE" w14:textId="77777777" w:rsidR="00180E24" w:rsidRPr="004E1F2B" w:rsidRDefault="00994032" w:rsidP="002F18BD">
      <w:pPr>
        <w:spacing w:line="480" w:lineRule="auto"/>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1FA8AB53" w14:textId="77777777" w:rsidR="00180E24" w:rsidRDefault="00180E24" w:rsidP="002F18BD">
      <w:pPr>
        <w:spacing w:line="480" w:lineRule="auto"/>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Pr>
          <w:rFonts w:eastAsiaTheme="minorEastAsia"/>
        </w:rPr>
        <w:t xml:space="preserve"> represents the annual index of abundance in a given year (see below). Because this estimate of trend only considers the annual abundance estimates in the years at either end of the trend period, we refer to this estimate as an end-point trend. 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Pr>
          <w:rFonts w:eastAsiaTheme="minorEastAsia"/>
        </w:rPr>
        <w:t xml:space="preserve"> that include all aspects of the trajectory,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Pr>
          <w:rFonts w:eastAsiaTheme="minorEastAsia"/>
        </w:rPr>
        <w:t xml:space="preserve"> that removes the annual fluctuations, including only the GAM smooth components.</w:t>
      </w:r>
    </w:p>
    <w:p w14:paraId="79F4FF6B" w14:textId="308D3563" w:rsidR="006902D0" w:rsidRDefault="00180E24" w:rsidP="002F18BD">
      <w:pPr>
        <w:spacing w:line="480" w:lineRule="auto"/>
      </w:pPr>
      <w:r>
        <w:t>Annual indices</w:t>
      </w:r>
      <w:r w:rsidR="00BC3A90">
        <w:t xml:space="preserve"> </w:t>
      </w:r>
      <w:r w:rsidR="00456B2C">
        <w:t>for year</w:t>
      </w:r>
      <w:r w:rsidR="00BC3A90">
        <w:t xml:space="preserve"> </w:t>
      </w:r>
      <m:oMath>
        <m:r>
          <w:rPr>
            <w:rFonts w:ascii="Cambria Math" w:hAnsi="Cambria Math"/>
          </w:rPr>
          <m:t>t</m:t>
        </m:r>
      </m:oMath>
      <w:r w:rsidR="00BC3A90">
        <w:t xml:space="preserve"> and stratum </w:t>
      </w:r>
      <m:oMath>
        <m:r>
          <w:rPr>
            <w:rFonts w:ascii="Cambria Math" w:hAnsi="Cambria Math"/>
          </w:rPr>
          <m:t>s</m:t>
        </m:r>
      </m:oMath>
      <w:r w:rsidR="00BC3A90">
        <w:rPr>
          <w:rFonts w:eastAsiaTheme="minorEastAsia"/>
        </w:rPr>
        <w:t xml:space="preserve"> </w:t>
      </w:r>
      <w:r>
        <w:t>for all the models here were calculated following Smith et al. (2019)</w:t>
      </w:r>
      <w:r w:rsidR="00386BA8">
        <w:t xml:space="preserve"> </w:t>
      </w:r>
      <w:r w:rsidR="006902D0">
        <w:t>as</w:t>
      </w:r>
    </w:p>
    <w:p w14:paraId="2CE5B3AB" w14:textId="5A2FE882" w:rsidR="006902D0" w:rsidRPr="0043522E" w:rsidRDefault="00994032" w:rsidP="002F18BD">
      <w:pPr>
        <w:spacing w:line="480" w:lineRule="auto"/>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5D6D7F09" w14:textId="06DE27DE" w:rsidR="00180E24" w:rsidRDefault="00AB2BA4" w:rsidP="0043522E">
      <w:pPr>
        <w:spacing w:line="480" w:lineRule="auto"/>
      </w:pPr>
      <w:r>
        <w:t xml:space="preserve">where each </w:t>
      </w:r>
      <m:oMath>
        <m:sSub>
          <m:sSubPr>
            <m:ctrlPr>
              <w:rPr>
                <w:rFonts w:ascii="Cambria Math" w:hAnsi="Cambria Math"/>
              </w:rPr>
            </m:ctrlPr>
          </m:sSubPr>
          <m:e>
            <m:r>
              <w:rPr>
                <w:rFonts w:ascii="Cambria Math" w:hAnsi="Cambria Math"/>
              </w:rPr>
              <m:t>N</m:t>
            </m:r>
          </m:e>
          <m:sub>
            <m:r>
              <w:rPr>
                <w:rFonts w:ascii="Cambria Math" w:hAnsi="Cambria Math"/>
              </w:rPr>
              <m:t>s,t</m:t>
            </m:r>
          </m:sub>
        </m:sSub>
      </m:oMath>
      <w:r>
        <w:t xml:space="preserve"> are exponentiated sums of the relevant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t>),</w:t>
      </w:r>
      <w:r w:rsidR="00F721E4">
        <w:t xml:space="preserve"> observer-route effects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F721E4">
        <w:t xml:space="preserve">), </w:t>
      </w:r>
      <w:r w:rsidR="00DA273A">
        <w:t>and count-level extra-Poisson variance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A273A">
        <w:t>),</w:t>
      </w:r>
      <w:r w:rsidR="00F721E4">
        <w:t xml:space="preserve"> </w:t>
      </w:r>
      <w:r w:rsidR="008D213A">
        <w:t xml:space="preserve">averaged </w:t>
      </w:r>
      <w:r w:rsidR="001D616B">
        <w:t xml:space="preserve">over </w:t>
      </w:r>
      <w:r w:rsidR="008D213A">
        <w:t xml:space="preserve">count-scale predictions across all of the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sidR="008D213A">
        <w:rPr>
          <w:rFonts w:eastAsiaTheme="minorEastAsia"/>
        </w:rPr>
        <w:t xml:space="preserve"> </w:t>
      </w:r>
      <w:r w:rsidR="008D213A">
        <w:t xml:space="preserve">observer-routes </w:t>
      </w:r>
      <m:oMath>
        <m:r>
          <w:rPr>
            <w:rFonts w:ascii="Cambria Math" w:hAnsi="Cambria Math"/>
          </w:rPr>
          <m:t>j</m:t>
        </m:r>
      </m:oMath>
      <w:r w:rsidR="008D213A">
        <w:t xml:space="preserve"> in the set of observer-route combinations in stratum </w:t>
      </w:r>
      <m:oMath>
        <m:r>
          <w:rPr>
            <w:rFonts w:ascii="Cambria Math" w:hAnsi="Cambria Math"/>
          </w:rPr>
          <m:t>s</m:t>
        </m:r>
      </m:oMath>
      <w:r w:rsidR="008D213A">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8D213A">
        <w:t>)</w:t>
      </w:r>
      <w:r w:rsidR="001D616B">
        <w:t xml:space="preserve">, and then </w:t>
      </w:r>
      <w:r>
        <w:t>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r w:rsidR="00486D9E">
        <w:t>.</w:t>
      </w:r>
      <w:r w:rsidR="005A4B88">
        <w:t xml:space="preserve"> This </w:t>
      </w:r>
      <w:r w:rsidR="00180E24">
        <w:t>is conceptually similar to the approach described in Sauer and Link (2011) and Smith et al. (2015)</w:t>
      </w:r>
      <w:r w:rsidR="005A4B88">
        <w:t>; for a discussion on the differences</w:t>
      </w:r>
      <w:r w:rsidR="00BE2813">
        <w:t>,</w:t>
      </w:r>
      <w:r w:rsidR="005A4B88">
        <w:t xml:space="preserve"> </w:t>
      </w:r>
      <w:r w:rsidR="003A02D7">
        <w:t xml:space="preserve">refer to </w:t>
      </w:r>
      <w:r w:rsidR="005A4B88">
        <w:t>Supplemental Info.</w:t>
      </w:r>
    </w:p>
    <w:p w14:paraId="4CAF556F" w14:textId="77777777" w:rsidR="00180E24" w:rsidRDefault="00180E24" w:rsidP="002F18BD">
      <w:pPr>
        <w:spacing w:line="480" w:lineRule="auto"/>
      </w:pPr>
      <w:r>
        <w:lastRenderedPageBreak/>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one that included the annual variation in the trajectory,</w:t>
      </w:r>
    </w:p>
    <w:p w14:paraId="7D6D6301" w14:textId="77777777" w:rsidR="00180E24" w:rsidRDefault="00994032" w:rsidP="002F18BD">
      <w:pPr>
        <w:spacing w:line="480" w:lineRule="auto"/>
      </w:pPr>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687C1BD7" w14:textId="77777777" w:rsidR="00180E24" w:rsidRDefault="00994032" w:rsidP="002F18BD">
      <w:pPr>
        <w:spacing w:line="480" w:lineRule="auto"/>
      </w:pPr>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C44F852" w14:textId="77777777" w:rsidR="00180E24" w:rsidRDefault="00180E24" w:rsidP="002F18BD">
      <w:pPr>
        <w:spacing w:line="480" w:lineRule="auto"/>
      </w:pPr>
      <w:r>
        <w:t>and a second that excluded the annual variations, including only the smoothing components of the GAM to estimate the time-series,</w:t>
      </w:r>
    </w:p>
    <w:p w14:paraId="7CF74D3C" w14:textId="77777777" w:rsidR="00180E24" w:rsidRDefault="00994032" w:rsidP="002F18BD">
      <w:pPr>
        <w:spacing w:line="480" w:lineRule="auto"/>
      </w:pPr>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365AE2EB" w14:textId="77777777" w:rsidR="00180E24" w:rsidRDefault="00994032" w:rsidP="002F18BD">
      <w:pPr>
        <w:spacing w:line="480" w:lineRule="auto"/>
      </w:pPr>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57C02F68" w14:textId="4509BD0D" w:rsidR="00180E24" w:rsidRDefault="00180E24" w:rsidP="002F18BD">
      <w:pPr>
        <w:spacing w:line="480" w:lineRule="auto"/>
      </w:pPr>
      <w:r>
        <w:t>We calculated population trajectories and trends from the GAMYE model using both sets of annual indices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Pr>
          <w:rFonts w:eastAsiaTheme="minorEastAsia"/>
        </w:rPr>
        <w:t xml:space="preserve"> and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Pr>
          <w:rFonts w:eastAsiaTheme="minorEastAsia"/>
        </w:rPr>
        <w:t>)</w:t>
      </w:r>
      <w:r>
        <w:t xml:space="preserve">. When comparing predictions against the other models, we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to plot and compare the population trajectories (i.e., including the year-effects),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 (i.e., removing the year-effect fluctuations)</w:t>
      </w:r>
      <w:r>
        <w:t xml:space="preserve">. </w:t>
      </w:r>
    </w:p>
    <w:p w14:paraId="47DDA35C" w14:textId="796055E7" w:rsidR="00693DD9" w:rsidRDefault="00693DD9" w:rsidP="002F18BD">
      <w:pPr>
        <w:pStyle w:val="Heading1"/>
        <w:spacing w:line="480" w:lineRule="auto"/>
      </w:pPr>
      <w:r>
        <w:t>Results</w:t>
      </w:r>
    </w:p>
    <w:p w14:paraId="72113DE6" w14:textId="0B514154" w:rsidR="001E2BFA" w:rsidRDefault="001E2BFA" w:rsidP="002F18BD">
      <w:pPr>
        <w:pStyle w:val="Heading2"/>
        <w:spacing w:line="480" w:lineRule="auto"/>
      </w:pPr>
      <w:r>
        <w:t>Model predictions:</w:t>
      </w:r>
    </w:p>
    <w:p w14:paraId="2D7707D9" w14:textId="4D834A29" w:rsidR="001E2BFA" w:rsidRDefault="00067F48" w:rsidP="002F18BD">
      <w:pPr>
        <w:spacing w:line="480" w:lineRule="auto"/>
      </w:pPr>
      <w:r>
        <w:t xml:space="preserve">Population trajectories from the GAM and GAMYE are very similar. Both models suggest that </w:t>
      </w:r>
      <w:r w:rsidR="00D36B2B">
        <w:t xml:space="preserve">Barn Swallow </w:t>
      </w:r>
      <w:r>
        <w:t>populations increased from the start of the survey to approximately the early 1980s</w:t>
      </w:r>
      <w:r w:rsidR="007A0AB2">
        <w:t xml:space="preserve">, compared </w:t>
      </w:r>
      <w:r w:rsidR="001E2BFA">
        <w:t>to the standard model predictions that show a relatively steady rate of decline</w:t>
      </w:r>
      <w:r w:rsidR="00855AFF">
        <w:t xml:space="preserve"> (Fig</w:t>
      </w:r>
      <w:r w:rsidR="00A16942">
        <w:t>.</w:t>
      </w:r>
      <w:r w:rsidR="00855AFF">
        <w:t xml:space="preserve"> 1)</w:t>
      </w:r>
      <w:r w:rsidR="001E2BFA">
        <w:t>.</w:t>
      </w:r>
      <w:r w:rsidR="00855AFF">
        <w:t xml:space="preserve"> </w:t>
      </w:r>
      <w:r w:rsidR="00EC66CE">
        <w:t xml:space="preserve">The trajectories for all species from the GAMs and less linear overall than the SLOPE model trajectories and tend to better track the nonlinear patterns in the raw data (Supplemental Materials Figure S1). </w:t>
      </w:r>
      <w:r w:rsidR="00833502">
        <w:t>GAM and GAMYE t</w:t>
      </w:r>
      <w:r w:rsidR="00F176CF">
        <w:t>rajectories vary a great deal among the strata,</w:t>
      </w:r>
      <w:r w:rsidR="00833502">
        <w:t xml:space="preserve"> particularly in the magnitude and direction of </w:t>
      </w:r>
      <w:r w:rsidR="00833502">
        <w:lastRenderedPageBreak/>
        <w:t>the long-term change (Fig</w:t>
      </w:r>
      <w:r w:rsidR="0029072B">
        <w:t>.</w:t>
      </w:r>
      <w:r w:rsidR="00833502">
        <w:t xml:space="preserve"> 2). However, there are also many similarities</w:t>
      </w:r>
      <w:r w:rsidR="00032B4C">
        <w:t xml:space="preserve"> among the strata,</w:t>
      </w:r>
      <w:r w:rsidR="00833502">
        <w:t xml:space="preserve"> in the non-linear patterns (e.g., change points)</w:t>
      </w:r>
      <w:r w:rsidR="00F176CF">
        <w:t xml:space="preserve"> </w:t>
      </w:r>
      <w:r w:rsidR="00833502">
        <w:t>that are</w:t>
      </w:r>
      <w:r w:rsidR="00F176CF">
        <w:t xml:space="preserve"> </w:t>
      </w:r>
      <w:r w:rsidR="00833502">
        <w:t xml:space="preserve">evident in the continental mean trajectory </w:t>
      </w:r>
      <w:r w:rsidR="00EE2295">
        <w:t>(Fig</w:t>
      </w:r>
      <w:r w:rsidR="0029072B">
        <w:t>.</w:t>
      </w:r>
      <w:r w:rsidR="00EE2295">
        <w:t xml:space="preserve"> 2</w:t>
      </w:r>
      <w:r w:rsidR="00EC66CE">
        <w:t xml:space="preserve"> and </w:t>
      </w:r>
      <w:r w:rsidR="00EC66CE">
        <w:t>Supplemental Materials Figure S</w:t>
      </w:r>
      <w:r w:rsidR="00EC66CE">
        <w:t>2</w:t>
      </w:r>
      <w:r w:rsidR="00EE2295">
        <w:t>)</w:t>
      </w:r>
      <w:r w:rsidR="00833502">
        <w:t xml:space="preserve">. </w:t>
      </w:r>
      <w:r w:rsidR="0039154F">
        <w:t xml:space="preserve">Fig. 3 shows the estimate trajectories for Barn Swallow in the 6 strata that make up BCR 23 from the GAMYE and SLOPE model. The GAMYE estimates suggest that the species’ populations increased in the early portion of the time series in all of the strata, but the estimates from the SLOPE model only show that increase in the stratum with the most data (i.e., the most stacked grey dots along the x-axis indicating the number of BBS routes contributing data in each year, US-WI-23). In the other strata with fewer data the trajectories are strongly linear. </w:t>
      </w:r>
      <w:r w:rsidR="004A3023">
        <w:t xml:space="preserve">The cross-validation results suggest that the GAMYE is </w:t>
      </w:r>
      <w:r w:rsidR="00F73B49">
        <w:t xml:space="preserve">preferred over the </w:t>
      </w:r>
      <w:r w:rsidR="0039154F">
        <w:t>SLOPE</w:t>
      </w:r>
      <w:r w:rsidR="00A75EF4">
        <w:t xml:space="preserve"> model</w:t>
      </w:r>
      <w:r w:rsidR="00F73B49">
        <w:t xml:space="preserve"> </w:t>
      </w:r>
      <w:r w:rsidR="00833502">
        <w:t>for</w:t>
      </w:r>
      <w:r w:rsidR="00ED4793">
        <w:t xml:space="preserve"> Barn Swallow and for the other</w:t>
      </w:r>
      <w:r w:rsidR="0039154F">
        <w:t xml:space="preserve"> species </w:t>
      </w:r>
      <w:r w:rsidR="00ED4793">
        <w:t>considered here</w:t>
      </w:r>
      <w:r w:rsidR="00833502">
        <w:t xml:space="preserve"> </w:t>
      </w:r>
      <w:r w:rsidR="004A3023">
        <w:t>(Fig</w:t>
      </w:r>
      <w:r w:rsidR="00EA79C1">
        <w:t>.</w:t>
      </w:r>
      <w:r w:rsidR="004A3023">
        <w:t xml:space="preserve"> 4)</w:t>
      </w:r>
    </w:p>
    <w:p w14:paraId="04890FD4" w14:textId="4BAF4B49" w:rsidR="001E2BFA" w:rsidRDefault="001E2BFA" w:rsidP="002F18BD">
      <w:pPr>
        <w:spacing w:line="480" w:lineRule="auto"/>
      </w:pPr>
      <w:r>
        <w:t>The decomposed trajectories from the GAMYE allow us to calculate trends from the smooth and plot trajectories that show the annual fluctuations</w:t>
      </w:r>
      <w:r w:rsidR="00BC3A73">
        <w:t>. For example, the smooth trajectory for the</w:t>
      </w:r>
      <w:r w:rsidR="00B750D4">
        <w:t xml:space="preserve"> Carolina Wren captures the </w:t>
      </w:r>
      <w:r w:rsidR="006D788E">
        <w:t>general patterns</w:t>
      </w:r>
      <w:r w:rsidR="00BC3A73">
        <w:t xml:space="preserve"> of increases and decreases well, while the full trajectory</w:t>
      </w:r>
      <w:r w:rsidR="006D788E">
        <w:t xml:space="preserve"> also</w:t>
      </w:r>
      <w:r w:rsidR="00BC3A73">
        <w:t xml:space="preserve"> shows the sharp population crash associated with the </w:t>
      </w:r>
      <w:r w:rsidR="00B750D4">
        <w:t>extreme winter in 1976</w:t>
      </w:r>
      <w:r w:rsidR="00833502">
        <w:t xml:space="preserve"> (</w:t>
      </w:r>
      <w:r w:rsidR="004D1A15">
        <w:t>Fig</w:t>
      </w:r>
      <w:r w:rsidR="00EA79C1">
        <w:t>.</w:t>
      </w:r>
      <w:r w:rsidR="004D1A15">
        <w:t xml:space="preserve"> </w:t>
      </w:r>
      <w:r w:rsidR="004A3023">
        <w:t>5</w:t>
      </w:r>
      <w:r w:rsidR="00833502">
        <w:t>)</w:t>
      </w:r>
      <w:r w:rsidR="004D1A15">
        <w:t>. Calculating trends from the smooth component generates short-term estimates that vary less from yea</w:t>
      </w:r>
      <w:r w:rsidR="004A3023">
        <w:t>r to year</w:t>
      </w:r>
      <w:r w:rsidR="006E630A">
        <w:t xml:space="preserve"> for species with relatively strong annual fluctuations (Fig. 6)</w:t>
      </w:r>
      <w:r w:rsidR="004A3023">
        <w:t xml:space="preserve">. </w:t>
      </w:r>
      <w:r w:rsidR="00B73AA7">
        <w:t>For example</w:t>
      </w:r>
      <w:r w:rsidR="004A3023">
        <w:t>, Fig</w:t>
      </w:r>
      <w:r w:rsidR="006E630A">
        <w:t>. 7</w:t>
      </w:r>
      <w:r w:rsidR="004D1A15">
        <w:t xml:space="preserve"> shows the series of short-term (10-year) trend estimates for Wood Thrush in Canada, from the GAMYE including the year-effects, the GAMYE from just the smooth component, and the SLOPE model used since 2011. In this </w:t>
      </w:r>
      <w:r w:rsidR="00FA3D91">
        <w:t>example</w:t>
      </w:r>
      <w:r w:rsidR="004D1A15">
        <w:t>, the 10-year trend estimate from the GAMYE with the year-effects and the SLOPE model both cross the IUCN trend threshold criterion for Threatened</w:t>
      </w:r>
      <w:r w:rsidR="00D36B2B">
        <w:t xml:space="preserve"> (IUCN 2019)</w:t>
      </w:r>
      <w:r w:rsidR="004D1A15">
        <w:t xml:space="preserve"> </w:t>
      </w:r>
      <w:r w:rsidR="00D36B2B">
        <w:t xml:space="preserve">at least once </w:t>
      </w:r>
      <w:r w:rsidR="004D1A15">
        <w:t>in the last 12 years</w:t>
      </w:r>
      <w:r w:rsidR="003C5F12">
        <w:t xml:space="preserve">. </w:t>
      </w:r>
      <w:r w:rsidR="00D36B2B">
        <w:t>In fact, t</w:t>
      </w:r>
      <w:r w:rsidR="003C5F12">
        <w:t xml:space="preserve">he SLOPE model estimates flip </w:t>
      </w:r>
      <w:r w:rsidR="009A4AF7">
        <w:t xml:space="preserve">from one side of the threshold to the other </w:t>
      </w:r>
      <w:r w:rsidR="00A3424B">
        <w:t xml:space="preserve">three </w:t>
      </w:r>
      <w:r w:rsidR="003C5F12">
        <w:t>times</w:t>
      </w:r>
      <w:r w:rsidR="00D36B2B">
        <w:t>, and were below the threshold in 2011, when the species’ status was assessed in Canada (COSEWIC 2012)</w:t>
      </w:r>
      <w:r w:rsidR="004D1A15">
        <w:t>. By contrast, a trend calculated from the decomposed GAMYE model using only the smooth component</w:t>
      </w:r>
      <w:r w:rsidR="00A3424B">
        <w:t xml:space="preserve"> (GAMYE – </w:t>
      </w:r>
      <w:r w:rsidR="00A3424B">
        <w:lastRenderedPageBreak/>
        <w:t>Smooth Only in Fig</w:t>
      </w:r>
      <w:r w:rsidR="004D40E7">
        <w:t>.</w:t>
      </w:r>
      <w:r w:rsidR="00A3424B">
        <w:t xml:space="preserve"> </w:t>
      </w:r>
      <w:r w:rsidR="00B73AA7">
        <w:t>7</w:t>
      </w:r>
      <w:r w:rsidR="00A3424B">
        <w:t>)</w:t>
      </w:r>
      <w:r w:rsidR="00D40A7D">
        <w:t xml:space="preserve"> suggests that the species is </w:t>
      </w:r>
      <w:r w:rsidR="00A3424B">
        <w:t xml:space="preserve">decreasing relatively steadily and </w:t>
      </w:r>
      <w:r w:rsidR="00D40A7D">
        <w:t>gives a consistent signal about the rate of decline in comparison to the IUC</w:t>
      </w:r>
      <w:r w:rsidR="00577109">
        <w:t>N</w:t>
      </w:r>
      <w:r w:rsidR="00D40A7D">
        <w:t xml:space="preserve"> criterion.</w:t>
      </w:r>
    </w:p>
    <w:p w14:paraId="6357904D" w14:textId="3CBEC7CC" w:rsidR="00992690" w:rsidRDefault="001E2BFA" w:rsidP="002F18BD">
      <w:pPr>
        <w:pStyle w:val="Heading2"/>
        <w:spacing w:line="480" w:lineRule="auto"/>
      </w:pPr>
      <w:r>
        <w:t xml:space="preserve">Comparison to other models - </w:t>
      </w:r>
      <w:r w:rsidR="00992690">
        <w:t>Cross-validation</w:t>
      </w:r>
    </w:p>
    <w:p w14:paraId="3DB53877" w14:textId="1EE80B75" w:rsidR="00A75EF4" w:rsidRDefault="003C5F12" w:rsidP="002F18BD">
      <w:pPr>
        <w:spacing w:line="480" w:lineRule="auto"/>
      </w:pPr>
      <w:r>
        <w:t xml:space="preserve">For the Barn Swallow, </w:t>
      </w:r>
      <w:r w:rsidR="00F7061E">
        <w:t>the SLOPE model trajectories are noticeably different from the other three models (Fig</w:t>
      </w:r>
      <w:r w:rsidR="004D40E7">
        <w:t>.</w:t>
      </w:r>
      <w:r w:rsidR="00F7061E">
        <w:t xml:space="preserve"> </w:t>
      </w:r>
      <w:r w:rsidR="00B73AA7">
        <w:t>8</w:t>
      </w:r>
      <w:r w:rsidR="00F7061E">
        <w:t xml:space="preserve">). The predictive fit comparisons suggest that the estimates from the three models that show an initial increase in Barn Swallow populations up to about the early 1980s are preferable to the SLOPE predictions </w:t>
      </w:r>
      <w:r w:rsidR="00A3424B">
        <w:t>that show</w:t>
      </w:r>
      <w:r w:rsidR="00F7061E">
        <w:t xml:space="preserve"> a more constant rate of decline (Fig</w:t>
      </w:r>
      <w:r w:rsidR="00A3424B">
        <w:t>s 4 and</w:t>
      </w:r>
      <w:r w:rsidR="00F7061E">
        <w:t xml:space="preserve"> </w:t>
      </w:r>
      <w:r w:rsidR="00B73AA7">
        <w:t>9</w:t>
      </w:r>
      <w:r w:rsidR="00F7061E">
        <w:t>). In contrast, the GAMYE and the DIFFERENCE model</w:t>
      </w:r>
      <w:r>
        <w:t xml:space="preserve"> had very similar</w:t>
      </w:r>
      <w:r w:rsidR="00486194">
        <w:t xml:space="preserve"> estimates (Fig</w:t>
      </w:r>
      <w:r w:rsidR="004D40E7">
        <w:t>.</w:t>
      </w:r>
      <w:r w:rsidR="00486194">
        <w:t xml:space="preserve"> </w:t>
      </w:r>
      <w:r w:rsidR="00B73AA7">
        <w:t>8</w:t>
      </w:r>
      <w:r w:rsidR="00486194">
        <w:t xml:space="preserve">) and </w:t>
      </w:r>
      <w:r w:rsidR="00A75EF4">
        <w:t xml:space="preserve">relatively </w:t>
      </w:r>
      <w:r w:rsidR="00486194">
        <w:t>similar</w:t>
      </w:r>
      <w:r>
        <w:t xml:space="preserve"> predictive fit values</w:t>
      </w:r>
      <w:r w:rsidR="00492C45">
        <w:t xml:space="preserve"> for most species</w:t>
      </w:r>
      <w:r w:rsidR="00626E59">
        <w:t xml:space="preserve"> (</w:t>
      </w:r>
      <w:r w:rsidR="00D01F8D">
        <w:t xml:space="preserve">Figs 4 and </w:t>
      </w:r>
      <w:r w:rsidR="00B73AA7">
        <w:t>9</w:t>
      </w:r>
      <w:r w:rsidR="00D01F8D">
        <w:t xml:space="preserve">, and </w:t>
      </w:r>
      <w:r w:rsidR="00626E59">
        <w:t>Supplemental Material Figure S3)</w:t>
      </w:r>
      <w:r>
        <w:t xml:space="preserve">. </w:t>
      </w:r>
    </w:p>
    <w:p w14:paraId="5F8A9D6E" w14:textId="04C38090" w:rsidR="008963EF" w:rsidRDefault="00A75EF4" w:rsidP="002F18BD">
      <w:pPr>
        <w:pStyle w:val="Heading1"/>
        <w:spacing w:line="480" w:lineRule="auto"/>
      </w:pPr>
      <w:r>
        <w:lastRenderedPageBreak/>
        <w:t xml:space="preserve">The </w:t>
      </w:r>
      <w:r w:rsidR="00ED4793">
        <w:t xml:space="preserve">preferred model from the </w:t>
      </w:r>
      <w:r>
        <w:t>pairwise predictive fit comparisons depended on the species and varied in time and space (Fig</w:t>
      </w:r>
      <w:r w:rsidR="00ED4793">
        <w:t>s</w:t>
      </w:r>
      <w:r>
        <w:t xml:space="preserve"> 4</w:t>
      </w:r>
      <w:r w:rsidR="00ED4793">
        <w:t>, 9, 10</w:t>
      </w:r>
      <w:r>
        <w:t xml:space="preserve"> and Supplemental Material Figure S3 and S5). The contrast between GAMYE and DIFFERENCE for Barn Swallow provide a useful example: D</w:t>
      </w:r>
      <w:r w:rsidR="003A5246">
        <w:t xml:space="preserve">epending on the year or the region of the continent, </w:t>
      </w:r>
      <w:r>
        <w:t xml:space="preserve">either the GAMYE or the DIFFERENCE model was </w:t>
      </w:r>
      <w:r w:rsidR="003A5246">
        <w:t>the preferred model, but overall, and in almost all regions and years, the 95% CI of the mean difference in fit between GAMYE and DIFFERENCE overlapped 0</w:t>
      </w:r>
      <w:r w:rsidR="00777969">
        <w:t xml:space="preserve"> (Fig</w:t>
      </w:r>
      <w:r w:rsidR="0094671F">
        <w:t>s</w:t>
      </w:r>
      <w:r w:rsidR="00777969">
        <w:t xml:space="preserve"> </w:t>
      </w:r>
      <w:r>
        <w:t xml:space="preserve">4, </w:t>
      </w:r>
      <w:r w:rsidR="00B73AA7">
        <w:t>9</w:t>
      </w:r>
      <w:r w:rsidR="004A3023">
        <w:t xml:space="preserve"> and </w:t>
      </w:r>
      <w:r w:rsidR="00B73AA7">
        <w:t>10</w:t>
      </w:r>
      <w:r w:rsidR="00777969">
        <w:t>)</w:t>
      </w:r>
      <w:r w:rsidR="003A5246">
        <w:t xml:space="preserve">. </w:t>
      </w:r>
      <w:r w:rsidR="001D06B7">
        <w:t>Barn Swallow provide an</w:t>
      </w:r>
      <w:r w:rsidR="00ED4793">
        <w:t xml:space="preserve"> example</w:t>
      </w:r>
      <w:r w:rsidR="001D06B7">
        <w:t xml:space="preserve"> of this complexity</w:t>
      </w:r>
      <w:r w:rsidR="00ED4793">
        <w:t>, t</w:t>
      </w:r>
      <w:r w:rsidR="00ED4793">
        <w:t xml:space="preserve">he </w:t>
      </w:r>
      <w:r w:rsidR="003A5246">
        <w:t xml:space="preserve">GAMYE model </w:t>
      </w:r>
      <w:r>
        <w:t>has generally</w:t>
      </w:r>
      <w:r w:rsidR="003A5246">
        <w:t xml:space="preserve"> higher predictive fit during the first 5 years of the time-series, but t</w:t>
      </w:r>
      <w:r w:rsidR="0065459C">
        <w:t>hen the DIFFERENCE model is preferred between approximately 1975 and 1983</w:t>
      </w:r>
      <w:r w:rsidR="003A5246">
        <w:t>.</w:t>
      </w:r>
      <w:r w:rsidR="00D01F8D">
        <w:t xml:space="preserve"> </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in the remainder of the species’ range (Fig</w:t>
      </w:r>
      <w:r w:rsidR="0094671F">
        <w:t>.</w:t>
      </w:r>
      <w:r w:rsidR="00486194">
        <w:t xml:space="preserve"> </w:t>
      </w:r>
      <w:r w:rsidR="00B73AA7">
        <w:t>10</w:t>
      </w:r>
      <w:r w:rsidR="00A7010B">
        <w:t>). Although the mapped colours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r w:rsidR="00D01F8D">
        <w:t xml:space="preserve"> </w:t>
      </w:r>
      <w:r w:rsidR="00492C45">
        <w:t>Many of</w:t>
      </w:r>
      <w:r w:rsidR="00D01F8D">
        <w:t xml:space="preserve"> species considered here show similarly complex temp</w:t>
      </w:r>
      <w:r w:rsidR="00492C45">
        <w:t xml:space="preserve">oral patterns of predictive fit (Supplemental Material Figures </w:t>
      </w:r>
      <w:r w:rsidR="001D06B7">
        <w:t>S5</w:t>
      </w:r>
      <w:r w:rsidR="00492C45">
        <w:t xml:space="preserve"> and S6). </w:t>
      </w:r>
      <w:r w:rsidR="008963EF">
        <w:t>Discussion</w:t>
      </w:r>
    </w:p>
    <w:p w14:paraId="01EB6F65" w14:textId="1D933FCD" w:rsidR="00EE1119" w:rsidRDefault="00344307" w:rsidP="002F18BD">
      <w:pPr>
        <w:spacing w:line="480" w:lineRule="auto"/>
      </w:pPr>
      <w:r>
        <w:t xml:space="preserve">Using </w:t>
      </w:r>
      <w:r w:rsidR="00C6713A">
        <w:t>Bayesian hierarchical</w:t>
      </w:r>
      <w:r w:rsidR="00A3424B">
        <w:t xml:space="preserve"> </w:t>
      </w:r>
      <w:r>
        <w:t>semi-parametric GAM smooths</w:t>
      </w:r>
      <w:r w:rsidR="00D54D99">
        <w:t xml:space="preserve"> </w:t>
      </w:r>
      <w:r w:rsidR="00E7115B">
        <w:t xml:space="preserve">to model time series of population abundance with the North American Breeding Bird Survey </w:t>
      </w:r>
      <w:r w:rsidR="00D54D99">
        <w:t>generates</w:t>
      </w:r>
      <w:r w:rsidR="008963EF">
        <w:t xml:space="preserve"> </w:t>
      </w:r>
      <w:r w:rsidR="001E78F7">
        <w:t xml:space="preserve">more </w:t>
      </w:r>
      <w:r w:rsidR="008963EF">
        <w:t>useful estimates of population trajectories and trends</w:t>
      </w:r>
      <w:r w:rsidR="001E78F7">
        <w:t xml:space="preserve"> than other models and has</w:t>
      </w:r>
      <w:r w:rsidR="008963EF">
        <w:t xml:space="preserve"> comparable</w:t>
      </w:r>
      <w:r w:rsidR="00E7115B">
        <w:t xml:space="preserve"> or better</w:t>
      </w:r>
      <w:r w:rsidR="008963EF">
        <w:t xml:space="preserve"> out of sample predictive accuracy. </w:t>
      </w:r>
      <w:r w:rsidR="00F5720B">
        <w:t xml:space="preserve">The flexibility of the GAM smoothing structure to model long- and medium-term </w:t>
      </w:r>
      <w:r w:rsidR="00F5720B">
        <w:lastRenderedPageBreak/>
        <w:t xml:space="preserve">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r w:rsidR="006D5680">
        <w:t xml:space="preserve">Fewster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w:t>
      </w:r>
      <w:r w:rsidR="00D01F8D">
        <w:t xml:space="preserve"> almost</w:t>
      </w:r>
      <w:r>
        <w:t xml:space="preserve"> all species included here, the two GAM-based models clearly out-performed the standard model</w:t>
      </w:r>
      <w:r w:rsidR="00D01F8D">
        <w:t xml:space="preserve"> (SLOPE)</w:t>
      </w:r>
      <w:r>
        <w:t xml:space="preserve">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r w:rsidR="001E78F7">
        <w:t xml:space="preserve">On a practical note, the GAM-based models required approximately 30% </w:t>
      </w:r>
      <w:r w:rsidR="00D36B2B">
        <w:t xml:space="preserve">more time </w:t>
      </w:r>
      <w:r w:rsidR="001E78F7">
        <w:t xml:space="preserve">than the SLOPE model to generate a similar number of posterior samples, but given the </w:t>
      </w:r>
      <w:r w:rsidR="00D36B2B">
        <w:t xml:space="preserve">53 </w:t>
      </w:r>
      <w:r w:rsidR="002821BC">
        <w:t>years of effort to collect the</w:t>
      </w:r>
      <w:r w:rsidR="001E78F7">
        <w:t xml:space="preserve"> data, </w:t>
      </w:r>
      <w:r w:rsidR="00D36B2B">
        <w:t xml:space="preserve">we suggest </w:t>
      </w:r>
      <w:r w:rsidR="001E78F7">
        <w:t>this is a small price to pay for more useful status and trend estimates.</w:t>
      </w:r>
    </w:p>
    <w:p w14:paraId="4AF10A6E" w14:textId="674061BA" w:rsidR="00132E03" w:rsidRDefault="00F5720B" w:rsidP="002F18BD">
      <w:pPr>
        <w:spacing w:line="480" w:lineRule="auto"/>
      </w:pPr>
      <w:r>
        <w:t xml:space="preserve">The decomposition of the </w:t>
      </w:r>
      <w:r w:rsidR="00EE1119">
        <w:t>estimated population trajectory into</w:t>
      </w:r>
      <w:r>
        <w:t xml:space="preserve"> the smooth and year-effect components is a unique feature </w:t>
      </w:r>
      <w:r w:rsidR="00D54D99">
        <w:t xml:space="preserve">of </w:t>
      </w:r>
      <w:r w:rsidR="00EE1119">
        <w:t>the GAMYE</w:t>
      </w:r>
      <w:r w:rsidR="00132E03">
        <w:t xml:space="preserve"> and particularly useful for conservation applications</w:t>
      </w:r>
      <w:r w:rsidR="00EE1119">
        <w:t>. It allows the user to estimate and visualize separate trends and trajectories that include or exclude the annual fluctuations</w:t>
      </w:r>
      <w:r w:rsidR="00801D2E">
        <w:t xml:space="preserve"> (Knape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w:t>
      </w:r>
      <w:r w:rsidR="00A96044">
        <w:t xml:space="preserve">and </w:t>
      </w:r>
      <w:r w:rsidR="002646A6">
        <w:t xml:space="preserve">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p>
    <w:p w14:paraId="063B08E0" w14:textId="00985928" w:rsidR="00136B3C" w:rsidRDefault="00132E03" w:rsidP="002F18BD">
      <w:pPr>
        <w:spacing w:line="480" w:lineRule="auto"/>
      </w:pPr>
      <w:r>
        <w:lastRenderedPageBreak/>
        <w:t>Trends</w:t>
      </w:r>
      <w:r w:rsidR="00183D7A">
        <w:t xml:space="preserve"> derived </w:t>
      </w:r>
      <w:r>
        <w:t xml:space="preserve">from the smooth component of the GAMYE </w:t>
      </w:r>
      <w:r w:rsidR="00183D7A">
        <w:t xml:space="preserve">are also </w:t>
      </w:r>
      <w:r w:rsidR="002646A6">
        <w:t>much l</w:t>
      </w:r>
      <w:r w:rsidR="00801D2E">
        <w:t>ess likely to fluctuate from year to year</w:t>
      </w:r>
      <w:r>
        <w:t xml:space="preserve"> and therefore more reliable for use in species at risk status assessments</w:t>
      </w:r>
      <w:r w:rsidR="00801D2E">
        <w:t xml:space="preserve">. </w:t>
      </w:r>
      <w:r>
        <w:t>In many status assessments, such as those by IUCN and COSEWIC, p</w:t>
      </w:r>
      <w:r w:rsidR="00801D2E">
        <w:t xml:space="preserve">opulation declines beyond a particular threshold </w:t>
      </w:r>
      <w:r w:rsidR="000666EE">
        <w:t xml:space="preserve">rate </w:t>
      </w:r>
      <w:r w:rsidR="00801D2E">
        <w:t>(e.g.,) can trigger large investments of resources related to policy and conservation actions</w:t>
      </w:r>
      <w:r>
        <w:t xml:space="preserve">. For example, </w:t>
      </w:r>
      <w:r w:rsidR="00801D2E">
        <w:t xml:space="preserve">in both the IUCN red-listing and </w:t>
      </w:r>
      <w:r w:rsidR="00BA5718">
        <w:t xml:space="preserve">Canada’s </w:t>
      </w:r>
      <w:r w:rsidR="00801D2E">
        <w:t xml:space="preserve">COSEWIC species at risk </w:t>
      </w:r>
      <w:r w:rsidR="00A96044">
        <w:t>assessments</w:t>
      </w:r>
      <w:r w:rsidR="00801D2E">
        <w:t xml:space="preserve"> (</w:t>
      </w:r>
      <w:r w:rsidR="00922F1F">
        <w:t>IUCN 2019</w:t>
      </w:r>
      <w:r w:rsidR="00801D2E">
        <w:t>)</w:t>
      </w:r>
      <w:r>
        <w:t xml:space="preserve"> estimated declines greater than 30% over three generations is one criteria that results in a “Threatened” designation</w:t>
      </w:r>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sophisticated processes that consider far more than</w:t>
      </w:r>
      <w:r w:rsidR="00D807C9">
        <w:t xml:space="preserve"> just a single trend estimate</w:t>
      </w:r>
      <w:r w:rsidR="00C75D00">
        <w:t>. However, t</w:t>
      </w:r>
      <w:r w:rsidR="00183D7A">
        <w:t>he example in Fig</w:t>
      </w:r>
      <w:r w:rsidR="0027496D">
        <w:t>.</w:t>
      </w:r>
      <w:r w:rsidR="00183D7A">
        <w:t xml:space="preserve"> </w:t>
      </w:r>
      <w:r w:rsidR="0020692E">
        <w:t>6</w:t>
      </w:r>
      <w:r w:rsidR="00183D7A">
        <w:t xml:space="preserve"> raises the question of whether Wood Thru</w:t>
      </w:r>
      <w:r w:rsidR="0020692E">
        <w:t>sh would have been assessed as Threatened</w:t>
      </w:r>
      <w:r w:rsidR="00183D7A">
        <w:t xml:space="preserve"> in Canada if </w:t>
      </w:r>
      <w:r w:rsidR="00136B3C">
        <w:t xml:space="preserve">the relevant trend had </w:t>
      </w:r>
      <w:r w:rsidR="002821BC">
        <w:t>not been estimated in</w:t>
      </w:r>
      <w:r w:rsidR="00136B3C">
        <w:t xml:space="preserve"> 2011 (</w:t>
      </w:r>
      <w:r w:rsidR="006F38C3">
        <w:t>COSEWIC 2012</w:t>
      </w:r>
      <w:r w:rsidR="00136B3C">
        <w:t>)</w:t>
      </w:r>
      <w:r w:rsidR="00183D7A">
        <w:t>.</w:t>
      </w:r>
    </w:p>
    <w:p w14:paraId="48A59736" w14:textId="2A3B233A" w:rsidR="00A72AC4" w:rsidRDefault="00136B3C" w:rsidP="002F18BD">
      <w:pPr>
        <w:spacing w:line="480" w:lineRule="auto"/>
      </w:pPr>
      <w:r>
        <w:t xml:space="preserve">In some </w:t>
      </w:r>
      <w:r w:rsidR="000666EE">
        <w:t>conservation or scientific uses of the BBS estimates</w:t>
      </w:r>
      <w:r>
        <w:t xml:space="preserve">, the annual fluctuations </w:t>
      </w:r>
      <w:r w:rsidR="00132E03">
        <w:t>may be important</w:t>
      </w:r>
      <w:r>
        <w:t xml:space="preserve"> component</w:t>
      </w:r>
      <w:r w:rsidR="005B4699">
        <w:t>s</w:t>
      </w:r>
      <w:bookmarkStart w:id="1" w:name="_GoBack"/>
      <w:bookmarkEnd w:id="1"/>
      <w:r w:rsidR="00132E03">
        <w:t xml:space="preserve"> of the trajectory</w:t>
      </w:r>
      <w:r w:rsidR="00D01F8D">
        <w:t xml:space="preserve"> (e.g., winter-related mortality of Carolina Wrens)</w:t>
      </w:r>
      <w:r w:rsidR="00551C4C">
        <w:t xml:space="preserve">, </w:t>
      </w:r>
      <w:r w:rsidR="002821BC">
        <w:t xml:space="preserve">and </w:t>
      </w:r>
      <w:r w:rsidR="000666EE">
        <w:t>so</w:t>
      </w:r>
      <w:r w:rsidR="00551C4C">
        <w:t xml:space="preserve"> the</w:t>
      </w:r>
      <w:r w:rsidR="00132E03">
        <w:t xml:space="preserve"> full</w:t>
      </w:r>
      <w:r w:rsidR="00551C4C">
        <w:t xml:space="preserve"> trajectory that includes both components from the GAMYE is most useful. </w:t>
      </w:r>
      <w:r w:rsidR="002821BC">
        <w:t xml:space="preserve">This </w:t>
      </w:r>
      <w:r w:rsidR="00551C4C">
        <w:t>comprehensive estimate of a species’ population trajectory</w:t>
      </w:r>
      <w:r w:rsidR="000666EE">
        <w:t xml:space="preserve"> </w:t>
      </w:r>
      <w:r w:rsidR="002821BC">
        <w:t>is likely the</w:t>
      </w:r>
      <w:r w:rsidR="000666EE">
        <w:t xml:space="preserve"> best approach for the official presentation of </w:t>
      </w:r>
      <w:r w:rsidR="00D04C93">
        <w:t>a time series</w:t>
      </w:r>
      <w:r w:rsidR="000666EE">
        <w:t xml:space="preserve">.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2821BC">
        <w:t>,</w:t>
      </w:r>
      <w:r w:rsidR="00D14E57">
        <w:t xml:space="preserve"> for custom analyses (Edwards and Smith</w:t>
      </w:r>
      <w:r w:rsidR="002821BC">
        <w:t xml:space="preserve"> 2020</w:t>
      </w:r>
      <w:r w:rsidR="00D14E57">
        <w:t>)</w:t>
      </w:r>
      <w:r w:rsidR="007B55F4">
        <w:t xml:space="preserve"> </w:t>
      </w:r>
      <w:r w:rsidR="002821BC">
        <w:t xml:space="preserve">a researcher can modify the basic GAMYE </w:t>
      </w:r>
      <w:r w:rsidR="002821BC">
        <w:lastRenderedPageBreak/>
        <w:t xml:space="preserve">model to include </w:t>
      </w:r>
      <w:r w:rsidR="007B55F4">
        <w:t>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44BFA80F" w:rsidR="001D1ACF" w:rsidRDefault="001D1ACF" w:rsidP="002F18BD">
      <w:pPr>
        <w:pStyle w:val="Heading2"/>
        <w:spacing w:line="480" w:lineRule="auto"/>
      </w:pPr>
      <w:r>
        <w:t xml:space="preserve">Predictive accuracy. </w:t>
      </w:r>
    </w:p>
    <w:p w14:paraId="53A63DE0" w14:textId="12B6727A" w:rsidR="00F7061E" w:rsidRDefault="00F7061E" w:rsidP="002F18BD">
      <w:pPr>
        <w:spacing w:line="480" w:lineRule="auto"/>
      </w:pPr>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For Barn Swallow, the overall difference in predictive fit</w:t>
      </w:r>
      <w:r w:rsidR="00104D00">
        <w:t>,</w:t>
      </w:r>
      <w:r w:rsidR="0058124D">
        <w:t xml:space="preserve">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w:t>
      </w:r>
      <w:r w:rsidR="00D52DE3">
        <w:t>,</w:t>
      </w:r>
      <w:r w:rsidR="0058124D">
        <w:t xml:space="preserve"> however, that since the mid-1980’s population</w:t>
      </w:r>
      <w:r w:rsidR="004C252E">
        <w:t>s</w:t>
      </w:r>
      <w:r w:rsidR="0058124D">
        <w:t xml:space="preserve"> have decreased.</w:t>
      </w:r>
    </w:p>
    <w:p w14:paraId="4EE29BF5" w14:textId="5E409122" w:rsidR="00850E9F" w:rsidRDefault="00850E9F" w:rsidP="002F18BD">
      <w:pPr>
        <w:spacing w:line="480" w:lineRule="auto"/>
      </w:pPr>
      <w:r>
        <w:t xml:space="preserve">Using all data in </w:t>
      </w:r>
      <w:r w:rsidR="00F21373">
        <w:t>our</w:t>
      </w:r>
      <w:r>
        <w:t xml:space="preserve"> cross-validation</w:t>
      </w:r>
      <w:r w:rsidR="00D04C93">
        <w:t>s</w:t>
      </w:r>
      <w:r>
        <w:t xml:space="preserve"> allowed us to explore the spatial and temporal variation in fit, and to compare the fit across all data used in the model. Estimates of predictive fit from a random selection of BBS counts are biased </w:t>
      </w:r>
      <w:r w:rsidR="00032B4C">
        <w:t>by</w:t>
      </w:r>
      <w:r>
        <w:t xml:space="preserve"> the strong spatial and temporal dependencies in the BBS data (Roberts et al. 2017). However, because our folds were identical across models, </w:t>
      </w:r>
      <w:r w:rsidR="00A95058">
        <w:t xml:space="preserve">and we modeled the differences in fit with an additional hierarchical model that accounted for repeated measures among strata and years, </w:t>
      </w:r>
      <w:r>
        <w:t xml:space="preserve">we are reasonably confident that relative-fit assessments are unbiased. </w:t>
      </w:r>
    </w:p>
    <w:p w14:paraId="5487D4F9" w14:textId="29B499BB" w:rsidR="002A65DC" w:rsidRDefault="006F4E90" w:rsidP="002F18BD">
      <w:pPr>
        <w:spacing w:line="480" w:lineRule="auto"/>
      </w:pPr>
      <w:r>
        <w:t xml:space="preserve">The overall predictive fit assessments </w:t>
      </w:r>
      <w:r w:rsidR="00B04B46">
        <w:t xml:space="preserve">provided some guidance on model selection for the species here, but not in all cases. </w:t>
      </w:r>
      <w:r>
        <w:t>The SLOPE model compared poorly against most other models in the overall assessment</w:t>
      </w:r>
      <w:r w:rsidR="00B04B46">
        <w:t xml:space="preserve">, similar to Link et al. </w:t>
      </w:r>
      <w:r w:rsidR="001A6280">
        <w:t>2020</w:t>
      </w:r>
      <w:r>
        <w:t xml:space="preserve">. </w:t>
      </w:r>
      <w:r w:rsidR="00507BE7">
        <w:t>However,</w:t>
      </w:r>
      <w:r>
        <w:t xml:space="preserve"> among the other three models, </w:t>
      </w:r>
      <w:r w:rsidR="00D01F8D">
        <w:t xml:space="preserve">many </w:t>
      </w:r>
      <w:r>
        <w:t>of the overall comparisons failed to clearly support one model</w:t>
      </w:r>
      <w:r w:rsidR="00D01F8D">
        <w:t>, even in cases where the predicted population trajectories suggested very different patterns of population change (e.g,. Cooper’s Hawk in Supplemental Material Figure</w:t>
      </w:r>
      <w:r w:rsidR="00B82969">
        <w:t xml:space="preserve"> S5</w:t>
      </w:r>
      <w:r w:rsidR="00D01F8D">
        <w:t>)</w:t>
      </w:r>
      <w:r>
        <w:t xml:space="preserve">. </w:t>
      </w:r>
      <w:r w:rsidR="00EE5371">
        <w:t>F</w:t>
      </w:r>
      <w:r>
        <w:t xml:space="preserve">or a given species the best model </w:t>
      </w:r>
      <w:r w:rsidR="004C252E">
        <w:t>varied among year</w:t>
      </w:r>
      <w:r w:rsidR="00A95058">
        <w:t>s</w:t>
      </w:r>
      <w:r>
        <w:t xml:space="preserve"> and </w:t>
      </w:r>
      <w:r w:rsidR="00A95058">
        <w:t>strata</w:t>
      </w:r>
      <w:r>
        <w:t xml:space="preserv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w:t>
      </w:r>
      <w:r w:rsidR="00534008">
        <w:t xml:space="preserve"> </w:t>
      </w:r>
    </w:p>
    <w:p w14:paraId="7B83F829" w14:textId="0CAA658B" w:rsidR="00BC7A0E" w:rsidRDefault="00534008" w:rsidP="002F18BD">
      <w:pPr>
        <w:spacing w:line="480" w:lineRule="auto"/>
      </w:pPr>
      <w:r>
        <w:lastRenderedPageBreak/>
        <w:t>In general, estimates of predictive accuracy are one aspect of a thoughtful model building and assessment process, but are insufficient on their own (Gelman et al. 2013 pg 180, Burnham and Anderson 2002 pg 16)</w:t>
      </w:r>
      <w:r w:rsidR="004C252E">
        <w:t>. This is particularly true</w:t>
      </w:r>
      <w:r>
        <w:t xml:space="preserve"> </w:t>
      </w:r>
      <w:r w:rsidR="00E835F2">
        <w:t xml:space="preserve">if </w:t>
      </w:r>
      <w:r>
        <w:t xml:space="preserve">there is little or no clear difference in </w:t>
      </w:r>
      <w:r w:rsidR="004C252E">
        <w:t xml:space="preserve">overall </w:t>
      </w:r>
      <w:r>
        <w:t xml:space="preserve">predictive accuracy, </w:t>
      </w:r>
      <w:r w:rsidR="00E835F2">
        <w:t>but</w:t>
      </w:r>
      <w:r w:rsidR="004C252E">
        <w:t xml:space="preserve"> important</w:t>
      </w:r>
      <w:r>
        <w:t xml:space="preserve"> differences in model predictions</w:t>
      </w:r>
      <w:r w:rsidR="00B82969">
        <w:t xml:space="preserve">. For example, </w:t>
      </w:r>
      <w:r w:rsidR="0040368B">
        <w:t xml:space="preserve">the overall cross validation results do not distinguish between the SLOPE and GAMYE for </w:t>
      </w:r>
      <w:r w:rsidR="00B82969">
        <w:t>Cooper’s Hawk</w:t>
      </w:r>
      <w:r w:rsidR="0040368B">
        <w:t>, and yet</w:t>
      </w:r>
      <w:r w:rsidR="00B82969">
        <w:t xml:space="preserve"> predictions </w:t>
      </w:r>
      <w:r w:rsidR="0040368B">
        <w:t>are</w:t>
      </w:r>
      <w:r w:rsidR="00B82969">
        <w:t xml:space="preserve"> very different in the first and las</w:t>
      </w:r>
      <w:r w:rsidR="0040368B">
        <w:t xml:space="preserve">t few years of the time series </w:t>
      </w:r>
      <w:r w:rsidR="00B82969">
        <w:t xml:space="preserve">(Fig 4). In contrast, </w:t>
      </w:r>
      <w:r w:rsidR="0040368B">
        <w:t xml:space="preserve">the overall cross validation results for Carolina Wren suggest the DIFFERENCE model is preferred over the GAMYE, and yet the </w:t>
      </w:r>
      <w:r w:rsidR="00B82969">
        <w:t>trajectories are almost identical</w:t>
      </w:r>
      <w:r w:rsidR="0040368B">
        <w:t xml:space="preserve"> (Fig 4 and Supplemental Material Figure S5). </w:t>
      </w:r>
      <w:r w:rsidR="00A95058">
        <w:t xml:space="preserve"> </w:t>
      </w:r>
      <w:r w:rsidR="0040368B">
        <w:t>Predictive accuracy is also complicated</w:t>
      </w:r>
      <w:r w:rsidR="00A95058">
        <w:t xml:space="preserve"> when robust predictions are required for years or regions</w:t>
      </w:r>
      <w:r w:rsidR="00837AB1">
        <w:t xml:space="preserve"> </w:t>
      </w:r>
      <w:r w:rsidR="00A95058">
        <w:t>with</w:t>
      </w:r>
      <w:r w:rsidR="00837AB1">
        <w:t xml:space="preserve"> relatively few data against which predictions can be assessed</w:t>
      </w:r>
      <w:r w:rsidR="00A95058">
        <w:t xml:space="preserve"> (e.g., the earlier years of the BBS)</w:t>
      </w:r>
      <w:r w:rsidR="00837AB1">
        <w:t xml:space="preserve">. </w:t>
      </w:r>
      <w:r w:rsidR="00032B4C">
        <w:t>We</w:t>
      </w:r>
      <w:r w:rsidR="006A0B60">
        <w:t xml:space="preserve"> </w:t>
      </w:r>
      <w:r w:rsidR="00032B4C">
        <w:t xml:space="preserve">agree with Link et al. (2020) that we should not select models </w:t>
      </w:r>
      <w:r w:rsidR="00311F88">
        <w:t xml:space="preserve">based on a particular pattern in the results. </w:t>
      </w:r>
      <w:r w:rsidR="004C252E">
        <w:t>In fact, t</w:t>
      </w:r>
      <w:r w:rsidR="00311F88">
        <w:t xml:space="preserve">he </w:t>
      </w:r>
      <w:r w:rsidR="00C12DAD">
        <w:t xml:space="preserve">necessary </w:t>
      </w:r>
      <w:r w:rsidR="00101F80">
        <w:t xml:space="preserve">subjective </w:t>
      </w:r>
      <w:r w:rsidR="00311F88">
        <w:t>process occurs before any quantitative analyses</w:t>
      </w:r>
      <w:r w:rsidR="00E835F2">
        <w:t xml:space="preserve"> (Burnham and Anderson 2002), and relies on “careful thinking” to balance the objectives; the model; and the data (Chatfield 1995). The careful thinking required to select a BBS model or to interpret the BBS status and trend estimates, is to consider the consequences of the potential conflicts between the model structures (“constraints on the model parameters” sensu Chatfield 1995) and the objectives of the use of the modeled estimates. </w:t>
      </w:r>
      <w:r w:rsidR="005A349A">
        <w:t>W</w:t>
      </w:r>
      <w:r w:rsidR="00E835F2">
        <w:t>e s</w:t>
      </w:r>
      <w:r w:rsidR="005A349A">
        <w:t>uggest that the GAMYE’s strong cross-validation performance and its flexible assumptions that match the most common uses of the BBS status and trends estimates, make it a particularly useful model for the sort of omnibus analysis conducted by the CWS and other agencies.</w:t>
      </w:r>
      <w:r w:rsidR="00635CC6">
        <w:t xml:space="preserve">     </w:t>
      </w:r>
      <w:r w:rsidR="00BC7A0E">
        <w:br w:type="page"/>
      </w:r>
    </w:p>
    <w:p w14:paraId="5BDD957E" w14:textId="46916080" w:rsidR="009C067E" w:rsidRDefault="00F37D20" w:rsidP="002F18BD">
      <w:pPr>
        <w:pStyle w:val="Heading1"/>
        <w:spacing w:line="480" w:lineRule="auto"/>
      </w:pPr>
      <w:r>
        <w:lastRenderedPageBreak/>
        <w:t>Acknowledgements</w:t>
      </w:r>
    </w:p>
    <w:p w14:paraId="1C5F9072" w14:textId="3A77259E" w:rsidR="0006218F" w:rsidRDefault="00F37D20" w:rsidP="002F18BD">
      <w:pPr>
        <w:spacing w:line="480" w:lineRule="auto"/>
      </w:pPr>
      <w:r>
        <w:t xml:space="preserve">We sincerely thank the thousands of U.S. and Canadian participants who annually perform and coordinate the North American Breeding Bird Survey. We also wish to acknowledge John Sauer and Bill Link for sharing code that helped with the cross-validations and for many spirited collegial discussions that have informed this work. We also thank the many biologists within the Canadian Wildlife Service and other users of the BBS status and trend estimates whose </w:t>
      </w:r>
      <w:r w:rsidR="002823BC">
        <w:t>insightful</w:t>
      </w:r>
      <w:r>
        <w:t xml:space="preserve"> questions</w:t>
      </w:r>
      <w:r w:rsidR="002823BC">
        <w:t xml:space="preserve"> and suggestions</w:t>
      </w:r>
      <w:r>
        <w:t xml:space="preserve"> motived much of this work, including Charles Francis, Marie-Anne Hudson, Veronica Aponte, Marcel Gahbauer, Pete Blancher, and Ken Rosenberg.</w:t>
      </w:r>
    </w:p>
    <w:p w14:paraId="07EAFF79" w14:textId="38AAB702" w:rsidR="00737DF0" w:rsidRDefault="00737DF0" w:rsidP="007B1E01">
      <w:pPr>
        <w:pStyle w:val="Heading1"/>
        <w:spacing w:line="480" w:lineRule="auto"/>
      </w:pPr>
      <w:r>
        <w:t>Author Contributions</w:t>
      </w:r>
    </w:p>
    <w:p w14:paraId="083B9AD3" w14:textId="580A47EF" w:rsidR="00737DF0" w:rsidRPr="00737DF0" w:rsidRDefault="00737DF0" w:rsidP="00737DF0">
      <w:pPr>
        <w:spacing w:line="480" w:lineRule="auto"/>
      </w:pPr>
      <w:r w:rsidRPr="00737DF0">
        <w:t>A</w:t>
      </w:r>
      <w:r>
        <w:t>CS</w:t>
      </w:r>
      <w:r w:rsidRPr="00737DF0">
        <w:t xml:space="preserve"> conceived the ideas and designed methodology; </w:t>
      </w:r>
      <w:r w:rsidR="00F36D69">
        <w:t>ACS</w:t>
      </w:r>
      <w:r w:rsidRPr="00737DF0">
        <w:t xml:space="preserve"> and </w:t>
      </w:r>
      <w:r w:rsidR="00F36D69">
        <w:t>BPME</w:t>
      </w:r>
      <w:r w:rsidRPr="00737DF0">
        <w:t xml:space="preserve"> </w:t>
      </w:r>
      <w:r w:rsidR="003919AF" w:rsidRPr="00737DF0">
        <w:t>analyzed</w:t>
      </w:r>
      <w:r w:rsidRPr="00737DF0">
        <w:t xml:space="preserve"> the data; A</w:t>
      </w:r>
      <w:r w:rsidR="00F36D69">
        <w:t>CS</w:t>
      </w:r>
      <w:r w:rsidRPr="00737DF0">
        <w:t xml:space="preserve"> led the writing of the manuscript. All authors contributed critically to the drafts and gave final approval for publication.</w:t>
      </w:r>
    </w:p>
    <w:p w14:paraId="22A36BCB" w14:textId="522FD9E1" w:rsidR="00951E0B" w:rsidRDefault="00951E0B" w:rsidP="002F18BD">
      <w:pPr>
        <w:pStyle w:val="Heading1"/>
        <w:spacing w:line="480" w:lineRule="auto"/>
      </w:pPr>
      <w:r>
        <w:t>References cited</w:t>
      </w:r>
    </w:p>
    <w:p w14:paraId="17D5D549" w14:textId="1DA16EE0" w:rsidR="00E31D57" w:rsidRDefault="00E31D57" w:rsidP="002F18BD">
      <w:pPr>
        <w:spacing w:line="480" w:lineRule="auto"/>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Model selection and multimodel inference: a practical information-theoretic approach. Second edition. Springer-Verlag, New York, New York, USA.</w:t>
      </w:r>
    </w:p>
    <w:p w14:paraId="4E2626C1" w14:textId="67CA8E19" w:rsidR="006229B5" w:rsidRDefault="006229B5" w:rsidP="002F18BD">
      <w:pPr>
        <w:spacing w:line="480" w:lineRule="auto"/>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A 158:419–466.</w:t>
      </w:r>
      <w:r w:rsidR="00262C5B">
        <w:rPr>
          <w:rStyle w:val="self-citation-authors"/>
        </w:rPr>
        <w:t xml:space="preserve"> </w:t>
      </w:r>
      <w:r w:rsidR="00043EB5">
        <w:rPr>
          <w:rStyle w:val="self-citation-authors"/>
        </w:rPr>
        <w:t>doi:</w:t>
      </w:r>
      <w:r w:rsidR="00262C5B" w:rsidRPr="00262C5B">
        <w:rPr>
          <w:rStyle w:val="self-citation-authors"/>
        </w:rPr>
        <w:t>10.2307/2983440</w:t>
      </w:r>
    </w:p>
    <w:p w14:paraId="0FF7A0C8" w14:textId="78A7A68E" w:rsidR="006F38C3" w:rsidRDefault="006F38C3" w:rsidP="002F18BD">
      <w:pPr>
        <w:spacing w:line="480" w:lineRule="auto"/>
        <w:rPr>
          <w:rStyle w:val="self-citation-authors"/>
        </w:rPr>
      </w:pPr>
      <w:r w:rsidRPr="006F38C3">
        <w:rPr>
          <w:rStyle w:val="self-citation-authors"/>
        </w:rPr>
        <w:t xml:space="preserve">COSEWIC. </w:t>
      </w:r>
      <w:r w:rsidR="00237AAA">
        <w:rPr>
          <w:rStyle w:val="self-citation-authors"/>
        </w:rPr>
        <w:t>(</w:t>
      </w:r>
      <w:r w:rsidRPr="006F38C3">
        <w:rPr>
          <w:rStyle w:val="self-citation-authors"/>
        </w:rPr>
        <w:t>2012</w:t>
      </w:r>
      <w:r w:rsidR="00237AAA">
        <w:rPr>
          <w:rStyle w:val="self-citation-authors"/>
        </w:rPr>
        <w:t>)</w:t>
      </w:r>
      <w:r w:rsidRPr="006F38C3">
        <w:rPr>
          <w:rStyle w:val="self-citation-authors"/>
        </w:rPr>
        <w:t xml:space="preserve">. COSEWIC assessment and status report on the Wood Thrush </w:t>
      </w:r>
      <w:r w:rsidRPr="006F38C3">
        <w:rPr>
          <w:rStyle w:val="self-citation-authors"/>
          <w:i/>
        </w:rPr>
        <w:t>Hylocichla mustelina</w:t>
      </w:r>
      <w:r w:rsidRPr="006F38C3">
        <w:rPr>
          <w:rStyle w:val="self-citation-authors"/>
        </w:rPr>
        <w:t xml:space="preserve"> in Canada. Committee on the Status of Endangered Wildlif</w:t>
      </w:r>
      <w:r>
        <w:rPr>
          <w:rStyle w:val="self-citation-authors"/>
        </w:rPr>
        <w:t>e in Canada. Ottawa.</w:t>
      </w:r>
    </w:p>
    <w:p w14:paraId="499C63B0" w14:textId="77FC1541" w:rsidR="00317C34" w:rsidRDefault="00317C34" w:rsidP="002F18BD">
      <w:pPr>
        <w:spacing w:line="480" w:lineRule="auto"/>
        <w:rPr>
          <w:rStyle w:val="self-citation-authors"/>
        </w:rPr>
      </w:pPr>
      <w:r w:rsidRPr="00317C34">
        <w:rPr>
          <w:rStyle w:val="self-citation-authors"/>
        </w:rPr>
        <w:t>Crainiceanu C</w:t>
      </w:r>
      <w:r w:rsidR="00160865">
        <w:rPr>
          <w:rStyle w:val="self-citation-authors"/>
        </w:rPr>
        <w:t xml:space="preserve">M, Ruppert D, Wand MP (2005).  </w:t>
      </w:r>
      <w:r w:rsidRPr="00317C34">
        <w:rPr>
          <w:rStyle w:val="self-citation-authors"/>
        </w:rPr>
        <w:t>Bayesian A</w:t>
      </w:r>
      <w:r w:rsidR="00160865">
        <w:rPr>
          <w:rStyle w:val="self-citation-authors"/>
        </w:rPr>
        <w:t>nalysis for Penalized Spline Re</w:t>
      </w:r>
      <w:r w:rsidRPr="00317C34">
        <w:rPr>
          <w:rStyle w:val="self-citation-authors"/>
        </w:rPr>
        <w:t>gression Using W</w:t>
      </w:r>
      <w:r w:rsidR="00160865">
        <w:rPr>
          <w:rStyle w:val="self-citation-authors"/>
        </w:rPr>
        <w:t>inBUGS.</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r w:rsidR="00A12F5B">
        <w:rPr>
          <w:rStyle w:val="self-citation-authors"/>
        </w:rPr>
        <w:t>. doi:</w:t>
      </w:r>
      <w:r w:rsidR="00A12F5B" w:rsidRPr="00A12F5B">
        <w:rPr>
          <w:rStyle w:val="self-citation-authors"/>
        </w:rPr>
        <w:t>10.18637/jss.v014.i14</w:t>
      </w:r>
    </w:p>
    <w:p w14:paraId="3801B5AD" w14:textId="7C4DDCC0" w:rsidR="00C80B04" w:rsidRDefault="00C80B04" w:rsidP="002F18BD">
      <w:pPr>
        <w:spacing w:line="480" w:lineRule="auto"/>
        <w:rPr>
          <w:rStyle w:val="self-citation-authors"/>
        </w:rPr>
      </w:pPr>
      <w:r w:rsidRPr="00C80B04">
        <w:rPr>
          <w:rStyle w:val="self-citation-authors"/>
        </w:rPr>
        <w:lastRenderedPageBreak/>
        <w:t>Duan</w:t>
      </w:r>
      <w:r>
        <w:rPr>
          <w:rStyle w:val="self-citation-authors"/>
        </w:rPr>
        <w:t>, N</w:t>
      </w:r>
      <w:r w:rsidRPr="00C80B04">
        <w:rPr>
          <w:rStyle w:val="self-citation-authors"/>
        </w:rPr>
        <w:t xml:space="preserve">. </w:t>
      </w:r>
      <w:r w:rsidR="00237AAA">
        <w:rPr>
          <w:rStyle w:val="self-citation-authors"/>
        </w:rPr>
        <w:t>(</w:t>
      </w:r>
      <w:r w:rsidRPr="00C80B04">
        <w:rPr>
          <w:rStyle w:val="self-citation-authors"/>
        </w:rPr>
        <w:t>1983</w:t>
      </w:r>
      <w:r w:rsidR="00237AAA">
        <w:rPr>
          <w:rStyle w:val="self-citation-authors"/>
        </w:rPr>
        <w:t>)</w:t>
      </w:r>
      <w:r w:rsidRPr="00C80B04">
        <w:rPr>
          <w:rStyle w:val="self-citation-authors"/>
        </w:rPr>
        <w:t>.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r w:rsidR="00622248">
        <w:rPr>
          <w:rStyle w:val="self-citation-authors"/>
        </w:rPr>
        <w:t>. doi:</w:t>
      </w:r>
      <w:r w:rsidR="00622248" w:rsidRPr="00622248">
        <w:rPr>
          <w:rStyle w:val="self-citation-authors"/>
        </w:rPr>
        <w:t>10.2307/2288126</w:t>
      </w:r>
    </w:p>
    <w:p w14:paraId="09EA422A" w14:textId="21F37424" w:rsidR="003C12D8" w:rsidRDefault="003C12D8" w:rsidP="002F18BD">
      <w:pPr>
        <w:spacing w:line="480" w:lineRule="auto"/>
        <w:rPr>
          <w:rStyle w:val="self-citation-authors"/>
        </w:rPr>
      </w:pPr>
      <w:r w:rsidRPr="003C12D8">
        <w:rPr>
          <w:rStyle w:val="self-citation-authors"/>
        </w:rPr>
        <w:t>Edwards, B</w:t>
      </w:r>
      <w:r w:rsidR="00F20704">
        <w:rPr>
          <w:rStyle w:val="self-citation-authors"/>
        </w:rPr>
        <w:t>.</w:t>
      </w:r>
      <w:r w:rsidRPr="003C12D8">
        <w:rPr>
          <w:rStyle w:val="self-citation-authors"/>
        </w:rPr>
        <w:t>P</w:t>
      </w:r>
      <w:r w:rsidR="00F20704">
        <w:rPr>
          <w:rStyle w:val="self-citation-authors"/>
        </w:rPr>
        <w:t>.</w:t>
      </w:r>
      <w:r w:rsidRPr="003C12D8">
        <w:rPr>
          <w:rStyle w:val="self-citation-authors"/>
        </w:rPr>
        <w:t>M</w:t>
      </w:r>
      <w:r w:rsidR="00F20704">
        <w:rPr>
          <w:rStyle w:val="self-citation-authors"/>
        </w:rPr>
        <w:t>.</w:t>
      </w:r>
      <w:r w:rsidRPr="003C12D8">
        <w:rPr>
          <w:rStyle w:val="self-citation-authors"/>
        </w:rPr>
        <w:t xml:space="preserve"> </w:t>
      </w:r>
      <w:r w:rsidR="00930CDB">
        <w:rPr>
          <w:rStyle w:val="self-citation-authors"/>
        </w:rPr>
        <w:t xml:space="preserve">and </w:t>
      </w:r>
      <w:r w:rsidR="00675500">
        <w:rPr>
          <w:rStyle w:val="self-citation-authors"/>
        </w:rPr>
        <w:t>A.C</w:t>
      </w:r>
      <w:r w:rsidRPr="003C12D8">
        <w:rPr>
          <w:rStyle w:val="self-citation-authors"/>
        </w:rPr>
        <w:t>.</w:t>
      </w:r>
      <w:r w:rsidR="00675500">
        <w:rPr>
          <w:rStyle w:val="self-citation-authors"/>
        </w:rPr>
        <w:t xml:space="preserve"> Smith</w:t>
      </w:r>
      <w:r w:rsidRPr="003C12D8">
        <w:rPr>
          <w:rStyle w:val="self-citation-authors"/>
        </w:rPr>
        <w:t xml:space="preserve"> (2020). bbsBayes v2.1.0 (Version 2.1.0). Zenodo. </w:t>
      </w:r>
      <w:r w:rsidR="002A60BB">
        <w:rPr>
          <w:rStyle w:val="self-citation-authors"/>
        </w:rPr>
        <w:t>doi:</w:t>
      </w:r>
      <w:r w:rsidRPr="003C12D8">
        <w:rPr>
          <w:rStyle w:val="self-citation-authors"/>
        </w:rPr>
        <w:t>10.5281/zenodo.3727279</w:t>
      </w:r>
    </w:p>
    <w:p w14:paraId="6EA5D515" w14:textId="6AEE074C" w:rsidR="00727F91" w:rsidRDefault="00D807C9" w:rsidP="002F18BD">
      <w:pPr>
        <w:spacing w:line="480" w:lineRule="auto"/>
        <w:rPr>
          <w:rStyle w:val="self-citation-authors"/>
        </w:rPr>
      </w:pPr>
      <w:r>
        <w:t xml:space="preserve">Environment Climate Change Canada </w:t>
      </w:r>
      <w:r w:rsidR="00727F91">
        <w:t xml:space="preserve">(2016). Recovery Strategy for the Canada Warbler (Cardellina canadensis) in Canada. Species at Risk Act Recovery Strategy Series. Environment Canada, Ottawa. vii + 56 pp. Available at: </w:t>
      </w:r>
      <w:hyperlink r:id="rId11"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57D05D34" w:rsidR="008A5A2D" w:rsidRPr="008A5A2D" w:rsidRDefault="003F00A9" w:rsidP="002F18BD">
      <w:pPr>
        <w:spacing w:line="480" w:lineRule="auto"/>
        <w:rPr>
          <w:rStyle w:val="self-citation-authors"/>
        </w:rPr>
      </w:pPr>
      <w:r w:rsidRPr="003F00A9">
        <w:rPr>
          <w:rStyle w:val="self-citation-authors"/>
        </w:rPr>
        <w:t>Fewster, R. M., S. T.Buckland, G. M.Siriwardena, S. R.Baillie, and J. D.Wilson</w:t>
      </w:r>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r w:rsidR="00F32015">
        <w:rPr>
          <w:rStyle w:val="self-citation-authors"/>
        </w:rPr>
        <w:t xml:space="preserve"> doi:</w:t>
      </w:r>
      <w:r w:rsidR="00F32015" w:rsidRPr="00F32015">
        <w:t xml:space="preserve"> </w:t>
      </w:r>
      <w:r w:rsidR="00F32015" w:rsidRPr="00F32015">
        <w:rPr>
          <w:rStyle w:val="self-citation-authors"/>
        </w:rPr>
        <w:t>10.2307/177286</w:t>
      </w:r>
    </w:p>
    <w:p w14:paraId="551D4536" w14:textId="48B3A7F0" w:rsidR="008A5A2D" w:rsidRDefault="008A5A2D" w:rsidP="002F18BD">
      <w:pPr>
        <w:spacing w:line="480" w:lineRule="auto"/>
        <w:rPr>
          <w:rStyle w:val="self-citation-authors"/>
        </w:rPr>
      </w:pPr>
      <w:r w:rsidRPr="008A5A2D">
        <w:rPr>
          <w:rStyle w:val="self-citation-authors"/>
        </w:rPr>
        <w:t xml:space="preserve">Gelman, A. </w:t>
      </w:r>
      <w:r w:rsidR="002F38D6">
        <w:rPr>
          <w:rStyle w:val="self-citation-authors"/>
        </w:rPr>
        <w:t>(</w:t>
      </w:r>
      <w:r w:rsidRPr="008A5A2D">
        <w:rPr>
          <w:rStyle w:val="self-citation-authors"/>
        </w:rPr>
        <w:t>2006</w:t>
      </w:r>
      <w:r w:rsidR="002F38D6">
        <w:rPr>
          <w:rStyle w:val="self-citation-authors"/>
        </w:rPr>
        <w:t>)</w:t>
      </w:r>
      <w:r w:rsidRPr="008A5A2D">
        <w:rPr>
          <w:rStyle w:val="self-citation-authors"/>
        </w:rPr>
        <w:t>. Prior distributions for variance parameters in hierarchical models. Bayesian Analysis. 1:515-533.</w:t>
      </w:r>
      <w:r w:rsidR="00224380">
        <w:rPr>
          <w:rStyle w:val="self-citation-authors"/>
        </w:rPr>
        <w:t xml:space="preserve"> doi:</w:t>
      </w:r>
      <w:r w:rsidR="00224380" w:rsidRPr="00224380">
        <w:rPr>
          <w:rStyle w:val="self-citation-authors"/>
        </w:rPr>
        <w:t>10.1214/06-BA117A</w:t>
      </w:r>
    </w:p>
    <w:p w14:paraId="0DC1AFB5" w14:textId="6D518652" w:rsidR="002A1A18" w:rsidRDefault="002A1A18" w:rsidP="002F18BD">
      <w:pPr>
        <w:spacing w:line="480" w:lineRule="auto"/>
      </w:pPr>
      <w:r>
        <w:t>Gelman, A., J. Hwang, and A. Vehtari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r w:rsidR="00DF72D1">
        <w:t>doi:</w:t>
      </w:r>
      <w:r w:rsidR="00DF72D1" w:rsidRPr="00DF72D1">
        <w:t>10.1007/s11222-013-9416-2</w:t>
      </w:r>
    </w:p>
    <w:p w14:paraId="73DAEEF2" w14:textId="35AB5ED1" w:rsidR="00DC055B" w:rsidRDefault="00DC055B" w:rsidP="002F18BD">
      <w:pPr>
        <w:spacing w:line="480" w:lineRule="auto"/>
        <w:rPr>
          <w:rStyle w:val="self-citation-authors"/>
        </w:rPr>
      </w:pPr>
      <w:r w:rsidRPr="00DC055B">
        <w:rPr>
          <w:rStyle w:val="self-citation-authors"/>
        </w:rPr>
        <w:t>Gelman,</w:t>
      </w:r>
      <w:r>
        <w:rPr>
          <w:rStyle w:val="self-citation-authors"/>
        </w:rPr>
        <w:t xml:space="preserve"> A.,</w:t>
      </w:r>
      <w:r w:rsidRPr="00DC055B">
        <w:rPr>
          <w:rStyle w:val="self-citation-authors"/>
        </w:rPr>
        <w:t xml:space="preserve"> J. B. Carlin, H. S. Stern, D. B. Dunson, A. Vehtari and D. B. Rubin. (</w:t>
      </w:r>
      <w:r>
        <w:rPr>
          <w:rStyle w:val="self-citation-authors"/>
        </w:rPr>
        <w:t>2013</w:t>
      </w:r>
      <w:r w:rsidRPr="00DC055B">
        <w:rPr>
          <w:rStyle w:val="self-citation-authors"/>
        </w:rPr>
        <w:t>)</w:t>
      </w:r>
      <w:r w:rsidR="005732AE">
        <w:rPr>
          <w:rStyle w:val="self-citation-authors"/>
        </w:rPr>
        <w:t>.</w:t>
      </w:r>
      <w:r w:rsidRPr="00DC055B">
        <w:rPr>
          <w:rStyle w:val="self-citation-authors"/>
        </w:rPr>
        <w:t xml:space="preserve"> Bayesian Data Analysis , Chapman and Hall/CRC </w:t>
      </w:r>
      <w:r>
        <w:rPr>
          <w:rStyle w:val="self-citation-authors"/>
        </w:rPr>
        <w:t>Boca Raton</w:t>
      </w:r>
      <w:r w:rsidRPr="00DC055B">
        <w:rPr>
          <w:rStyle w:val="self-citation-authors"/>
        </w:rPr>
        <w:t>.</w:t>
      </w:r>
    </w:p>
    <w:p w14:paraId="2289BA11" w14:textId="4E560F1A" w:rsidR="00922F1F" w:rsidRPr="00DF72D1" w:rsidRDefault="00922F1F" w:rsidP="002F18BD">
      <w:pPr>
        <w:spacing w:line="480" w:lineRule="auto"/>
        <w:rPr>
          <w:rStyle w:val="self-citation-authors"/>
          <w:rFonts w:cstheme="minorHAnsi"/>
        </w:rPr>
      </w:pPr>
      <w:r w:rsidRPr="00DF72D1">
        <w:rPr>
          <w:rFonts w:cstheme="minorHAnsi"/>
          <w:color w:val="000000"/>
          <w:lang w:val="en-CA"/>
        </w:rPr>
        <w:t xml:space="preserve">IUCN Standards and Petitions Committee. </w:t>
      </w:r>
      <w:r w:rsidR="002F38D6">
        <w:rPr>
          <w:rFonts w:cstheme="minorHAnsi"/>
          <w:color w:val="000000"/>
          <w:lang w:val="en-CA"/>
        </w:rPr>
        <w:t>(</w:t>
      </w:r>
      <w:r w:rsidRPr="00DF72D1">
        <w:rPr>
          <w:rFonts w:cstheme="minorHAnsi"/>
          <w:color w:val="000000"/>
          <w:lang w:val="en-CA"/>
        </w:rPr>
        <w:t>2019</w:t>
      </w:r>
      <w:r w:rsidR="002F38D6">
        <w:rPr>
          <w:rFonts w:cstheme="minorHAnsi"/>
          <w:color w:val="000000"/>
          <w:lang w:val="en-CA"/>
        </w:rPr>
        <w:t>)</w:t>
      </w:r>
      <w:r w:rsidRPr="00DF72D1">
        <w:rPr>
          <w:rFonts w:cstheme="minorHAnsi"/>
          <w:color w:val="000000"/>
          <w:lang w:val="en-CA"/>
        </w:rPr>
        <w:t xml:space="preserve">. Guidelines for Using the IUCN Red List Categories and Criteria. Version 14. Prepared by the Standards and Petitions Committee. Downloadable from </w:t>
      </w:r>
      <w:hyperlink r:id="rId12" w:history="1">
        <w:r w:rsidRPr="00DF72D1">
          <w:rPr>
            <w:rStyle w:val="Hyperlink"/>
            <w:rFonts w:cstheme="minorHAnsi"/>
            <w:lang w:val="en-CA"/>
          </w:rPr>
          <w:t>http://www.iucnredlist.org/documents/RedListGuidelines.pdf</w:t>
        </w:r>
      </w:hyperlink>
      <w:r w:rsidRPr="00DF72D1">
        <w:rPr>
          <w:rFonts w:cstheme="minorHAnsi"/>
          <w:color w:val="000000"/>
          <w:lang w:val="en-CA"/>
        </w:rPr>
        <w:t xml:space="preserve">. </w:t>
      </w:r>
    </w:p>
    <w:p w14:paraId="181A1E7A" w14:textId="3FF9C0A6" w:rsidR="00542464" w:rsidRDefault="00542464" w:rsidP="002F18BD">
      <w:pPr>
        <w:spacing w:line="480" w:lineRule="auto"/>
      </w:pPr>
      <w:r>
        <w:rPr>
          <w:rStyle w:val="authors"/>
        </w:rPr>
        <w:t>Lange,</w:t>
      </w:r>
      <w:r w:rsidR="00FD09AE">
        <w:rPr>
          <w:rStyle w:val="authors"/>
        </w:rPr>
        <w:t xml:space="preserve"> K.</w:t>
      </w:r>
      <w:r w:rsidR="0069220C">
        <w:rPr>
          <w:rStyle w:val="authors"/>
        </w:rPr>
        <w:t xml:space="preserve"> </w:t>
      </w:r>
      <w:r w:rsidR="00FD09AE">
        <w:rPr>
          <w:rStyle w:val="authors"/>
        </w:rPr>
        <w:t>L.,</w:t>
      </w:r>
      <w:r>
        <w:rPr>
          <w:rStyle w:val="authors"/>
        </w:rPr>
        <w:t xml:space="preserve"> Little</w:t>
      </w:r>
      <w:r w:rsidR="00FD09AE">
        <w:rPr>
          <w:rStyle w:val="authors"/>
        </w:rPr>
        <w:t>, R.</w:t>
      </w:r>
      <w:r w:rsidR="0069220C">
        <w:rPr>
          <w:rStyle w:val="authors"/>
        </w:rPr>
        <w:t xml:space="preserve"> </w:t>
      </w:r>
      <w:r w:rsidR="00FD09AE">
        <w:rPr>
          <w:rStyle w:val="authors"/>
        </w:rPr>
        <w:t>J.</w:t>
      </w:r>
      <w:r w:rsidR="0069220C">
        <w:rPr>
          <w:rStyle w:val="authors"/>
        </w:rPr>
        <w:t xml:space="preserve"> </w:t>
      </w:r>
      <w:r w:rsidR="00FD09AE">
        <w:rPr>
          <w:rStyle w:val="authors"/>
        </w:rPr>
        <w:t>A,</w:t>
      </w:r>
      <w:r>
        <w:rPr>
          <w:rStyle w:val="authors"/>
        </w:rPr>
        <w:t xml:space="preserve"> </w:t>
      </w:r>
      <w:r w:rsidR="00FD09AE">
        <w:rPr>
          <w:rStyle w:val="authors"/>
        </w:rPr>
        <w:t>and</w:t>
      </w:r>
      <w:r>
        <w:rPr>
          <w:rStyle w:val="authors"/>
        </w:rPr>
        <w:t xml:space="preserve"> J</w:t>
      </w:r>
      <w:r w:rsidR="00FD09AE">
        <w:rPr>
          <w:rStyle w:val="authors"/>
        </w:rPr>
        <w:t>.</w:t>
      </w:r>
      <w:r w:rsidR="0069220C">
        <w:rPr>
          <w:rStyle w:val="authors"/>
        </w:rPr>
        <w:t xml:space="preserve"> </w:t>
      </w:r>
      <w:r>
        <w:rPr>
          <w:rStyle w:val="authors"/>
        </w:rPr>
        <w:t>M.</w:t>
      </w:r>
      <w:r w:rsidR="0069220C">
        <w:rPr>
          <w:rStyle w:val="authors"/>
        </w:rPr>
        <w:t xml:space="preserve"> </w:t>
      </w:r>
      <w:r>
        <w:rPr>
          <w:rStyle w:val="authors"/>
        </w:rPr>
        <w:t>G. Taylor</w:t>
      </w:r>
      <w:r>
        <w:t xml:space="preserve"> </w:t>
      </w:r>
      <w:r>
        <w:rPr>
          <w:rStyle w:val="Date1"/>
        </w:rPr>
        <w:t>(1989)</w:t>
      </w:r>
      <w:r w:rsidR="005732AE">
        <w:rPr>
          <w:rStyle w:val="Date1"/>
        </w:rPr>
        <w:t>.</w:t>
      </w:r>
      <w:r>
        <w:t xml:space="preserve"> </w:t>
      </w:r>
      <w:r>
        <w:rPr>
          <w:rStyle w:val="arttitle"/>
        </w:rPr>
        <w:t xml:space="preserve">Robust Statistical Modeling Using the </w:t>
      </w:r>
      <w:r>
        <w:rPr>
          <w:rStyle w:val="arttitle"/>
          <w:i/>
          <w:iCs/>
        </w:rPr>
        <w:t>t</w:t>
      </w:r>
      <w:r>
        <w:rPr>
          <w:rStyle w:val="arttitle"/>
        </w:rPr>
        <w:t xml:space="preserve"> Distribution</w:t>
      </w:r>
      <w:r w:rsidR="000C26F4">
        <w:rPr>
          <w:rStyle w:val="arttitle"/>
        </w:rPr>
        <w:t>.</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DOI:</w:t>
      </w:r>
      <w:r w:rsidR="002C1EB0" w:rsidRPr="002C1EB0">
        <w:t>10.2307/2290063</w:t>
      </w:r>
    </w:p>
    <w:p w14:paraId="39B12128" w14:textId="4009D071" w:rsidR="006F38C3" w:rsidRDefault="006F38C3" w:rsidP="002F18BD">
      <w:pPr>
        <w:spacing w:line="480" w:lineRule="auto"/>
      </w:pPr>
      <w:r w:rsidRPr="006F38C3">
        <w:lastRenderedPageBreak/>
        <w:t>Knape, J. (2016). Decomposing trends in Swedish bird populations using generalized additive mixed models. Journal of Applied Ecology, 53, 1852–1861.</w:t>
      </w:r>
      <w:r w:rsidR="00520C46">
        <w:t xml:space="preserve"> doi:</w:t>
      </w:r>
      <w:r w:rsidR="00520C46" w:rsidRPr="00520C46">
        <w:t xml:space="preserve"> 10.1111/1365-2664.12720</w:t>
      </w:r>
    </w:p>
    <w:p w14:paraId="538E4C27" w14:textId="408E93B7" w:rsidR="00B750D4" w:rsidRDefault="00B750D4" w:rsidP="002F18BD">
      <w:pPr>
        <w:spacing w:line="480" w:lineRule="auto"/>
      </w:pPr>
      <w:r>
        <w:t xml:space="preserve">Link, W., &amp; Sauer, J. (2007). Seasonal Components of Avian Population Change: Joint Analysis of Two Large-Scale Monitoring Programs. </w:t>
      </w:r>
      <w:r>
        <w:rPr>
          <w:i/>
          <w:iCs/>
        </w:rPr>
        <w:t>Ecology,</w:t>
      </w:r>
      <w:r>
        <w:t xml:space="preserve"> </w:t>
      </w:r>
      <w:r>
        <w:rPr>
          <w:i/>
          <w:iCs/>
        </w:rPr>
        <w:t>88</w:t>
      </w:r>
      <w:r>
        <w:t>(1), 49-55.</w:t>
      </w:r>
    </w:p>
    <w:p w14:paraId="793BB393" w14:textId="1B865643" w:rsidR="00727F91" w:rsidRDefault="00727F91" w:rsidP="002F18BD">
      <w:pPr>
        <w:spacing w:line="480" w:lineRule="auto"/>
      </w:pPr>
      <w:r>
        <w:t>Link, W. A. and J. R. Sauer (2016). Bayesian cross-validation for model evaluation and selection, with application to the North American Breeding Bird Survey. Ecology 97:1746–1758.</w:t>
      </w:r>
      <w:r w:rsidR="00C37086">
        <w:t xml:space="preserve"> doi:</w:t>
      </w:r>
      <w:r w:rsidR="00C37086" w:rsidRPr="00C37086">
        <w:t xml:space="preserve"> 10.1890/15-1286.1</w:t>
      </w:r>
    </w:p>
    <w:p w14:paraId="36212B92" w14:textId="6054AEE7" w:rsidR="001A6280" w:rsidRDefault="001A6280" w:rsidP="002F18BD">
      <w:pPr>
        <w:spacing w:line="480" w:lineRule="auto"/>
      </w:pPr>
      <w:r>
        <w:t>Link, W.A., J.R. Sauer, and D.K. Niven. (2017). Model selection for the North American Breeding Bird Survey: A comparison of methods. Condor 119(3):546–556.</w:t>
      </w:r>
      <w:r w:rsidR="00C91AAC">
        <w:t xml:space="preserve"> doi:</w:t>
      </w:r>
      <w:r w:rsidR="00C91AAC" w:rsidRPr="00C91AAC">
        <w:t xml:space="preserve"> 10.1650/CONDOR-17-1.1</w:t>
      </w:r>
    </w:p>
    <w:p w14:paraId="6D8AA432" w14:textId="23D72340" w:rsidR="00446B0D" w:rsidRDefault="00446B0D" w:rsidP="002F18BD">
      <w:pPr>
        <w:spacing w:line="480" w:lineRule="auto"/>
      </w:pPr>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2F18BD">
      <w:pPr>
        <w:spacing w:line="480" w:lineRule="auto"/>
        <w:rPr>
          <w:rStyle w:val="self-citation-authors"/>
        </w:rPr>
      </w:pPr>
      <w:r w:rsidRPr="00B86AB3">
        <w:rPr>
          <w:rStyle w:val="self-citation-authors"/>
        </w:rPr>
        <w:t xml:space="preserve">Microsoft and Steve Weston (2019). foreach: Provides Foreach Looping Construct. R package version 1.4.7. </w:t>
      </w:r>
      <w:hyperlink r:id="rId13" w:history="1">
        <w:r w:rsidRPr="009A4418">
          <w:rPr>
            <w:rStyle w:val="Hyperlink"/>
          </w:rPr>
          <w:t>https://CRAN.R-project.org/package=foreach</w:t>
        </w:r>
      </w:hyperlink>
    </w:p>
    <w:p w14:paraId="63F69790" w14:textId="17EEAFAD" w:rsidR="002B3413" w:rsidRDefault="002B3413" w:rsidP="002F18BD">
      <w:pPr>
        <w:spacing w:line="480" w:lineRule="auto"/>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4" w:history="1">
        <w:r w:rsidRPr="005D3B0A">
          <w:rPr>
            <w:rStyle w:val="Hyperlink"/>
          </w:rPr>
          <w:t>www.stateofcanadasbirds.org</w:t>
        </w:r>
      </w:hyperlink>
    </w:p>
    <w:p w14:paraId="116C9310" w14:textId="31DFC158" w:rsidR="00E643FF" w:rsidRDefault="00E643FF" w:rsidP="002F18BD">
      <w:pPr>
        <w:spacing w:line="480" w:lineRule="auto"/>
        <w:rPr>
          <w:rStyle w:val="self-citation-authors"/>
        </w:rPr>
      </w:pPr>
      <w:r w:rsidRPr="00E643FF">
        <w:rPr>
          <w:rStyle w:val="self-citation-authors"/>
        </w:rPr>
        <w:t xml:space="preserve">Partners in Flight. </w:t>
      </w:r>
      <w:r w:rsidR="00934185">
        <w:rPr>
          <w:rStyle w:val="self-citation-authors"/>
        </w:rPr>
        <w:t>(</w:t>
      </w:r>
      <w:r w:rsidRPr="00E643FF">
        <w:rPr>
          <w:rStyle w:val="self-citation-authors"/>
        </w:rPr>
        <w:t>2019</w:t>
      </w:r>
      <w:r w:rsidR="00934185">
        <w:rPr>
          <w:rStyle w:val="self-citation-authors"/>
        </w:rPr>
        <w:t>)</w:t>
      </w:r>
      <w:r w:rsidRPr="00E643FF">
        <w:rPr>
          <w:rStyle w:val="self-citation-authors"/>
        </w:rPr>
        <w:t xml:space="preserve">. Avian Conservation Assessment Database, version 2019. Available at </w:t>
      </w:r>
      <w:hyperlink r:id="rId15" w:history="1">
        <w:r w:rsidRPr="005230FE">
          <w:rPr>
            <w:rStyle w:val="Hyperlink"/>
          </w:rPr>
          <w:t>http://pif.birdconservancy.org/ACAD</w:t>
        </w:r>
      </w:hyperlink>
    </w:p>
    <w:p w14:paraId="43ADFA5C" w14:textId="13529E5C" w:rsidR="00B86AB3" w:rsidRDefault="00D3609B" w:rsidP="002F18BD">
      <w:pPr>
        <w:spacing w:line="480" w:lineRule="auto"/>
        <w:rPr>
          <w:rStyle w:val="self-citation-authors"/>
        </w:rPr>
      </w:pPr>
      <w:r>
        <w:rPr>
          <w:rStyle w:val="self-citation-authors"/>
        </w:rPr>
        <w:t xml:space="preserve">Plummer, Martyn. </w:t>
      </w:r>
      <w:r w:rsidR="005213C8">
        <w:rPr>
          <w:rStyle w:val="self-citation-authors"/>
        </w:rPr>
        <w:t>(</w:t>
      </w:r>
      <w:r>
        <w:rPr>
          <w:rStyle w:val="self-citation-authors"/>
        </w:rPr>
        <w:t>2003</w:t>
      </w:r>
      <w:r w:rsidR="005213C8">
        <w:rPr>
          <w:rStyle w:val="self-citation-authors"/>
        </w:rPr>
        <w:t>)</w:t>
      </w:r>
      <w:r>
        <w:rPr>
          <w:rStyle w:val="self-citation-authors"/>
        </w:rPr>
        <w:t xml:space="preserve">. </w:t>
      </w:r>
      <w:r w:rsidRPr="00D3609B">
        <w:rPr>
          <w:rStyle w:val="self-citation-authors"/>
        </w:rPr>
        <w:t>JAGS: A program for analysis of Bayesian graphical mo</w:t>
      </w:r>
      <w:r>
        <w:rPr>
          <w:rStyle w:val="self-citation-authors"/>
        </w:rPr>
        <w:t xml:space="preserve">dels using Gibbs sampling. </w:t>
      </w:r>
    </w:p>
    <w:p w14:paraId="4DC51B9C" w14:textId="3132B66C" w:rsidR="00A27182" w:rsidRDefault="00A27182" w:rsidP="002F18BD">
      <w:pPr>
        <w:spacing w:line="480" w:lineRule="auto"/>
      </w:pPr>
      <w:r w:rsidRPr="00A27182">
        <w:t xml:space="preserve">Pedersen EJ, Miller DL, Simpson GL, Ross N. </w:t>
      </w:r>
      <w:r w:rsidR="005213C8">
        <w:t>(</w:t>
      </w:r>
      <w:r w:rsidRPr="00A27182">
        <w:t>2019</w:t>
      </w:r>
      <w:r w:rsidR="005213C8">
        <w:t>)</w:t>
      </w:r>
      <w:r w:rsidRPr="00A27182">
        <w:t>. Hierarchical generalized additive models in ecology: an introduction with mgcv. PeerJ 7:e6876</w:t>
      </w:r>
      <w:r w:rsidR="00E83CC7">
        <w:t>.</w:t>
      </w:r>
      <w:r w:rsidRPr="00A27182">
        <w:t xml:space="preserve"> </w:t>
      </w:r>
      <w:r w:rsidR="00A72B19" w:rsidRPr="00E83CC7">
        <w:t>doi</w:t>
      </w:r>
      <w:r w:rsidR="00E83CC7" w:rsidRPr="00E83CC7">
        <w:t xml:space="preserve">: </w:t>
      </w:r>
      <w:r w:rsidR="00A72B19" w:rsidRPr="00E83CC7">
        <w:t>10.7717/peerj.6876</w:t>
      </w:r>
      <w:r w:rsidR="00A72B19">
        <w:t xml:space="preserve"> </w:t>
      </w:r>
      <w:r w:rsidRPr="00A27182">
        <w:t xml:space="preserve"> </w:t>
      </w:r>
    </w:p>
    <w:p w14:paraId="4FFE617D" w14:textId="557FCF09" w:rsidR="00B86AB3" w:rsidRDefault="00B86AB3" w:rsidP="002F18BD">
      <w:pPr>
        <w:spacing w:line="480" w:lineRule="auto"/>
      </w:pPr>
      <w:r>
        <w:lastRenderedPageBreak/>
        <w:t xml:space="preserve">R Core Team (2019). R: A language and environment for statistical computing. R  Foundation for Statistical Computing, Vienna, Austria. URL  </w:t>
      </w:r>
      <w:hyperlink r:id="rId16" w:history="1">
        <w:r w:rsidR="00366FDE" w:rsidRPr="00BF7934">
          <w:rPr>
            <w:rStyle w:val="Hyperlink"/>
          </w:rPr>
          <w:t>https://www.R-project.org/</w:t>
        </w:r>
      </w:hyperlink>
      <w:r>
        <w:t>.</w:t>
      </w:r>
    </w:p>
    <w:p w14:paraId="10FD5BF9" w14:textId="47226BB5" w:rsidR="00951E0B" w:rsidRDefault="00E96FC6" w:rsidP="002F18BD">
      <w:pPr>
        <w:spacing w:line="480" w:lineRule="auto"/>
      </w:pPr>
      <w:r w:rsidRPr="00E96FC6">
        <w:t xml:space="preserve">Roberts, D. R., V. Bahn, S. Ciuti, M. S. Boyce, J. Elith, G. Guillera-Arroita, S. Hauenstein, J. J. Lahoz-Monfort, B. Schroder, W. Thuiller, D. I. Warton, B. A. Wintle, F. Hartig, and C. F. Dormann. </w:t>
      </w:r>
      <w:r w:rsidR="005213C8">
        <w:t>(</w:t>
      </w:r>
      <w:r w:rsidRPr="00E96FC6">
        <w:t>2017</w:t>
      </w:r>
      <w:r w:rsidR="005213C8">
        <w:t>)</w:t>
      </w:r>
      <w:r w:rsidRPr="00E96FC6">
        <w:t>. Cross-validation strategies for data with temporal, spatial, hierarchical or phylogenetic structure. - Ecography doi: 10.1111/ecog.02881.</w:t>
      </w:r>
    </w:p>
    <w:p w14:paraId="0E8AD826" w14:textId="2A4BAB25" w:rsidR="00F42CDE" w:rsidRDefault="00F42CDE" w:rsidP="002F18BD">
      <w:pPr>
        <w:spacing w:line="480" w:lineRule="auto"/>
      </w:pPr>
      <w:r>
        <w:t>Robbins, C. S., D. Bystrak, and P. H. Geissler (1986). The Breeding Bird Survey: Its first fifteen years, 1965–1979. U.S. Fish and Wildlife Service Resource Publication 157. </w:t>
      </w:r>
    </w:p>
    <w:p w14:paraId="6823A429" w14:textId="1523DEC1" w:rsidR="004F6FB5" w:rsidRDefault="004F6FB5" w:rsidP="002F18BD">
      <w:pPr>
        <w:spacing w:line="480" w:lineRule="auto"/>
      </w:pPr>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r w:rsidR="00375D0A">
        <w:t xml:space="preserve"> doi:</w:t>
      </w:r>
      <w:r w:rsidR="00375D0A" w:rsidRPr="00375D0A">
        <w:t xml:space="preserve"> 10.1650/CONDOR-17-57.1</w:t>
      </w:r>
    </w:p>
    <w:p w14:paraId="73286719" w14:textId="678B9AB5" w:rsidR="00A96BC9" w:rsidRDefault="00A96BC9" w:rsidP="002F18BD">
      <w:pPr>
        <w:spacing w:line="480" w:lineRule="auto"/>
      </w:pPr>
      <w:r w:rsidRPr="00A96BC9">
        <w:t xml:space="preserve">Rosenberg, K. V., Dokter, A. M., Blancher, P. J., Sauer, J. R., Smith, A. C., Smith, P. A., </w:t>
      </w:r>
      <w:r w:rsidR="001F6412" w:rsidRPr="001F6412">
        <w:t>Stanton</w:t>
      </w:r>
      <w:r w:rsidR="001F6412">
        <w:t>, J.C.</w:t>
      </w:r>
      <w:r w:rsidR="001F6412" w:rsidRPr="001F6412">
        <w:t>, Panjabi</w:t>
      </w:r>
      <w:r w:rsidR="001F6412">
        <w:t>, A.,</w:t>
      </w:r>
      <w:r w:rsidR="001F6412" w:rsidRPr="001F6412">
        <w:t xml:space="preserve"> Helft</w:t>
      </w:r>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r w:rsidR="000E1B11">
        <w:t xml:space="preserve">. doi: </w:t>
      </w:r>
      <w:r w:rsidR="000E1B11" w:rsidRPr="000E1B11">
        <w:t>10.1126/science.aaw1313</w:t>
      </w:r>
    </w:p>
    <w:p w14:paraId="7CCE48F9" w14:textId="164A1FBB" w:rsidR="00727F91" w:rsidRDefault="00727F91" w:rsidP="002F18BD">
      <w:pPr>
        <w:spacing w:line="480" w:lineRule="auto"/>
      </w:pPr>
      <w:r>
        <w:t xml:space="preserve">Sauer, J. R., and W. A. Link. </w:t>
      </w:r>
      <w:r w:rsidR="00E25E4C">
        <w:t>(</w:t>
      </w:r>
      <w:r>
        <w:t>2011</w:t>
      </w:r>
      <w:r w:rsidR="00E25E4C">
        <w:t>)</w:t>
      </w:r>
      <w:r>
        <w:t>. Analysis of the North American Breeding Bird Survey using hierarchical models. The Auk 128:87–98.</w:t>
      </w:r>
      <w:r w:rsidR="00290865">
        <w:t xml:space="preserve"> doi:</w:t>
      </w:r>
      <w:r w:rsidR="00290865" w:rsidRPr="00290865">
        <w:t xml:space="preserve"> 10.1525/auk.2010.09220</w:t>
      </w:r>
    </w:p>
    <w:p w14:paraId="0AAAB6BF" w14:textId="71257025" w:rsidR="009D59F9" w:rsidRDefault="009D59F9" w:rsidP="002F18BD">
      <w:pPr>
        <w:spacing w:line="480" w:lineRule="auto"/>
      </w:pPr>
      <w:r>
        <w:t xml:space="preserve">Sauer, J.R., J.E. Hines, J.E. Fallon, K.L. Pardieck, D.J. Ziolkowski Jr., and W.A. Link. </w:t>
      </w:r>
      <w:r w:rsidR="00E25E4C">
        <w:t>(</w:t>
      </w:r>
      <w:r>
        <w:t>2014</w:t>
      </w:r>
      <w:r w:rsidR="00E25E4C">
        <w:t>)</w:t>
      </w:r>
      <w:r>
        <w:t>. The North American Breeding Bird Survey, Results and Analysis 1966 – 2013. Version 01.30.2015 USGS Patuxent Wildlife Research Center, Laurel, MD.</w:t>
      </w:r>
    </w:p>
    <w:p w14:paraId="10D263FB" w14:textId="07397638" w:rsidR="00727F91" w:rsidRDefault="00727F91" w:rsidP="002F18BD">
      <w:pPr>
        <w:spacing w:line="480" w:lineRule="auto"/>
      </w:pPr>
      <w:r>
        <w:t>Smith A.C., M.-A.R. Hudson, C. Downes, and C.M. Francis (2014). Estimating breeding bird survey trends and annual indices for Canada: how do the new hierarchical Bayesian estimates differ from previous estimates. Canadian Field-Naturalist 128:119-134.</w:t>
      </w:r>
      <w:r w:rsidR="004B05C2">
        <w:t xml:space="preserve"> doi:</w:t>
      </w:r>
      <w:r w:rsidR="004B05C2" w:rsidRPr="004B05C2">
        <w:t xml:space="preserve"> 10.22621/cfn.v128i2.1565</w:t>
      </w:r>
    </w:p>
    <w:p w14:paraId="521176D3" w14:textId="226E91D4" w:rsidR="00D3609B" w:rsidRDefault="00727F91" w:rsidP="002F18BD">
      <w:pPr>
        <w:spacing w:line="480" w:lineRule="auto"/>
      </w:pPr>
      <w:r>
        <w:lastRenderedPageBreak/>
        <w:t>Smith, A. C., M.-A.R. Hudson, C. Downes, and C.M. Francis (2015). Change points in the population trends of aerial-insectivorous birds in North America: synchronized in time across species and regions. PLoS One 10:e0130768.</w:t>
      </w:r>
      <w:r w:rsidR="006B41FE">
        <w:t xml:space="preserve"> doi:</w:t>
      </w:r>
      <w:r w:rsidR="006B41FE" w:rsidRPr="006B41FE">
        <w:t xml:space="preserve"> 10.1371/journal.pone.0130768</w:t>
      </w:r>
    </w:p>
    <w:p w14:paraId="57D890FA" w14:textId="6EC2D713" w:rsidR="00727F91" w:rsidRDefault="00727F91" w:rsidP="002F18BD">
      <w:pPr>
        <w:spacing w:line="480" w:lineRule="auto"/>
      </w:pPr>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2F18BD">
      <w:pPr>
        <w:spacing w:line="480" w:lineRule="auto"/>
      </w:pPr>
      <w:r>
        <w:t xml:space="preserve">Vehtari, A., Gelman, A., and Gabry, J. (2017). Practical Bayesian model evaluation using leave-one-out cross-validation and WAIC. </w:t>
      </w:r>
      <w:r>
        <w:rPr>
          <w:rStyle w:val="Emphasis"/>
        </w:rPr>
        <w:t>Statistics and Computing</w:t>
      </w:r>
      <w:r>
        <w:t>. 27(5), 1413--1432. doi:10.1007/s11222-016-9696-4.</w:t>
      </w:r>
    </w:p>
    <w:p w14:paraId="163EC1F3" w14:textId="6BB206DF" w:rsidR="006F38C3" w:rsidRDefault="006F38C3" w:rsidP="002F18BD">
      <w:pPr>
        <w:spacing w:line="480" w:lineRule="auto"/>
      </w:pPr>
      <w:r>
        <w:t>Wickham, H.</w:t>
      </w:r>
      <w:r w:rsidR="001B24F2">
        <w:t xml:space="preserve"> (2016).</w:t>
      </w:r>
      <w:r>
        <w:t xml:space="preserve"> ggplot2: Elegant Graphics for Data Analysis. Springer-Verlag New York</w:t>
      </w:r>
    </w:p>
    <w:p w14:paraId="4CA3D396" w14:textId="166934BF" w:rsidR="006831CD" w:rsidRDefault="006831CD" w:rsidP="002F18BD">
      <w:pPr>
        <w:spacing w:line="480" w:lineRule="auto"/>
      </w:pPr>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r w:rsidR="00ED2BFE">
        <w:t xml:space="preserve"> doi:</w:t>
      </w:r>
      <w:r w:rsidR="00ED2BFE" w:rsidRPr="00ED2BFE">
        <w:t xml:space="preserve"> 10.1111/ddi.12811</w:t>
      </w:r>
    </w:p>
    <w:p w14:paraId="57F4534E" w14:textId="5CE38D2A" w:rsidR="000B0EE0" w:rsidRDefault="00A056D5" w:rsidP="002F18BD">
      <w:pPr>
        <w:spacing w:line="480" w:lineRule="auto"/>
      </w:pPr>
      <w:r>
        <w:t xml:space="preserve">Wood, S. N. </w:t>
      </w:r>
      <w:r w:rsidR="001B24F2">
        <w:t xml:space="preserve">(2017). </w:t>
      </w:r>
      <w:r>
        <w:t>Generalized additive models: an introduction with R; 2</w:t>
      </w:r>
      <w:r w:rsidRPr="00A056D5">
        <w:rPr>
          <w:vertAlign w:val="superscript"/>
        </w:rPr>
        <w:t>nd</w:t>
      </w:r>
      <w:r>
        <w:t xml:space="preserve"> ed. CRC Press. Portland, OR, 2017</w:t>
      </w:r>
    </w:p>
    <w:p w14:paraId="62BE163A" w14:textId="740F1FBC" w:rsidR="006F5CF8" w:rsidRDefault="006F5CF8">
      <w:r>
        <w:br w:type="page"/>
      </w:r>
    </w:p>
    <w:p w14:paraId="00339B66" w14:textId="3D032C94" w:rsidR="00EA7765" w:rsidRDefault="00E0666E" w:rsidP="00BB2146">
      <w:pPr>
        <w:pStyle w:val="Heading1"/>
        <w:spacing w:line="480" w:lineRule="auto"/>
      </w:pPr>
      <w:r>
        <w:lastRenderedPageBreak/>
        <w:t>Figure</w:t>
      </w:r>
      <w:r w:rsidR="00BB2146">
        <w:t>s</w:t>
      </w:r>
    </w:p>
    <w:p w14:paraId="3DD2004F" w14:textId="47851D5E" w:rsidR="00516FC2" w:rsidRPr="00516FC2" w:rsidRDefault="00516FC2" w:rsidP="00516FC2"/>
    <w:p w14:paraId="14F00912" w14:textId="786CCAC9" w:rsidR="00FE6815" w:rsidRDefault="00855AFF" w:rsidP="002F18BD">
      <w:pPr>
        <w:spacing w:line="480" w:lineRule="auto"/>
        <w:rPr>
          <w:rStyle w:val="lrzxr"/>
        </w:rPr>
      </w:pPr>
      <w:r>
        <w:t>Figure 1. Survey-wide population trajectories for Barn Swallow (</w:t>
      </w:r>
      <w:r w:rsidRPr="00922F1F">
        <w:rPr>
          <w:rStyle w:val="lrzxr"/>
          <w:i/>
        </w:rPr>
        <w:t>Hirundo rustica</w:t>
      </w:r>
      <w:r w:rsidR="0032218E">
        <w:rPr>
          <w:rStyle w:val="lrzxr"/>
        </w:rPr>
        <w:t>) estimated from the BBS</w:t>
      </w:r>
      <w:r>
        <w:rPr>
          <w:rStyle w:val="lrzxr"/>
        </w:rPr>
        <w:t xml:space="preserve"> using two models described here that include a GAM smoothing function to model change over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00AC7BC2" w14:textId="77777777" w:rsidR="00FE6815" w:rsidRDefault="00FE6815">
      <w:pPr>
        <w:rPr>
          <w:rStyle w:val="lrzxr"/>
        </w:rPr>
      </w:pPr>
      <w:r>
        <w:rPr>
          <w:rStyle w:val="lrzxr"/>
        </w:rPr>
        <w:br w:type="page"/>
      </w:r>
    </w:p>
    <w:p w14:paraId="304C412B" w14:textId="41D63BC7" w:rsidR="006D4865" w:rsidRDefault="00FE6815" w:rsidP="002F18BD">
      <w:pPr>
        <w:spacing w:line="480" w:lineRule="auto"/>
        <w:rPr>
          <w:rStyle w:val="lrzxr"/>
        </w:rPr>
      </w:pPr>
      <w:r>
        <w:rPr>
          <w:noProof/>
          <w:lang w:val="en-CA" w:eastAsia="en-CA"/>
        </w:rPr>
        <w:lastRenderedPageBreak/>
        <w:drawing>
          <wp:inline distT="0" distB="0" distL="0" distR="0" wp14:anchorId="52C01895" wp14:editId="4B2800CD">
            <wp:extent cx="5943600" cy="4754880"/>
            <wp:effectExtent l="0" t="0" r="0" b="762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BB06E65" w14:textId="2A8DD065" w:rsidR="00DB6BDB" w:rsidRDefault="006D4865" w:rsidP="002F18BD">
      <w:pPr>
        <w:spacing w:line="480" w:lineRule="auto"/>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1D80747B" w14:textId="77777777" w:rsidR="00DB6BDB" w:rsidRDefault="00DB6BDB">
      <w:pPr>
        <w:rPr>
          <w:rStyle w:val="lrzxr"/>
        </w:rPr>
      </w:pPr>
      <w:r>
        <w:rPr>
          <w:rStyle w:val="lrzxr"/>
        </w:rPr>
        <w:br w:type="page"/>
      </w:r>
    </w:p>
    <w:p w14:paraId="495705FE" w14:textId="2665E247" w:rsidR="00EE2295" w:rsidRDefault="00EE2295" w:rsidP="002F18BD">
      <w:pPr>
        <w:spacing w:line="480" w:lineRule="auto"/>
        <w:rPr>
          <w:rStyle w:val="lrzxr"/>
        </w:rPr>
      </w:pPr>
    </w:p>
    <w:p w14:paraId="6162454F" w14:textId="6C2432AD" w:rsidR="000D46AD" w:rsidRDefault="00EE2295" w:rsidP="007B1E01">
      <w:pPr>
        <w:spacing w:line="480" w:lineRule="auto"/>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06550731" w14:textId="31139A52" w:rsidR="008830F7" w:rsidRDefault="008830F7" w:rsidP="002F18BD">
      <w:pPr>
        <w:spacing w:line="480" w:lineRule="auto"/>
        <w:rPr>
          <w:rStyle w:val="lrzxr"/>
        </w:rPr>
      </w:pPr>
    </w:p>
    <w:p w14:paraId="51399DCB" w14:textId="000647A9" w:rsidR="000D46AD" w:rsidRDefault="004A3023" w:rsidP="002F18BD">
      <w:pPr>
        <w:spacing w:line="480" w:lineRule="auto"/>
        <w:rPr>
          <w:rStyle w:val="lrzxr"/>
        </w:rPr>
      </w:pPr>
      <w:r>
        <w:rPr>
          <w:rStyle w:val="lrzxr"/>
        </w:rPr>
        <w:t>Figure 4. Overall differences in</w:t>
      </w:r>
      <w:r w:rsidRPr="004A3023">
        <w:rPr>
          <w:rStyle w:val="lrzxr"/>
        </w:rPr>
        <w:t xml:space="preserve"> </w:t>
      </w:r>
      <w:r>
        <w:rPr>
          <w:rStyle w:val="lrzxr"/>
        </w:rPr>
        <w:t xml:space="preserve">predictive fit between the GAMYE and </w:t>
      </w:r>
      <w:r w:rsidR="00E37187">
        <w:rPr>
          <w:rStyle w:val="lrzxr"/>
        </w:rPr>
        <w:t xml:space="preserve">SLOPE and GAMYE and </w:t>
      </w:r>
      <w:r>
        <w:rPr>
          <w:rStyle w:val="lrzxr"/>
        </w:rPr>
        <w:t xml:space="preserve">GAM for Barn Swallow and </w:t>
      </w:r>
      <w:r w:rsidR="00994032">
        <w:rPr>
          <w:rStyle w:val="lrzxr"/>
        </w:rPr>
        <w:t xml:space="preserve">9 </w:t>
      </w:r>
      <w:r w:rsidR="005D50AD">
        <w:rPr>
          <w:rStyle w:val="lrzxr"/>
        </w:rPr>
        <w:t>other selected species. Species short forms are WOTH = Wood Thrush (</w:t>
      </w:r>
      <w:r w:rsidR="005D50AD" w:rsidRPr="00360F4A">
        <w:rPr>
          <w:i/>
        </w:rPr>
        <w:t>Hylocichla mustelina</w:t>
      </w:r>
      <w:r w:rsidR="005D50AD">
        <w:rPr>
          <w:rStyle w:val="lrzxr"/>
        </w:rPr>
        <w:t>), RTHU = Ruby-throated Hummingbird (</w:t>
      </w:r>
      <w:r w:rsidR="005D50AD" w:rsidRPr="005D50AD">
        <w:rPr>
          <w:rStyle w:val="lrzxr"/>
          <w:i/>
        </w:rPr>
        <w:t>Archilochus colubris</w:t>
      </w:r>
      <w:r w:rsidR="005D50AD">
        <w:rPr>
          <w:rStyle w:val="lrzxr"/>
        </w:rPr>
        <w:t>), PISI = Pine Siskin (</w:t>
      </w:r>
      <w:r w:rsidR="005D50AD" w:rsidRPr="005D50AD">
        <w:rPr>
          <w:i/>
        </w:rPr>
        <w:t>Spinus pinus</w:t>
      </w:r>
      <w:r w:rsidR="005D50AD">
        <w:rPr>
          <w:rStyle w:val="lrzxr"/>
        </w:rPr>
        <w:t xml:space="preserve">), </w:t>
      </w:r>
      <w:r w:rsidR="0008429E">
        <w:rPr>
          <w:rStyle w:val="lrzxr"/>
        </w:rPr>
        <w:t>Cooper’s Hawk (</w:t>
      </w:r>
      <w:r w:rsidR="0008429E" w:rsidRPr="0008429E">
        <w:rPr>
          <w:i/>
        </w:rPr>
        <w:t>Accipiter cooperii</w:t>
      </w:r>
      <w:r w:rsidR="0008429E">
        <w:rPr>
          <w:rStyle w:val="lrzxr"/>
        </w:rPr>
        <w:t xml:space="preserve">), </w:t>
      </w:r>
      <w:r w:rsidR="005D50AD">
        <w:rPr>
          <w:rStyle w:val="lrzxr"/>
        </w:rPr>
        <w:t>CHSW = Chimney Swift (</w:t>
      </w:r>
      <w:r w:rsidR="005D50AD" w:rsidRPr="005D50AD">
        <w:rPr>
          <w:i/>
        </w:rPr>
        <w:t>Chaetura pelagica</w:t>
      </w:r>
      <w:r w:rsidR="005D50AD">
        <w:rPr>
          <w:rStyle w:val="lrzxr"/>
        </w:rPr>
        <w:t>), CCLO = Chestnut-collared Longspur (</w:t>
      </w:r>
      <w:r w:rsidR="005D50AD" w:rsidRPr="005D50AD">
        <w:rPr>
          <w:i/>
        </w:rPr>
        <w:t>Calcarius ornatus</w:t>
      </w:r>
      <w:r w:rsidR="005D50AD">
        <w:rPr>
          <w:rStyle w:val="lrzxr"/>
        </w:rPr>
        <w:t>), CAWR = Carolina Wren (</w:t>
      </w:r>
      <w:r w:rsidR="005D50AD" w:rsidRPr="005D50AD">
        <w:rPr>
          <w:i/>
        </w:rPr>
        <w:t>Thryothorus ludovicianus</w:t>
      </w:r>
      <w:r w:rsidR="005D50AD">
        <w:rPr>
          <w:rStyle w:val="lrzxr"/>
        </w:rPr>
        <w:t>), CAWA = Canada Warbler (</w:t>
      </w:r>
      <w:r w:rsidR="005D50AD" w:rsidRPr="005D50AD">
        <w:rPr>
          <w:i/>
        </w:rPr>
        <w:t>Cardellina canadensis</w:t>
      </w:r>
      <w:r w:rsidR="005D50AD">
        <w:rPr>
          <w:rStyle w:val="lrzxr"/>
        </w:rPr>
        <w:t>), MAKE = American Kestrel (</w:t>
      </w:r>
      <w:r w:rsidR="005D50AD" w:rsidRPr="005D50AD">
        <w:rPr>
          <w:i/>
        </w:rPr>
        <w:t>Falco sparverius</w:t>
      </w:r>
      <w:r w:rsidR="005D50AD">
        <w:rPr>
          <w:rStyle w:val="lrzxr"/>
        </w:rPr>
        <w:t>).</w:t>
      </w:r>
    </w:p>
    <w:p w14:paraId="3A134162" w14:textId="77777777" w:rsidR="000D46AD" w:rsidRDefault="000D46AD">
      <w:pPr>
        <w:rPr>
          <w:rStyle w:val="lrzxr"/>
        </w:rPr>
      </w:pPr>
      <w:r>
        <w:rPr>
          <w:rStyle w:val="lrzxr"/>
        </w:rPr>
        <w:br w:type="page"/>
      </w:r>
    </w:p>
    <w:p w14:paraId="5E691238" w14:textId="79D6B4D9" w:rsidR="004A3023" w:rsidRDefault="004A3023" w:rsidP="002F18BD">
      <w:pPr>
        <w:spacing w:line="480" w:lineRule="auto"/>
        <w:rPr>
          <w:rStyle w:val="lrzxr"/>
        </w:rPr>
      </w:pPr>
    </w:p>
    <w:p w14:paraId="2A3B74EC" w14:textId="0BF7E0C9" w:rsidR="000D46AD" w:rsidRDefault="008830F7" w:rsidP="002F18BD">
      <w:pPr>
        <w:spacing w:line="480" w:lineRule="auto"/>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 xml:space="preserve">urvey-wide population trajectory for </w:t>
      </w:r>
      <w:r w:rsidR="00322CFD">
        <w:rPr>
          <w:rStyle w:val="lrzxr"/>
        </w:rPr>
        <w:t>Carolina Wren</w:t>
      </w:r>
      <w:r>
        <w:rPr>
          <w:rStyle w:val="lrzxr"/>
        </w:rPr>
        <w:t xml:space="preserve"> </w:t>
      </w:r>
      <w:r w:rsidR="00322CFD">
        <w:rPr>
          <w:rStyle w:val="lrzxr"/>
        </w:rPr>
        <w:t>(</w:t>
      </w:r>
      <w:r w:rsidR="00322CFD" w:rsidRPr="005D50AD">
        <w:rPr>
          <w:i/>
        </w:rPr>
        <w:t>Thryothorus ludovicianus</w:t>
      </w:r>
      <w:r w:rsidR="00322CFD">
        <w:rPr>
          <w:rStyle w:val="lrzxr"/>
        </w:rPr>
        <w:t xml:space="preserve">), </w:t>
      </w:r>
      <w:r>
        <w:rPr>
          <w:rStyle w:val="lrzxr"/>
        </w:rPr>
        <w:t>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r w:rsidR="00322CFD" w:rsidRPr="00322CFD">
        <w:rPr>
          <w:rStyle w:val="lrzxr"/>
        </w:rPr>
        <w:t xml:space="preserve"> </w:t>
      </w:r>
      <w:r w:rsidR="00322CFD">
        <w:rPr>
          <w:rStyle w:val="lrzxr"/>
        </w:rPr>
        <w:t>The stacked dots along the x-axis indicate the approximate number of BBS counts used in the model; each dot represents 50 counts.</w:t>
      </w:r>
    </w:p>
    <w:p w14:paraId="32F68929" w14:textId="77777777" w:rsidR="006E630A" w:rsidRDefault="006E630A">
      <w:pPr>
        <w:rPr>
          <w:rStyle w:val="lrzxr"/>
        </w:rPr>
      </w:pPr>
      <w:r>
        <w:rPr>
          <w:rStyle w:val="lrzxr"/>
        </w:rPr>
        <w:br w:type="page"/>
      </w:r>
    </w:p>
    <w:p w14:paraId="392B24E6" w14:textId="781970C3" w:rsidR="000D46AD" w:rsidRDefault="006E630A" w:rsidP="006E630A">
      <w:pPr>
        <w:spacing w:line="480" w:lineRule="auto"/>
        <w:rPr>
          <w:rStyle w:val="lrzxr"/>
        </w:rPr>
      </w:pPr>
      <w:r>
        <w:rPr>
          <w:rStyle w:val="lrzxr"/>
        </w:rPr>
        <w:lastRenderedPageBreak/>
        <w:t>Figure 6. Interannual variability of 10-year trend estimates for two species with large annual fluctuations. Trends from the GAM, which does not model annual fluctuations, and from the GAMYE using only the smooth component, which removes the effect of the annual fluctuations, are less variable between subsequent years (i.e., more stable) than trends from the GAMYE including the</w:t>
      </w:r>
      <w:r w:rsidR="00B73AA7" w:rsidRPr="00B73AA7">
        <w:t xml:space="preserve"> </w:t>
      </w:r>
      <w:r w:rsidR="00B73AA7">
        <w:t>year-effects</w:t>
      </w:r>
      <w:r w:rsidR="00B73AA7">
        <w:rPr>
          <w:rStyle w:val="lrzxr"/>
        </w:rPr>
        <w:t xml:space="preserve"> </w:t>
      </w:r>
      <w:r>
        <w:rPr>
          <w:rStyle w:val="lrzxr"/>
        </w:rPr>
        <w:t xml:space="preserve">or the other two models that include the annual fluctuations. </w:t>
      </w:r>
      <w:r w:rsidR="000D46AD">
        <w:rPr>
          <w:rStyle w:val="lrzxr"/>
        </w:rPr>
        <w:br w:type="page"/>
      </w:r>
    </w:p>
    <w:p w14:paraId="73CC7DD2" w14:textId="429193B7" w:rsidR="008830F7" w:rsidRDefault="008830F7" w:rsidP="002F18BD">
      <w:pPr>
        <w:spacing w:line="480" w:lineRule="auto"/>
        <w:rPr>
          <w:rStyle w:val="lrzxr"/>
        </w:rPr>
      </w:pPr>
    </w:p>
    <w:p w14:paraId="255E7067" w14:textId="3F772FF3" w:rsidR="000D46AD" w:rsidRDefault="00A87415" w:rsidP="002F18BD">
      <w:pPr>
        <w:spacing w:line="480" w:lineRule="auto"/>
        <w:rPr>
          <w:rStyle w:val="lrzxr"/>
        </w:rPr>
      </w:pPr>
      <w:r>
        <w:rPr>
          <w:rStyle w:val="lrzxr"/>
        </w:rPr>
        <w:t xml:space="preserve">Figure </w:t>
      </w:r>
      <w:r w:rsidR="00994032">
        <w:rPr>
          <w:rStyle w:val="lrzxr"/>
        </w:rPr>
        <w:t>7</w:t>
      </w:r>
      <w:r>
        <w:rPr>
          <w:rStyle w:val="lrzxr"/>
        </w:rPr>
        <w:t>. Sequential, short-term trend estimates for Wood Thrush</w:t>
      </w:r>
      <w:r w:rsidR="00E0666E">
        <w:rPr>
          <w:rStyle w:val="lrzxr"/>
        </w:rPr>
        <w:t xml:space="preserve"> (</w:t>
      </w:r>
      <w:r w:rsidR="00E0666E" w:rsidRPr="00360F4A">
        <w:rPr>
          <w:i/>
        </w:rPr>
        <w:t>Hylocichla mustelina</w:t>
      </w:r>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0B5CA33" w14:textId="77777777" w:rsidR="000D46AD" w:rsidRDefault="000D46AD">
      <w:pPr>
        <w:rPr>
          <w:rStyle w:val="lrzxr"/>
        </w:rPr>
      </w:pPr>
      <w:r>
        <w:rPr>
          <w:rStyle w:val="lrzxr"/>
        </w:rPr>
        <w:br w:type="page"/>
      </w:r>
    </w:p>
    <w:p w14:paraId="2A86BAC8" w14:textId="27AB0C63" w:rsidR="00A87415" w:rsidRDefault="00A87415" w:rsidP="002F18BD">
      <w:pPr>
        <w:spacing w:line="480" w:lineRule="auto"/>
        <w:rPr>
          <w:rStyle w:val="lrzxr"/>
        </w:rPr>
      </w:pPr>
    </w:p>
    <w:p w14:paraId="726CFC58" w14:textId="5A7755DC" w:rsidR="002E2166" w:rsidRDefault="00777969" w:rsidP="002F18BD">
      <w:pPr>
        <w:spacing w:line="480" w:lineRule="auto"/>
        <w:rPr>
          <w:rStyle w:val="lrzxr"/>
        </w:rPr>
      </w:pPr>
      <w:r>
        <w:rPr>
          <w:rStyle w:val="lrzxr"/>
        </w:rPr>
        <w:t xml:space="preserve">Figure </w:t>
      </w:r>
      <w:r w:rsidR="00994032">
        <w:rPr>
          <w:rStyle w:val="lrzxr"/>
        </w:rPr>
        <w:t>8</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r w:rsidR="00322CFD">
        <w:rPr>
          <w:rStyle w:val="lrzxr"/>
        </w:rPr>
        <w:t>The stacked dots along the x-axis indicate the approximate number of BBS counts used in the model; each dot represents 50 counts.</w:t>
      </w:r>
    </w:p>
    <w:p w14:paraId="13EB7974" w14:textId="77777777" w:rsidR="002E2166" w:rsidRDefault="002E2166">
      <w:pPr>
        <w:rPr>
          <w:rStyle w:val="lrzxr"/>
        </w:rPr>
      </w:pPr>
      <w:r>
        <w:rPr>
          <w:rStyle w:val="lrzxr"/>
        </w:rPr>
        <w:br w:type="page"/>
      </w:r>
    </w:p>
    <w:p w14:paraId="40102FF2" w14:textId="4B1057DC" w:rsidR="00777969" w:rsidRDefault="00777969" w:rsidP="002F18BD">
      <w:pPr>
        <w:spacing w:line="480" w:lineRule="auto"/>
        <w:rPr>
          <w:rStyle w:val="lrzxr"/>
        </w:rPr>
      </w:pPr>
    </w:p>
    <w:p w14:paraId="254F7899" w14:textId="2F25C5B8" w:rsidR="002E2166" w:rsidRDefault="00777969" w:rsidP="002F18BD">
      <w:pPr>
        <w:spacing w:line="480" w:lineRule="auto"/>
        <w:rPr>
          <w:rStyle w:val="lrzxr"/>
        </w:rPr>
      </w:pPr>
      <w:r>
        <w:rPr>
          <w:rStyle w:val="lrzxr"/>
        </w:rPr>
        <w:t xml:space="preserve">Figure </w:t>
      </w:r>
      <w:r w:rsidR="00994032">
        <w:rPr>
          <w:rStyle w:val="lrzxr"/>
        </w:rPr>
        <w:t>9</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 xml:space="preserve"> model</w:t>
      </w:r>
      <w:r w:rsidR="00D40823">
        <w:rPr>
          <w:rStyle w:val="lrzxr"/>
        </w:rPr>
        <w:t xml:space="preserve"> (red)</w:t>
      </w:r>
      <w:r w:rsidR="00994032">
        <w:rPr>
          <w:rStyle w:val="lrzxr"/>
        </w:rPr>
        <w:t xml:space="preserve"> for Barn Swallow</w:t>
      </w:r>
      <w:r w:rsidR="00644456">
        <w:rPr>
          <w:rStyle w:val="lrzxr"/>
        </w:rPr>
        <w:t xml:space="preserve">. </w:t>
      </w:r>
    </w:p>
    <w:p w14:paraId="0B165E82" w14:textId="77777777" w:rsidR="002E2166" w:rsidRDefault="002E2166">
      <w:pPr>
        <w:rPr>
          <w:rStyle w:val="lrzxr"/>
        </w:rPr>
      </w:pPr>
      <w:r>
        <w:rPr>
          <w:rStyle w:val="lrzxr"/>
        </w:rPr>
        <w:br w:type="page"/>
      </w:r>
    </w:p>
    <w:p w14:paraId="16E00A12" w14:textId="15FBC930" w:rsidR="00777969" w:rsidRDefault="00777969" w:rsidP="002F18BD">
      <w:pPr>
        <w:spacing w:line="480" w:lineRule="auto"/>
        <w:rPr>
          <w:rStyle w:val="lrzxr"/>
        </w:rPr>
      </w:pPr>
    </w:p>
    <w:p w14:paraId="4BA36F4B" w14:textId="52B4DDAF" w:rsidR="00644456" w:rsidRDefault="00644456" w:rsidP="002F18BD">
      <w:pPr>
        <w:spacing w:line="480" w:lineRule="auto"/>
        <w:rPr>
          <w:rStyle w:val="lrzxr"/>
        </w:rPr>
      </w:pPr>
      <w:r>
        <w:rPr>
          <w:rStyle w:val="lrzxr"/>
        </w:rPr>
        <w:t xml:space="preserve">Figure </w:t>
      </w:r>
      <w:r w:rsidR="006E630A">
        <w:rPr>
          <w:rStyle w:val="lrzxr"/>
        </w:rPr>
        <w:t>10</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sidP="002F18BD">
      <w:pPr>
        <w:spacing w:line="480" w:lineRule="auto"/>
      </w:pPr>
      <w:r>
        <w:rPr>
          <w:rStyle w:val="lrzxr"/>
        </w:rPr>
        <w:t xml:space="preserve"> </w:t>
      </w:r>
      <w:r w:rsidR="0035395B">
        <w:rPr>
          <w:rStyle w:val="lrzxr"/>
        </w:rPr>
        <w:t xml:space="preserve">  </w:t>
      </w:r>
    </w:p>
    <w:sectPr w:rsidR="00EE2295" w:rsidSect="00DE2EB0">
      <w:headerReference w:type="default" r:id="rId18"/>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20-04-03T09:00:00Z" w:initials="SC[">
    <w:p w14:paraId="7516AB35" w14:textId="77777777" w:rsidR="00994032" w:rsidRDefault="00994032">
      <w:pPr>
        <w:pStyle w:val="CommentText"/>
      </w:pPr>
      <w:r>
        <w:rPr>
          <w:rStyle w:val="CommentReference"/>
        </w:rPr>
        <w:annotationRef/>
      </w:r>
      <w:r>
        <w:t>Add some discussion about the dangers of the GAM (e.g., endpoints and why they’re not likely an issue).</w:t>
      </w:r>
    </w:p>
    <w:p w14:paraId="7287F6B9" w14:textId="77777777" w:rsidR="00994032" w:rsidRDefault="00994032">
      <w:pPr>
        <w:pStyle w:val="CommentText"/>
      </w:pPr>
    </w:p>
    <w:p w14:paraId="72740C42" w14:textId="77777777" w:rsidR="00994032" w:rsidRDefault="00994032">
      <w:pPr>
        <w:pStyle w:val="CommentText"/>
      </w:pPr>
      <w:r>
        <w:t>Acknowledge Alaskan researcher who shared code</w:t>
      </w:r>
    </w:p>
    <w:p w14:paraId="71C58DAE" w14:textId="77777777" w:rsidR="00994032" w:rsidRDefault="00994032">
      <w:pPr>
        <w:pStyle w:val="CommentText"/>
      </w:pPr>
    </w:p>
    <w:p w14:paraId="7DB82825" w14:textId="393CEFBA" w:rsidR="00994032" w:rsidRDefault="0099403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B828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086DF" w16cid:durableId="2229D1B0"/>
  <w16cid:commentId w16cid:paraId="7339F990" w16cid:durableId="222B7EDA"/>
  <w16cid:commentId w16cid:paraId="2F7C2898" w16cid:durableId="222B7B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9B97B" w14:textId="77777777" w:rsidR="007944B5" w:rsidRDefault="007944B5" w:rsidP="005D0270">
      <w:pPr>
        <w:spacing w:after="0" w:line="240" w:lineRule="auto"/>
      </w:pPr>
      <w:r>
        <w:separator/>
      </w:r>
    </w:p>
  </w:endnote>
  <w:endnote w:type="continuationSeparator" w:id="0">
    <w:p w14:paraId="2273387B" w14:textId="77777777" w:rsidR="007944B5" w:rsidRDefault="007944B5" w:rsidP="005D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75BB1" w14:textId="77777777" w:rsidR="007944B5" w:rsidRDefault="007944B5" w:rsidP="005D0270">
      <w:pPr>
        <w:spacing w:after="0" w:line="240" w:lineRule="auto"/>
      </w:pPr>
      <w:r>
        <w:separator/>
      </w:r>
    </w:p>
  </w:footnote>
  <w:footnote w:type="continuationSeparator" w:id="0">
    <w:p w14:paraId="533BE6FA" w14:textId="77777777" w:rsidR="007944B5" w:rsidRDefault="007944B5" w:rsidP="005D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444638"/>
      <w:docPartObj>
        <w:docPartGallery w:val="Page Numbers (Top of Page)"/>
        <w:docPartUnique/>
      </w:docPartObj>
    </w:sdtPr>
    <w:sdtEndPr>
      <w:rPr>
        <w:noProof/>
      </w:rPr>
    </w:sdtEndPr>
    <w:sdtContent>
      <w:p w14:paraId="511CA04A" w14:textId="31656328" w:rsidR="00994032" w:rsidRDefault="00994032">
        <w:pPr>
          <w:pStyle w:val="Header"/>
          <w:jc w:val="right"/>
        </w:pPr>
        <w:r>
          <w:fldChar w:fldCharType="begin"/>
        </w:r>
        <w:r>
          <w:instrText xml:space="preserve"> PAGE   \* MERGEFORMAT </w:instrText>
        </w:r>
        <w:r>
          <w:fldChar w:fldCharType="separate"/>
        </w:r>
        <w:r w:rsidR="005B4699">
          <w:rPr>
            <w:noProof/>
          </w:rPr>
          <w:t>20</w:t>
        </w:r>
        <w:r>
          <w:rPr>
            <w:noProof/>
          </w:rPr>
          <w:fldChar w:fldCharType="end"/>
        </w:r>
      </w:p>
    </w:sdtContent>
  </w:sdt>
  <w:p w14:paraId="28A39126" w14:textId="77777777" w:rsidR="00994032" w:rsidRDefault="00994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6341E"/>
    <w:multiLevelType w:val="hybridMultilevel"/>
    <w:tmpl w:val="663C87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15D8"/>
    <w:rsid w:val="000035BE"/>
    <w:rsid w:val="0001254A"/>
    <w:rsid w:val="000144FA"/>
    <w:rsid w:val="0001516F"/>
    <w:rsid w:val="00032B4C"/>
    <w:rsid w:val="00034A02"/>
    <w:rsid w:val="00034D3E"/>
    <w:rsid w:val="000369EE"/>
    <w:rsid w:val="00043EB5"/>
    <w:rsid w:val="0005378F"/>
    <w:rsid w:val="00054710"/>
    <w:rsid w:val="00060EEF"/>
    <w:rsid w:val="00061A28"/>
    <w:rsid w:val="0006218F"/>
    <w:rsid w:val="00063FEC"/>
    <w:rsid w:val="000666EE"/>
    <w:rsid w:val="00067F48"/>
    <w:rsid w:val="000704BD"/>
    <w:rsid w:val="0007384D"/>
    <w:rsid w:val="000744E4"/>
    <w:rsid w:val="0008429E"/>
    <w:rsid w:val="00084C11"/>
    <w:rsid w:val="00084F03"/>
    <w:rsid w:val="000865CD"/>
    <w:rsid w:val="00090EF5"/>
    <w:rsid w:val="0009174E"/>
    <w:rsid w:val="000A56A2"/>
    <w:rsid w:val="000A6F62"/>
    <w:rsid w:val="000B0EE0"/>
    <w:rsid w:val="000B286C"/>
    <w:rsid w:val="000B3BC2"/>
    <w:rsid w:val="000B4FC7"/>
    <w:rsid w:val="000C095E"/>
    <w:rsid w:val="000C26F4"/>
    <w:rsid w:val="000C293B"/>
    <w:rsid w:val="000C34D5"/>
    <w:rsid w:val="000C595F"/>
    <w:rsid w:val="000D16B6"/>
    <w:rsid w:val="000D1BBF"/>
    <w:rsid w:val="000D46AD"/>
    <w:rsid w:val="000D5DBF"/>
    <w:rsid w:val="000D7A0A"/>
    <w:rsid w:val="000E1B11"/>
    <w:rsid w:val="000E2D3B"/>
    <w:rsid w:val="000E6B2D"/>
    <w:rsid w:val="000F0E8F"/>
    <w:rsid w:val="000F19A2"/>
    <w:rsid w:val="00100982"/>
    <w:rsid w:val="00101F80"/>
    <w:rsid w:val="00104D00"/>
    <w:rsid w:val="00106EE2"/>
    <w:rsid w:val="00117136"/>
    <w:rsid w:val="0011746F"/>
    <w:rsid w:val="00117EBD"/>
    <w:rsid w:val="00124DCA"/>
    <w:rsid w:val="00125EE8"/>
    <w:rsid w:val="00127CB6"/>
    <w:rsid w:val="00132E03"/>
    <w:rsid w:val="00136B3C"/>
    <w:rsid w:val="001527F6"/>
    <w:rsid w:val="0015431E"/>
    <w:rsid w:val="00156F17"/>
    <w:rsid w:val="001604BC"/>
    <w:rsid w:val="00160865"/>
    <w:rsid w:val="00164149"/>
    <w:rsid w:val="0016530C"/>
    <w:rsid w:val="001720F3"/>
    <w:rsid w:val="001754A2"/>
    <w:rsid w:val="00180E24"/>
    <w:rsid w:val="00181669"/>
    <w:rsid w:val="00181D35"/>
    <w:rsid w:val="00182182"/>
    <w:rsid w:val="00183D7A"/>
    <w:rsid w:val="00183FBC"/>
    <w:rsid w:val="001962E0"/>
    <w:rsid w:val="00197FD7"/>
    <w:rsid w:val="001A6280"/>
    <w:rsid w:val="001B07D7"/>
    <w:rsid w:val="001B170F"/>
    <w:rsid w:val="001B24F2"/>
    <w:rsid w:val="001B2AB7"/>
    <w:rsid w:val="001C280D"/>
    <w:rsid w:val="001C36D1"/>
    <w:rsid w:val="001C7628"/>
    <w:rsid w:val="001C7B51"/>
    <w:rsid w:val="001D06B7"/>
    <w:rsid w:val="001D0D44"/>
    <w:rsid w:val="001D1ACF"/>
    <w:rsid w:val="001D495F"/>
    <w:rsid w:val="001D616B"/>
    <w:rsid w:val="001D76F7"/>
    <w:rsid w:val="001E2BFA"/>
    <w:rsid w:val="001E38A1"/>
    <w:rsid w:val="001E597A"/>
    <w:rsid w:val="001E78F7"/>
    <w:rsid w:val="001E7DDD"/>
    <w:rsid w:val="001F0643"/>
    <w:rsid w:val="001F1593"/>
    <w:rsid w:val="001F6412"/>
    <w:rsid w:val="00204358"/>
    <w:rsid w:val="0020692E"/>
    <w:rsid w:val="002124ED"/>
    <w:rsid w:val="0021546B"/>
    <w:rsid w:val="00215F2B"/>
    <w:rsid w:val="002164B6"/>
    <w:rsid w:val="00221123"/>
    <w:rsid w:val="002236BE"/>
    <w:rsid w:val="002239E9"/>
    <w:rsid w:val="00224380"/>
    <w:rsid w:val="00232200"/>
    <w:rsid w:val="00233F4F"/>
    <w:rsid w:val="00237AAA"/>
    <w:rsid w:val="002425B8"/>
    <w:rsid w:val="00252DBA"/>
    <w:rsid w:val="0025542C"/>
    <w:rsid w:val="00260D04"/>
    <w:rsid w:val="00261C3B"/>
    <w:rsid w:val="00261F5B"/>
    <w:rsid w:val="00262C5B"/>
    <w:rsid w:val="002646A6"/>
    <w:rsid w:val="00266847"/>
    <w:rsid w:val="00270CA0"/>
    <w:rsid w:val="00271A7E"/>
    <w:rsid w:val="0027496D"/>
    <w:rsid w:val="002821BC"/>
    <w:rsid w:val="002823BC"/>
    <w:rsid w:val="002825D9"/>
    <w:rsid w:val="0028284F"/>
    <w:rsid w:val="0029072B"/>
    <w:rsid w:val="00290865"/>
    <w:rsid w:val="002A1A18"/>
    <w:rsid w:val="002A60BB"/>
    <w:rsid w:val="002A65DC"/>
    <w:rsid w:val="002B3413"/>
    <w:rsid w:val="002B635F"/>
    <w:rsid w:val="002C06C8"/>
    <w:rsid w:val="002C1EB0"/>
    <w:rsid w:val="002C3B33"/>
    <w:rsid w:val="002D21BE"/>
    <w:rsid w:val="002D7DB1"/>
    <w:rsid w:val="002E0C96"/>
    <w:rsid w:val="002E2166"/>
    <w:rsid w:val="002E31E5"/>
    <w:rsid w:val="002F0604"/>
    <w:rsid w:val="002F1266"/>
    <w:rsid w:val="002F18BD"/>
    <w:rsid w:val="002F2B28"/>
    <w:rsid w:val="002F38D6"/>
    <w:rsid w:val="00301A67"/>
    <w:rsid w:val="003053C1"/>
    <w:rsid w:val="00306160"/>
    <w:rsid w:val="00311F88"/>
    <w:rsid w:val="003136FB"/>
    <w:rsid w:val="00313FC9"/>
    <w:rsid w:val="00317B51"/>
    <w:rsid w:val="00317C34"/>
    <w:rsid w:val="0032218E"/>
    <w:rsid w:val="00322CFD"/>
    <w:rsid w:val="00326B8A"/>
    <w:rsid w:val="00341D42"/>
    <w:rsid w:val="00344307"/>
    <w:rsid w:val="003504BE"/>
    <w:rsid w:val="00352290"/>
    <w:rsid w:val="0035395B"/>
    <w:rsid w:val="00353F06"/>
    <w:rsid w:val="00354BDE"/>
    <w:rsid w:val="00356846"/>
    <w:rsid w:val="003575B9"/>
    <w:rsid w:val="00360F4A"/>
    <w:rsid w:val="00366FDE"/>
    <w:rsid w:val="003727DC"/>
    <w:rsid w:val="00375D0A"/>
    <w:rsid w:val="0037710D"/>
    <w:rsid w:val="00377D41"/>
    <w:rsid w:val="00380540"/>
    <w:rsid w:val="003864DF"/>
    <w:rsid w:val="00386BA8"/>
    <w:rsid w:val="003871E1"/>
    <w:rsid w:val="0039154F"/>
    <w:rsid w:val="003919AF"/>
    <w:rsid w:val="00392143"/>
    <w:rsid w:val="003935F3"/>
    <w:rsid w:val="00396953"/>
    <w:rsid w:val="003A02D7"/>
    <w:rsid w:val="003A15FE"/>
    <w:rsid w:val="003A509E"/>
    <w:rsid w:val="003A5246"/>
    <w:rsid w:val="003B0B14"/>
    <w:rsid w:val="003B5CEA"/>
    <w:rsid w:val="003C12D8"/>
    <w:rsid w:val="003C55D6"/>
    <w:rsid w:val="003C5F12"/>
    <w:rsid w:val="003D23FC"/>
    <w:rsid w:val="003D2A5D"/>
    <w:rsid w:val="003D40AF"/>
    <w:rsid w:val="003D71C1"/>
    <w:rsid w:val="003E1B06"/>
    <w:rsid w:val="003F00A9"/>
    <w:rsid w:val="003F3880"/>
    <w:rsid w:val="0040368B"/>
    <w:rsid w:val="00410038"/>
    <w:rsid w:val="00414DD7"/>
    <w:rsid w:val="00421401"/>
    <w:rsid w:val="00423757"/>
    <w:rsid w:val="00423913"/>
    <w:rsid w:val="004277F9"/>
    <w:rsid w:val="00433915"/>
    <w:rsid w:val="0043522E"/>
    <w:rsid w:val="00442A26"/>
    <w:rsid w:val="0044376C"/>
    <w:rsid w:val="00446B0D"/>
    <w:rsid w:val="00456B2C"/>
    <w:rsid w:val="00464ED8"/>
    <w:rsid w:val="00465839"/>
    <w:rsid w:val="00471237"/>
    <w:rsid w:val="004717DF"/>
    <w:rsid w:val="00486194"/>
    <w:rsid w:val="00486D9E"/>
    <w:rsid w:val="004905CF"/>
    <w:rsid w:val="00492C45"/>
    <w:rsid w:val="00494C39"/>
    <w:rsid w:val="00495200"/>
    <w:rsid w:val="004A3023"/>
    <w:rsid w:val="004A7143"/>
    <w:rsid w:val="004B05C2"/>
    <w:rsid w:val="004C234A"/>
    <w:rsid w:val="004C252E"/>
    <w:rsid w:val="004C5EA4"/>
    <w:rsid w:val="004D1A15"/>
    <w:rsid w:val="004D40E7"/>
    <w:rsid w:val="004E15BD"/>
    <w:rsid w:val="004E1F2B"/>
    <w:rsid w:val="004E40A1"/>
    <w:rsid w:val="004E6A3E"/>
    <w:rsid w:val="004F235C"/>
    <w:rsid w:val="004F6FB5"/>
    <w:rsid w:val="00507BE7"/>
    <w:rsid w:val="005119D3"/>
    <w:rsid w:val="00516FC2"/>
    <w:rsid w:val="00520BC4"/>
    <w:rsid w:val="00520C46"/>
    <w:rsid w:val="005213C8"/>
    <w:rsid w:val="00521488"/>
    <w:rsid w:val="00521E0D"/>
    <w:rsid w:val="00527C1D"/>
    <w:rsid w:val="00534008"/>
    <w:rsid w:val="00535BD7"/>
    <w:rsid w:val="00542464"/>
    <w:rsid w:val="00544ECC"/>
    <w:rsid w:val="0054506F"/>
    <w:rsid w:val="00551C4C"/>
    <w:rsid w:val="00553A37"/>
    <w:rsid w:val="005603B2"/>
    <w:rsid w:val="00561701"/>
    <w:rsid w:val="005665F5"/>
    <w:rsid w:val="00566791"/>
    <w:rsid w:val="00570793"/>
    <w:rsid w:val="0057328C"/>
    <w:rsid w:val="005732AE"/>
    <w:rsid w:val="00577109"/>
    <w:rsid w:val="0058124D"/>
    <w:rsid w:val="0058220E"/>
    <w:rsid w:val="005860E1"/>
    <w:rsid w:val="0058732C"/>
    <w:rsid w:val="005948BC"/>
    <w:rsid w:val="005959D2"/>
    <w:rsid w:val="00595FE2"/>
    <w:rsid w:val="005972B9"/>
    <w:rsid w:val="005A349A"/>
    <w:rsid w:val="005A4B88"/>
    <w:rsid w:val="005A592E"/>
    <w:rsid w:val="005B0CB3"/>
    <w:rsid w:val="005B4699"/>
    <w:rsid w:val="005C200A"/>
    <w:rsid w:val="005C6043"/>
    <w:rsid w:val="005D0270"/>
    <w:rsid w:val="005D108B"/>
    <w:rsid w:val="005D50AD"/>
    <w:rsid w:val="005E1D4F"/>
    <w:rsid w:val="005E2C22"/>
    <w:rsid w:val="005E2E8E"/>
    <w:rsid w:val="005E43C8"/>
    <w:rsid w:val="005F19E6"/>
    <w:rsid w:val="005F441E"/>
    <w:rsid w:val="006034F1"/>
    <w:rsid w:val="006117E7"/>
    <w:rsid w:val="00614139"/>
    <w:rsid w:val="00617D3B"/>
    <w:rsid w:val="00622248"/>
    <w:rsid w:val="006229B5"/>
    <w:rsid w:val="00622EDF"/>
    <w:rsid w:val="00623CAC"/>
    <w:rsid w:val="00626E59"/>
    <w:rsid w:val="00627F11"/>
    <w:rsid w:val="00634039"/>
    <w:rsid w:val="00634DDD"/>
    <w:rsid w:val="00635CC6"/>
    <w:rsid w:val="00636713"/>
    <w:rsid w:val="00641336"/>
    <w:rsid w:val="00644456"/>
    <w:rsid w:val="00651492"/>
    <w:rsid w:val="0065459C"/>
    <w:rsid w:val="00655629"/>
    <w:rsid w:val="00656FFC"/>
    <w:rsid w:val="00657376"/>
    <w:rsid w:val="006575E7"/>
    <w:rsid w:val="00657BD5"/>
    <w:rsid w:val="00660E56"/>
    <w:rsid w:val="00673EDA"/>
    <w:rsid w:val="006749FB"/>
    <w:rsid w:val="00675500"/>
    <w:rsid w:val="00681CA4"/>
    <w:rsid w:val="006831CD"/>
    <w:rsid w:val="00683FA1"/>
    <w:rsid w:val="00686505"/>
    <w:rsid w:val="006902D0"/>
    <w:rsid w:val="00690BC5"/>
    <w:rsid w:val="00691BFC"/>
    <w:rsid w:val="0069220C"/>
    <w:rsid w:val="00693DD9"/>
    <w:rsid w:val="006A0B60"/>
    <w:rsid w:val="006A50F1"/>
    <w:rsid w:val="006A5952"/>
    <w:rsid w:val="006B14A3"/>
    <w:rsid w:val="006B41FE"/>
    <w:rsid w:val="006B590A"/>
    <w:rsid w:val="006B5BF0"/>
    <w:rsid w:val="006C5D32"/>
    <w:rsid w:val="006D4865"/>
    <w:rsid w:val="006D5680"/>
    <w:rsid w:val="006D788E"/>
    <w:rsid w:val="006E5531"/>
    <w:rsid w:val="006E630A"/>
    <w:rsid w:val="006F0D1A"/>
    <w:rsid w:val="006F369C"/>
    <w:rsid w:val="006F38C3"/>
    <w:rsid w:val="006F4E90"/>
    <w:rsid w:val="006F5CF8"/>
    <w:rsid w:val="006F66D1"/>
    <w:rsid w:val="00703BCA"/>
    <w:rsid w:val="0070604D"/>
    <w:rsid w:val="0071744A"/>
    <w:rsid w:val="00717E77"/>
    <w:rsid w:val="00720404"/>
    <w:rsid w:val="00721B12"/>
    <w:rsid w:val="007246BE"/>
    <w:rsid w:val="00725507"/>
    <w:rsid w:val="00727F91"/>
    <w:rsid w:val="00730443"/>
    <w:rsid w:val="00734E23"/>
    <w:rsid w:val="007357DE"/>
    <w:rsid w:val="00737D11"/>
    <w:rsid w:val="00737DF0"/>
    <w:rsid w:val="0074350B"/>
    <w:rsid w:val="00743569"/>
    <w:rsid w:val="0075190E"/>
    <w:rsid w:val="0075267E"/>
    <w:rsid w:val="007634D3"/>
    <w:rsid w:val="007707B3"/>
    <w:rsid w:val="00773B5F"/>
    <w:rsid w:val="00777969"/>
    <w:rsid w:val="007842D4"/>
    <w:rsid w:val="007944B5"/>
    <w:rsid w:val="007A0AB2"/>
    <w:rsid w:val="007A5C62"/>
    <w:rsid w:val="007B1E01"/>
    <w:rsid w:val="007B3FCE"/>
    <w:rsid w:val="007B55F4"/>
    <w:rsid w:val="007B79B7"/>
    <w:rsid w:val="007C0352"/>
    <w:rsid w:val="007D113A"/>
    <w:rsid w:val="007D3937"/>
    <w:rsid w:val="007E17F7"/>
    <w:rsid w:val="007E616E"/>
    <w:rsid w:val="007E6DDB"/>
    <w:rsid w:val="007F3AAF"/>
    <w:rsid w:val="007F48DC"/>
    <w:rsid w:val="007F4EC5"/>
    <w:rsid w:val="007F563E"/>
    <w:rsid w:val="00801D2E"/>
    <w:rsid w:val="00806603"/>
    <w:rsid w:val="0080706A"/>
    <w:rsid w:val="00823D8B"/>
    <w:rsid w:val="008279B6"/>
    <w:rsid w:val="00833502"/>
    <w:rsid w:val="00833A6E"/>
    <w:rsid w:val="00835545"/>
    <w:rsid w:val="00837AB1"/>
    <w:rsid w:val="0084398F"/>
    <w:rsid w:val="00845AC6"/>
    <w:rsid w:val="00845D62"/>
    <w:rsid w:val="0085004A"/>
    <w:rsid w:val="00850E9F"/>
    <w:rsid w:val="00851119"/>
    <w:rsid w:val="00854D3E"/>
    <w:rsid w:val="00855AFF"/>
    <w:rsid w:val="00855B8D"/>
    <w:rsid w:val="00873DF6"/>
    <w:rsid w:val="00874000"/>
    <w:rsid w:val="00874EE8"/>
    <w:rsid w:val="0087785E"/>
    <w:rsid w:val="008830F7"/>
    <w:rsid w:val="00884C36"/>
    <w:rsid w:val="00885C52"/>
    <w:rsid w:val="00890A74"/>
    <w:rsid w:val="00896367"/>
    <w:rsid w:val="008963EF"/>
    <w:rsid w:val="008A5A2D"/>
    <w:rsid w:val="008B69AF"/>
    <w:rsid w:val="008D213A"/>
    <w:rsid w:val="008F1847"/>
    <w:rsid w:val="00904297"/>
    <w:rsid w:val="00910982"/>
    <w:rsid w:val="0091125D"/>
    <w:rsid w:val="00913140"/>
    <w:rsid w:val="009131CB"/>
    <w:rsid w:val="00915E67"/>
    <w:rsid w:val="00920F85"/>
    <w:rsid w:val="00922D60"/>
    <w:rsid w:val="00922F1F"/>
    <w:rsid w:val="009232CB"/>
    <w:rsid w:val="00930CDB"/>
    <w:rsid w:val="00934185"/>
    <w:rsid w:val="0093732C"/>
    <w:rsid w:val="00944F2C"/>
    <w:rsid w:val="00946314"/>
    <w:rsid w:val="0094671F"/>
    <w:rsid w:val="00951E0B"/>
    <w:rsid w:val="00952D7D"/>
    <w:rsid w:val="009538FC"/>
    <w:rsid w:val="00965932"/>
    <w:rsid w:val="00967A4C"/>
    <w:rsid w:val="00985A22"/>
    <w:rsid w:val="00985F5B"/>
    <w:rsid w:val="0098663A"/>
    <w:rsid w:val="00990F31"/>
    <w:rsid w:val="009916C5"/>
    <w:rsid w:val="00991B8A"/>
    <w:rsid w:val="00992690"/>
    <w:rsid w:val="00994032"/>
    <w:rsid w:val="009A0192"/>
    <w:rsid w:val="009A2FB4"/>
    <w:rsid w:val="009A4AF7"/>
    <w:rsid w:val="009A722D"/>
    <w:rsid w:val="009A7DE2"/>
    <w:rsid w:val="009B6C41"/>
    <w:rsid w:val="009C067E"/>
    <w:rsid w:val="009C68BB"/>
    <w:rsid w:val="009D59F9"/>
    <w:rsid w:val="009E3BE7"/>
    <w:rsid w:val="009F034C"/>
    <w:rsid w:val="009F4001"/>
    <w:rsid w:val="009F444A"/>
    <w:rsid w:val="009F5A9B"/>
    <w:rsid w:val="00A056D5"/>
    <w:rsid w:val="00A0588F"/>
    <w:rsid w:val="00A06985"/>
    <w:rsid w:val="00A11516"/>
    <w:rsid w:val="00A11FA6"/>
    <w:rsid w:val="00A12F5B"/>
    <w:rsid w:val="00A13D73"/>
    <w:rsid w:val="00A16942"/>
    <w:rsid w:val="00A23A3A"/>
    <w:rsid w:val="00A27182"/>
    <w:rsid w:val="00A3424B"/>
    <w:rsid w:val="00A422D6"/>
    <w:rsid w:val="00A44E21"/>
    <w:rsid w:val="00A469E6"/>
    <w:rsid w:val="00A507BA"/>
    <w:rsid w:val="00A526EE"/>
    <w:rsid w:val="00A5348D"/>
    <w:rsid w:val="00A56D79"/>
    <w:rsid w:val="00A6292C"/>
    <w:rsid w:val="00A66E1C"/>
    <w:rsid w:val="00A7010B"/>
    <w:rsid w:val="00A70EA2"/>
    <w:rsid w:val="00A72AC4"/>
    <w:rsid w:val="00A72B19"/>
    <w:rsid w:val="00A7417C"/>
    <w:rsid w:val="00A74629"/>
    <w:rsid w:val="00A75EF4"/>
    <w:rsid w:val="00A76187"/>
    <w:rsid w:val="00A7662D"/>
    <w:rsid w:val="00A80761"/>
    <w:rsid w:val="00A83BA1"/>
    <w:rsid w:val="00A87415"/>
    <w:rsid w:val="00A95058"/>
    <w:rsid w:val="00A96044"/>
    <w:rsid w:val="00A96BC9"/>
    <w:rsid w:val="00AA0DD7"/>
    <w:rsid w:val="00AA1DF1"/>
    <w:rsid w:val="00AA31B3"/>
    <w:rsid w:val="00AA421B"/>
    <w:rsid w:val="00AA60BB"/>
    <w:rsid w:val="00AB07CC"/>
    <w:rsid w:val="00AB2BA4"/>
    <w:rsid w:val="00AC49E5"/>
    <w:rsid w:val="00AC51EA"/>
    <w:rsid w:val="00AD1131"/>
    <w:rsid w:val="00AD4586"/>
    <w:rsid w:val="00AE099C"/>
    <w:rsid w:val="00AE7A6C"/>
    <w:rsid w:val="00AF16ED"/>
    <w:rsid w:val="00AF3040"/>
    <w:rsid w:val="00B02BC2"/>
    <w:rsid w:val="00B04B46"/>
    <w:rsid w:val="00B1390D"/>
    <w:rsid w:val="00B13B9D"/>
    <w:rsid w:val="00B13BA0"/>
    <w:rsid w:val="00B14D83"/>
    <w:rsid w:val="00B15F61"/>
    <w:rsid w:val="00B2157C"/>
    <w:rsid w:val="00B3492B"/>
    <w:rsid w:val="00B43169"/>
    <w:rsid w:val="00B67E12"/>
    <w:rsid w:val="00B73AA7"/>
    <w:rsid w:val="00B750D4"/>
    <w:rsid w:val="00B7696C"/>
    <w:rsid w:val="00B82969"/>
    <w:rsid w:val="00B840DE"/>
    <w:rsid w:val="00B86AB3"/>
    <w:rsid w:val="00B874E5"/>
    <w:rsid w:val="00B87D37"/>
    <w:rsid w:val="00BA5718"/>
    <w:rsid w:val="00BA6AA3"/>
    <w:rsid w:val="00BA7892"/>
    <w:rsid w:val="00BB2146"/>
    <w:rsid w:val="00BB6049"/>
    <w:rsid w:val="00BC103B"/>
    <w:rsid w:val="00BC3A73"/>
    <w:rsid w:val="00BC3A90"/>
    <w:rsid w:val="00BC4F82"/>
    <w:rsid w:val="00BC7A0E"/>
    <w:rsid w:val="00BD4C89"/>
    <w:rsid w:val="00BD4E8E"/>
    <w:rsid w:val="00BD4EF4"/>
    <w:rsid w:val="00BE0A69"/>
    <w:rsid w:val="00BE2813"/>
    <w:rsid w:val="00BE5C09"/>
    <w:rsid w:val="00C0254D"/>
    <w:rsid w:val="00C02DDC"/>
    <w:rsid w:val="00C12DAD"/>
    <w:rsid w:val="00C145C8"/>
    <w:rsid w:val="00C17334"/>
    <w:rsid w:val="00C25309"/>
    <w:rsid w:val="00C32413"/>
    <w:rsid w:val="00C35E81"/>
    <w:rsid w:val="00C37086"/>
    <w:rsid w:val="00C41812"/>
    <w:rsid w:val="00C423D4"/>
    <w:rsid w:val="00C42929"/>
    <w:rsid w:val="00C44CCE"/>
    <w:rsid w:val="00C45492"/>
    <w:rsid w:val="00C45C3E"/>
    <w:rsid w:val="00C557AB"/>
    <w:rsid w:val="00C63404"/>
    <w:rsid w:val="00C6713A"/>
    <w:rsid w:val="00C70E19"/>
    <w:rsid w:val="00C75D00"/>
    <w:rsid w:val="00C80B04"/>
    <w:rsid w:val="00C859D2"/>
    <w:rsid w:val="00C91AAC"/>
    <w:rsid w:val="00C94D44"/>
    <w:rsid w:val="00CB5FB7"/>
    <w:rsid w:val="00CC0004"/>
    <w:rsid w:val="00CC17EA"/>
    <w:rsid w:val="00CC1D3E"/>
    <w:rsid w:val="00CC507A"/>
    <w:rsid w:val="00CD0406"/>
    <w:rsid w:val="00CD2E9B"/>
    <w:rsid w:val="00CD3CD2"/>
    <w:rsid w:val="00CD548D"/>
    <w:rsid w:val="00CE0B41"/>
    <w:rsid w:val="00CF1505"/>
    <w:rsid w:val="00CF3293"/>
    <w:rsid w:val="00CF4BFE"/>
    <w:rsid w:val="00D01F8D"/>
    <w:rsid w:val="00D03E7F"/>
    <w:rsid w:val="00D04C93"/>
    <w:rsid w:val="00D05281"/>
    <w:rsid w:val="00D10BFD"/>
    <w:rsid w:val="00D13D2B"/>
    <w:rsid w:val="00D14E57"/>
    <w:rsid w:val="00D21979"/>
    <w:rsid w:val="00D31900"/>
    <w:rsid w:val="00D3609B"/>
    <w:rsid w:val="00D36B2B"/>
    <w:rsid w:val="00D36FD9"/>
    <w:rsid w:val="00D4000D"/>
    <w:rsid w:val="00D40823"/>
    <w:rsid w:val="00D40A7D"/>
    <w:rsid w:val="00D422D5"/>
    <w:rsid w:val="00D474CC"/>
    <w:rsid w:val="00D515BF"/>
    <w:rsid w:val="00D519A5"/>
    <w:rsid w:val="00D52DE3"/>
    <w:rsid w:val="00D54D99"/>
    <w:rsid w:val="00D57997"/>
    <w:rsid w:val="00D60CB8"/>
    <w:rsid w:val="00D6455E"/>
    <w:rsid w:val="00D64FB0"/>
    <w:rsid w:val="00D723F2"/>
    <w:rsid w:val="00D800EB"/>
    <w:rsid w:val="00D807C9"/>
    <w:rsid w:val="00D844BB"/>
    <w:rsid w:val="00D947F5"/>
    <w:rsid w:val="00DA273A"/>
    <w:rsid w:val="00DB67C9"/>
    <w:rsid w:val="00DB6BDB"/>
    <w:rsid w:val="00DC055B"/>
    <w:rsid w:val="00DC34DA"/>
    <w:rsid w:val="00DC78F6"/>
    <w:rsid w:val="00DD1696"/>
    <w:rsid w:val="00DD5093"/>
    <w:rsid w:val="00DD535A"/>
    <w:rsid w:val="00DD79A0"/>
    <w:rsid w:val="00DE0E93"/>
    <w:rsid w:val="00DE2EB0"/>
    <w:rsid w:val="00DE5BCA"/>
    <w:rsid w:val="00DE6287"/>
    <w:rsid w:val="00DF30DE"/>
    <w:rsid w:val="00DF72D1"/>
    <w:rsid w:val="00E02252"/>
    <w:rsid w:val="00E02722"/>
    <w:rsid w:val="00E0298F"/>
    <w:rsid w:val="00E04314"/>
    <w:rsid w:val="00E0666E"/>
    <w:rsid w:val="00E15D6C"/>
    <w:rsid w:val="00E22FFA"/>
    <w:rsid w:val="00E25E4C"/>
    <w:rsid w:val="00E264F9"/>
    <w:rsid w:val="00E26954"/>
    <w:rsid w:val="00E26DBA"/>
    <w:rsid w:val="00E31D57"/>
    <w:rsid w:val="00E3253A"/>
    <w:rsid w:val="00E37187"/>
    <w:rsid w:val="00E643FF"/>
    <w:rsid w:val="00E7115B"/>
    <w:rsid w:val="00E835F2"/>
    <w:rsid w:val="00E83CC7"/>
    <w:rsid w:val="00E84915"/>
    <w:rsid w:val="00E84F90"/>
    <w:rsid w:val="00E86C3D"/>
    <w:rsid w:val="00E91E3C"/>
    <w:rsid w:val="00E92107"/>
    <w:rsid w:val="00E95221"/>
    <w:rsid w:val="00E96FC6"/>
    <w:rsid w:val="00EA7765"/>
    <w:rsid w:val="00EA79C1"/>
    <w:rsid w:val="00EB25B5"/>
    <w:rsid w:val="00EB38C2"/>
    <w:rsid w:val="00EB5F8A"/>
    <w:rsid w:val="00EC54D7"/>
    <w:rsid w:val="00EC5C6A"/>
    <w:rsid w:val="00EC66CE"/>
    <w:rsid w:val="00ED2BFE"/>
    <w:rsid w:val="00ED4793"/>
    <w:rsid w:val="00ED56C2"/>
    <w:rsid w:val="00EE1119"/>
    <w:rsid w:val="00EE2295"/>
    <w:rsid w:val="00EE5371"/>
    <w:rsid w:val="00EF0409"/>
    <w:rsid w:val="00EF228A"/>
    <w:rsid w:val="00EF28B4"/>
    <w:rsid w:val="00EF46CD"/>
    <w:rsid w:val="00F176CF"/>
    <w:rsid w:val="00F2032E"/>
    <w:rsid w:val="00F20704"/>
    <w:rsid w:val="00F21373"/>
    <w:rsid w:val="00F32015"/>
    <w:rsid w:val="00F323A5"/>
    <w:rsid w:val="00F36A22"/>
    <w:rsid w:val="00F36D69"/>
    <w:rsid w:val="00F37D20"/>
    <w:rsid w:val="00F42CDE"/>
    <w:rsid w:val="00F44F2A"/>
    <w:rsid w:val="00F458FB"/>
    <w:rsid w:val="00F46FE9"/>
    <w:rsid w:val="00F5720B"/>
    <w:rsid w:val="00F57F60"/>
    <w:rsid w:val="00F67D6F"/>
    <w:rsid w:val="00F7061E"/>
    <w:rsid w:val="00F70699"/>
    <w:rsid w:val="00F721E4"/>
    <w:rsid w:val="00F73B49"/>
    <w:rsid w:val="00F748EB"/>
    <w:rsid w:val="00F7554D"/>
    <w:rsid w:val="00F76A8E"/>
    <w:rsid w:val="00F80FE9"/>
    <w:rsid w:val="00F82BBF"/>
    <w:rsid w:val="00F90A89"/>
    <w:rsid w:val="00F94264"/>
    <w:rsid w:val="00FA2D21"/>
    <w:rsid w:val="00FA3D91"/>
    <w:rsid w:val="00FB0FC0"/>
    <w:rsid w:val="00FB7559"/>
    <w:rsid w:val="00FC5A0C"/>
    <w:rsid w:val="00FD09AE"/>
    <w:rsid w:val="00FD76D3"/>
    <w:rsid w:val="00FD76FD"/>
    <w:rsid w:val="00FE2F7E"/>
    <w:rsid w:val="00FE4F8C"/>
    <w:rsid w:val="00FE6815"/>
    <w:rsid w:val="00FF634E"/>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95F"/>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561701"/>
    <w:pPr>
      <w:keepNext/>
      <w:keepLines/>
      <w:spacing w:before="40" w:after="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5860E1"/>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 w:type="character" w:customStyle="1" w:styleId="Heading1Char">
    <w:name w:val="Heading 1 Char"/>
    <w:basedOn w:val="DefaultParagraphFont"/>
    <w:link w:val="Heading1"/>
    <w:uiPriority w:val="9"/>
    <w:rsid w:val="000C595F"/>
    <w:rPr>
      <w:rFonts w:eastAsiaTheme="majorEastAsia" w:cstheme="majorBidi"/>
      <w:b/>
      <w:sz w:val="26"/>
      <w:szCs w:val="32"/>
    </w:rPr>
  </w:style>
  <w:style w:type="character" w:customStyle="1" w:styleId="Heading2Char">
    <w:name w:val="Heading 2 Char"/>
    <w:basedOn w:val="DefaultParagraphFont"/>
    <w:link w:val="Heading2"/>
    <w:uiPriority w:val="9"/>
    <w:rsid w:val="00561701"/>
    <w:rPr>
      <w:rFonts w:eastAsiaTheme="majorEastAsia" w:cstheme="majorBidi"/>
      <w:b/>
      <w:i/>
      <w:sz w:val="24"/>
      <w:szCs w:val="26"/>
    </w:rPr>
  </w:style>
  <w:style w:type="paragraph" w:styleId="Title">
    <w:name w:val="Title"/>
    <w:basedOn w:val="Normal"/>
    <w:next w:val="Normal"/>
    <w:link w:val="TitleChar"/>
    <w:uiPriority w:val="10"/>
    <w:qFormat/>
    <w:rsid w:val="00F70699"/>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70699"/>
    <w:rPr>
      <w:rFonts w:asciiTheme="majorHAnsi" w:eastAsiaTheme="majorEastAsia" w:hAnsiTheme="majorHAnsi" w:cstheme="majorBidi"/>
      <w:spacing w:val="-10"/>
      <w:kern w:val="28"/>
      <w:sz w:val="32"/>
      <w:szCs w:val="56"/>
    </w:rPr>
  </w:style>
  <w:style w:type="character" w:customStyle="1" w:styleId="orcid-id-https">
    <w:name w:val="orcid-id-https"/>
    <w:basedOn w:val="DefaultParagraphFont"/>
    <w:rsid w:val="00C0254D"/>
  </w:style>
  <w:style w:type="paragraph" w:styleId="Header">
    <w:name w:val="header"/>
    <w:basedOn w:val="Normal"/>
    <w:link w:val="HeaderChar"/>
    <w:uiPriority w:val="99"/>
    <w:unhideWhenUsed/>
    <w:rsid w:val="005D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270"/>
  </w:style>
  <w:style w:type="paragraph" w:styleId="Footer">
    <w:name w:val="footer"/>
    <w:basedOn w:val="Normal"/>
    <w:link w:val="FooterChar"/>
    <w:uiPriority w:val="99"/>
    <w:unhideWhenUsed/>
    <w:rsid w:val="005D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70"/>
  </w:style>
  <w:style w:type="character" w:styleId="LineNumber">
    <w:name w:val="line number"/>
    <w:basedOn w:val="DefaultParagraphFont"/>
    <w:uiPriority w:val="99"/>
    <w:semiHidden/>
    <w:unhideWhenUsed/>
    <w:rsid w:val="00DE2EB0"/>
  </w:style>
  <w:style w:type="character" w:customStyle="1" w:styleId="UnresolvedMention">
    <w:name w:val="Unresolved Mention"/>
    <w:basedOn w:val="DefaultParagraphFont"/>
    <w:uiPriority w:val="99"/>
    <w:semiHidden/>
    <w:unhideWhenUsed/>
    <w:rsid w:val="00366FDE"/>
    <w:rPr>
      <w:color w:val="605E5C"/>
      <w:shd w:val="clear" w:color="auto" w:fill="E1DFDD"/>
    </w:rPr>
  </w:style>
  <w:style w:type="paragraph" w:styleId="Revision">
    <w:name w:val="Revision"/>
    <w:hidden/>
    <w:uiPriority w:val="99"/>
    <w:semiHidden/>
    <w:rsid w:val="0043522E"/>
    <w:pPr>
      <w:spacing w:after="0" w:line="240" w:lineRule="auto"/>
    </w:pPr>
  </w:style>
  <w:style w:type="character" w:customStyle="1" w:styleId="Heading3Char">
    <w:name w:val="Heading 3 Char"/>
    <w:basedOn w:val="DefaultParagraphFont"/>
    <w:link w:val="Heading3"/>
    <w:uiPriority w:val="9"/>
    <w:rsid w:val="005860E1"/>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7892">
      <w:bodyDiv w:val="1"/>
      <w:marLeft w:val="0"/>
      <w:marRight w:val="0"/>
      <w:marTop w:val="0"/>
      <w:marBottom w:val="0"/>
      <w:divBdr>
        <w:top w:val="none" w:sz="0" w:space="0" w:color="auto"/>
        <w:left w:val="none" w:sz="0" w:space="0" w:color="auto"/>
        <w:bottom w:val="none" w:sz="0" w:space="0" w:color="auto"/>
        <w:right w:val="none" w:sz="0" w:space="0" w:color="auto"/>
      </w:divBdr>
    </w:div>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871457871">
      <w:bodyDiv w:val="1"/>
      <w:marLeft w:val="0"/>
      <w:marRight w:val="0"/>
      <w:marTop w:val="0"/>
      <w:marBottom w:val="0"/>
      <w:divBdr>
        <w:top w:val="none" w:sz="0" w:space="0" w:color="auto"/>
        <w:left w:val="none" w:sz="0" w:space="0" w:color="auto"/>
        <w:bottom w:val="none" w:sz="0" w:space="0" w:color="auto"/>
        <w:right w:val="none" w:sz="0" w:space="0" w:color="auto"/>
      </w:divBdr>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 w:id="18918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forea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ucnredlist.org/documents/RedListGuidelines.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microsoft.com/office/2011/relationships/people" Target="peop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istrelep-sararegistry.gc.ca" TargetMode="External"/><Relationship Id="rId5" Type="http://schemas.openxmlformats.org/officeDocument/2006/relationships/webSettings" Target="webSettings.xml"/><Relationship Id="rId15" Type="http://schemas.openxmlformats.org/officeDocument/2006/relationships/hyperlink" Target="http://pif.birdconservancy.org/ACAD" TargetMode="External"/><Relationship Id="rId10" Type="http://schemas.openxmlformats.org/officeDocument/2006/relationships/hyperlink" Target="mailto:adam.smith2@canada.ca"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tateofcanadasbi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3ABC5A-E152-4427-8C6D-DE4836E9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7761</Words>
  <Characters>44239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4</cp:revision>
  <dcterms:created xsi:type="dcterms:W3CDTF">2020-04-07T00:51:00Z</dcterms:created>
  <dcterms:modified xsi:type="dcterms:W3CDTF">2020-04-07T00:52:00Z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