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5CFC9" w14:textId="77777777" w:rsidR="00D063ED" w:rsidRDefault="00000000">
      <w:pPr>
        <w:spacing w:after="160" w:line="259" w:lineRule="auto"/>
        <w:jc w:val="center"/>
      </w:pPr>
      <w:r>
        <w:rPr>
          <w:rFonts w:ascii="Times New Roman" w:eastAsia="Times New Roman" w:hAnsi="Times New Roman"/>
          <w:b/>
          <w:sz w:val="28"/>
        </w:rPr>
        <w:t>Responsible Multi-Omic Neural Architecture Search: Ethical, Social, and Public-Health Considerations in the Spatio-Temporal Bio-NAS Program</w:t>
      </w:r>
    </w:p>
    <w:p w14:paraId="031142B7" w14:textId="77777777" w:rsidR="00D063ED" w:rsidRDefault="00000000">
      <w:pPr>
        <w:spacing w:line="259" w:lineRule="auto"/>
        <w:jc w:val="center"/>
      </w:pPr>
      <w:r>
        <w:rPr>
          <w:rFonts w:ascii="Times New Roman" w:eastAsia="Times New Roman" w:hAnsi="Times New Roman"/>
          <w:i/>
          <w:sz w:val="20"/>
        </w:rPr>
        <w:t>Breast cancer anchor cohort, controlled-access neurodegenerative data, and open reproducibility via Docker</w:t>
      </w:r>
    </w:p>
    <w:p w14:paraId="48392126" w14:textId="77777777" w:rsidR="00D063ED" w:rsidRDefault="00000000">
      <w:pPr>
        <w:spacing w:before="200" w:after="80" w:line="259" w:lineRule="auto"/>
      </w:pPr>
      <w:r>
        <w:rPr>
          <w:rFonts w:ascii="Times New Roman" w:eastAsia="Times New Roman" w:hAnsi="Times New Roman"/>
          <w:b/>
          <w:sz w:val="20"/>
        </w:rPr>
        <w:t>Authoring Note</w:t>
      </w:r>
    </w:p>
    <w:p w14:paraId="52B99143" w14:textId="60942D2B" w:rsidR="00D063ED" w:rsidRDefault="00000000">
      <w:pPr>
        <w:spacing w:after="120" w:line="259" w:lineRule="auto"/>
      </w:pPr>
      <w:r>
        <w:rPr>
          <w:rFonts w:ascii="Times New Roman" w:eastAsia="Times New Roman" w:hAnsi="Times New Roman"/>
          <w:i/>
          <w:sz w:val="20"/>
        </w:rPr>
        <w:t xml:space="preserve">This white paper was drafted and edited with assistance from </w:t>
      </w:r>
      <w:r>
        <w:rPr>
          <w:rFonts w:ascii="Times New Roman" w:eastAsia="Times New Roman" w:hAnsi="Times New Roman"/>
          <w:b/>
          <w:sz w:val="20"/>
        </w:rPr>
        <w:t>Cursor Composer 2.5</w:t>
      </w:r>
      <w:r>
        <w:rPr>
          <w:rFonts w:ascii="Times New Roman" w:eastAsia="Times New Roman" w:hAnsi="Times New Roman"/>
          <w:i/>
          <w:sz w:val="20"/>
        </w:rPr>
        <w:t xml:space="preserve"> (AI). The human author reviewed all content, verified project-specific facts against the Bio-NAS repository and master pla</w:t>
      </w:r>
      <w:r w:rsidR="00397051">
        <w:rPr>
          <w:rFonts w:ascii="Times New Roman" w:eastAsia="Times New Roman" w:hAnsi="Times New Roman"/>
          <w:i/>
          <w:sz w:val="20"/>
        </w:rPr>
        <w:t>n.</w:t>
      </w:r>
    </w:p>
    <w:p w14:paraId="34069BBF" w14:textId="77777777" w:rsidR="00D063ED" w:rsidRDefault="00000000">
      <w:pPr>
        <w:spacing w:before="240" w:after="120" w:line="259" w:lineRule="auto"/>
        <w:jc w:val="center"/>
      </w:pPr>
      <w:r>
        <w:rPr>
          <w:rFonts w:ascii="Times New Roman" w:eastAsia="Times New Roman" w:hAnsi="Times New Roman"/>
          <w:b/>
          <w:sz w:val="20"/>
        </w:rPr>
        <w:t>INTRODUCTION AND OBJECTIVES</w:t>
      </w:r>
    </w:p>
    <w:p w14:paraId="7C91B125" w14:textId="77777777" w:rsidR="00D063ED" w:rsidRDefault="00000000">
      <w:pPr>
        <w:spacing w:before="200" w:after="80" w:line="259" w:lineRule="auto"/>
      </w:pPr>
      <w:r>
        <w:rPr>
          <w:rFonts w:ascii="Times New Roman" w:eastAsia="Times New Roman" w:hAnsi="Times New Roman"/>
          <w:b/>
          <w:sz w:val="20"/>
        </w:rPr>
        <w:t>Motivation and intellectual merit</w:t>
      </w:r>
    </w:p>
    <w:p w14:paraId="7C45D292" w14:textId="77777777" w:rsidR="00D063ED" w:rsidRDefault="00000000">
      <w:pPr>
        <w:spacing w:after="120" w:line="259" w:lineRule="auto"/>
        <w:ind w:firstLine="288"/>
      </w:pPr>
      <w:r>
        <w:rPr>
          <w:rFonts w:ascii="Times New Roman" w:eastAsia="Times New Roman" w:hAnsi="Times New Roman"/>
          <w:sz w:val="20"/>
        </w:rPr>
        <w:t xml:space="preserve">The Spatio-Temporal Dual-Track </w:t>
      </w:r>
      <w:r>
        <w:rPr>
          <w:rFonts w:ascii="Times New Roman" w:eastAsia="Times New Roman" w:hAnsi="Times New Roman"/>
          <w:b/>
          <w:sz w:val="20"/>
        </w:rPr>
        <w:t>Bio-NAS</w:t>
      </w:r>
      <w:r>
        <w:rPr>
          <w:rFonts w:ascii="Times New Roman" w:eastAsia="Times New Roman" w:hAnsi="Times New Roman"/>
          <w:sz w:val="20"/>
        </w:rPr>
        <w:t xml:space="preserve"> program asks whether biologically informed neural architecture search—where connectivity is constrained by curated pathway knowledge (KEGG, Reactome) via masked linear layers—outperforms unconstrained neural architecture search on multi-omic disease trajectory prediction. The thesis design runs a rigorous </w:t>
      </w:r>
      <w:r>
        <w:rPr>
          <w:rFonts w:ascii="Times New Roman" w:eastAsia="Times New Roman" w:hAnsi="Times New Roman"/>
          <w:b/>
          <w:sz w:val="20"/>
        </w:rPr>
        <w:t>Track A (control)</w:t>
      </w:r>
      <w:r>
        <w:rPr>
          <w:rFonts w:ascii="Times New Roman" w:eastAsia="Times New Roman" w:hAnsi="Times New Roman"/>
          <w:sz w:val="20"/>
        </w:rPr>
        <w:t xml:space="preserve"> versus </w:t>
      </w:r>
      <w:r>
        <w:rPr>
          <w:rFonts w:ascii="Times New Roman" w:eastAsia="Times New Roman" w:hAnsi="Times New Roman"/>
          <w:b/>
          <w:sz w:val="20"/>
        </w:rPr>
        <w:t>Track B (Bio-NAS)</w:t>
      </w:r>
      <w:r>
        <w:rPr>
          <w:rFonts w:ascii="Times New Roman" w:eastAsia="Times New Roman" w:hAnsi="Times New Roman"/>
          <w:sz w:val="20"/>
        </w:rPr>
        <w:t xml:space="preserve"> comparison on a breast invasive carcinoma (BRCA) anchor cohort before scaling, under a documented </w:t>
      </w:r>
      <w:r>
        <w:rPr>
          <w:rFonts w:ascii="Times New Roman" w:eastAsia="Times New Roman" w:hAnsi="Times New Roman"/>
          <w:b/>
          <w:sz w:val="20"/>
        </w:rPr>
        <w:t>scaling gate</w:t>
      </w:r>
      <w:r>
        <w:rPr>
          <w:rFonts w:ascii="Times New Roman" w:eastAsia="Times New Roman" w:hAnsi="Times New Roman"/>
          <w:sz w:val="20"/>
        </w:rPr>
        <w:t>, to Alzheimer's disease, rheumatoid arthritis, type 2 diabetes, and epigenetic aging cohorts. Intellectual merit lies in coupling spatio-temporal deep learning (genomic “spatial” axes and longitudinal Δt embeddings) with reproducible experiment orchestration (Optuna, patient-level holdout, causal cross-validation).</w:t>
      </w:r>
    </w:p>
    <w:p w14:paraId="1DAC2E3E" w14:textId="77777777" w:rsidR="00D063ED" w:rsidRDefault="00000000">
      <w:pPr>
        <w:spacing w:before="200" w:after="80" w:line="259" w:lineRule="auto"/>
      </w:pPr>
      <w:r>
        <w:rPr>
          <w:rFonts w:ascii="Times New Roman" w:eastAsia="Times New Roman" w:hAnsi="Times New Roman"/>
          <w:b/>
          <w:sz w:val="20"/>
        </w:rPr>
        <w:t>Broader impacts and objectives</w:t>
      </w:r>
    </w:p>
    <w:p w14:paraId="7176B618" w14:textId="77777777" w:rsidR="00D063ED" w:rsidRDefault="00000000">
      <w:pPr>
        <w:spacing w:after="120" w:line="259" w:lineRule="auto"/>
        <w:ind w:firstLine="288"/>
      </w:pPr>
      <w:r>
        <w:rPr>
          <w:rFonts w:ascii="Times New Roman" w:eastAsia="Times New Roman" w:hAnsi="Times New Roman"/>
          <w:sz w:val="20"/>
        </w:rPr>
        <w:t xml:space="preserve">Multi-omic machine learning touches sensitive human data, uneven cohort representation, and pathways toward clinical decision support. Even when the immediate goal is research software, stakeholders may misread pipeline smoke metrics as diagnostic evidence, re-identify participants from rich omics tables, or deploy models trained on convenience cohorts (for example TCGA) as if they were population-representative. This white paper maps </w:t>
      </w:r>
      <w:r>
        <w:rPr>
          <w:rFonts w:ascii="Times New Roman" w:eastAsia="Times New Roman" w:hAnsi="Times New Roman"/>
          <w:b/>
          <w:sz w:val="20"/>
        </w:rPr>
        <w:t>concrete Bio-NAS design choices</w:t>
      </w:r>
      <w:r>
        <w:rPr>
          <w:rFonts w:ascii="Times New Roman" w:eastAsia="Times New Roman" w:hAnsi="Times New Roman"/>
          <w:sz w:val="20"/>
        </w:rPr>
        <w:t xml:space="preserve"> to ethical, social, environmental, and economic implications, and pairs each risk with mitigations already planned or implemented in the repository.</w:t>
      </w:r>
    </w:p>
    <w:p w14:paraId="7234B20C" w14:textId="77777777" w:rsidR="00D063ED" w:rsidRDefault="00000000">
      <w:pPr>
        <w:spacing w:after="120" w:line="259" w:lineRule="auto"/>
        <w:ind w:firstLine="288"/>
      </w:pPr>
      <w:r>
        <w:rPr>
          <w:rFonts w:ascii="Times New Roman" w:eastAsia="Times New Roman" w:hAnsi="Times New Roman"/>
          <w:sz w:val="20"/>
        </w:rPr>
        <w:t xml:space="preserve">Objectives of this document are to: (1) explain why Bio-NAS raises distinct governance challenges compared with tabular clinical models; (2) analyze several project-native examples—mislabeled “toy” metrics, controlled-access data handling, and equity in cohort composition, omics-linked re-identification risk, and interpretability claims; and (3) align the three-year technical roadmap with responsible outcomes. In the same spirit of transparency applied to model outputs, we note that </w:t>
      </w:r>
      <w:r>
        <w:rPr>
          <w:rFonts w:ascii="Times New Roman" w:eastAsia="Times New Roman" w:hAnsi="Times New Roman"/>
          <w:b/>
          <w:sz w:val="20"/>
        </w:rPr>
        <w:t>Composer 2.5 assisted in drafting this paper</w:t>
      </w:r>
      <w:r>
        <w:rPr>
          <w:rFonts w:ascii="Times New Roman" w:eastAsia="Times New Roman" w:hAnsi="Times New Roman"/>
          <w:sz w:val="20"/>
        </w:rPr>
        <w:t>, while factual claims about Bio-NAS were checked against project documentation (for example docker/README.md, docs/data/cohort_inventory.md, and phd_bio_nas_master_plan.md).</w:t>
      </w:r>
    </w:p>
    <w:p w14:paraId="6A9F75F6" w14:textId="77777777" w:rsidR="00D063ED" w:rsidRDefault="00000000">
      <w:pPr>
        <w:spacing w:before="200" w:after="80" w:line="259" w:lineRule="auto"/>
      </w:pPr>
      <w:r>
        <w:rPr>
          <w:rFonts w:ascii="Times New Roman" w:eastAsia="Times New Roman" w:hAnsi="Times New Roman"/>
          <w:b/>
          <w:sz w:val="20"/>
        </w:rPr>
        <w:t>Non-goals</w:t>
      </w:r>
    </w:p>
    <w:p w14:paraId="027D4519" w14:textId="77777777" w:rsidR="00D063ED" w:rsidRDefault="00000000">
      <w:pPr>
        <w:spacing w:after="120" w:line="259" w:lineRule="auto"/>
        <w:ind w:firstLine="288"/>
      </w:pPr>
      <w:r>
        <w:rPr>
          <w:rFonts w:ascii="Times New Roman" w:eastAsia="Times New Roman" w:hAnsi="Times New Roman"/>
          <w:sz w:val="20"/>
        </w:rPr>
        <w:t xml:space="preserve">Plan-1 Docker demonstrations download small </w:t>
      </w:r>
      <w:r>
        <w:rPr>
          <w:rFonts w:ascii="Times New Roman" w:eastAsia="Times New Roman" w:hAnsi="Times New Roman"/>
          <w:b/>
          <w:sz w:val="20"/>
        </w:rPr>
        <w:t>open-access</w:t>
      </w:r>
      <w:r>
        <w:rPr>
          <w:rFonts w:ascii="Times New Roman" w:eastAsia="Times New Roman" w:hAnsi="Times New Roman"/>
          <w:sz w:val="20"/>
        </w:rPr>
        <w:t xml:space="preserve"> public slices (for example TCGA-BRCA Level-3 methylation and RNA) and run CPU toy architecture search. Project documentation states explicitly that these runs </w:t>
      </w:r>
      <w:r>
        <w:rPr>
          <w:rFonts w:ascii="Times New Roman" w:eastAsia="Times New Roman" w:hAnsi="Times New Roman"/>
          <w:b/>
          <w:sz w:val="20"/>
        </w:rPr>
        <w:t>validate engineering workflows only</w:t>
      </w:r>
      <w:r>
        <w:rPr>
          <w:rFonts w:ascii="Times New Roman" w:eastAsia="Times New Roman" w:hAnsi="Times New Roman"/>
          <w:sz w:val="20"/>
        </w:rPr>
        <w:t xml:space="preserve"> and are </w:t>
      </w:r>
      <w:r>
        <w:rPr>
          <w:rFonts w:ascii="Times New Roman" w:eastAsia="Times New Roman" w:hAnsi="Times New Roman"/>
          <w:b/>
          <w:sz w:val="20"/>
        </w:rPr>
        <w:t>not clinical evidence</w:t>
      </w:r>
      <w:r>
        <w:rPr>
          <w:rFonts w:ascii="Times New Roman" w:eastAsia="Times New Roman" w:hAnsi="Times New Roman"/>
          <w:sz w:val="20"/>
        </w:rPr>
        <w:t>. Full holdout benchmarks and attribution interfaces are Year 2–3 deliverables; until then, AUROC-style numbers from smoke demos must not inform patient care.</w:t>
      </w:r>
    </w:p>
    <w:p w14:paraId="1AD084AF" w14:textId="77777777" w:rsidR="00D063ED" w:rsidRDefault="00000000">
      <w:pPr>
        <w:spacing w:before="200" w:after="80" w:line="259" w:lineRule="auto"/>
      </w:pPr>
      <w:r>
        <w:rPr>
          <w:rFonts w:ascii="Times New Roman" w:eastAsia="Times New Roman" w:hAnsi="Times New Roman"/>
          <w:b/>
          <w:sz w:val="20"/>
        </w:rPr>
        <w:t>Issue 1: Toy metrics mistaken for clinical truth</w:t>
      </w:r>
    </w:p>
    <w:p w14:paraId="4C7EF4AF" w14:textId="77777777" w:rsidR="00D063ED" w:rsidRDefault="00000000">
      <w:pPr>
        <w:spacing w:after="120" w:line="259" w:lineRule="auto"/>
        <w:ind w:firstLine="288"/>
      </w:pPr>
      <w:r>
        <w:rPr>
          <w:rFonts w:ascii="Times New Roman" w:eastAsia="Times New Roman" w:hAnsi="Times New Roman"/>
          <w:sz w:val="20"/>
        </w:rPr>
        <w:t xml:space="preserve">The epigenetic aging Docker smoke uses chronological age thresholds (for example age ≥ 50 as a binary label) solely to exercise the training pipeline; wiki text labels this a </w:t>
      </w:r>
      <w:r>
        <w:rPr>
          <w:rFonts w:ascii="Times New Roman" w:eastAsia="Times New Roman" w:hAnsi="Times New Roman"/>
          <w:b/>
          <w:sz w:val="20"/>
        </w:rPr>
        <w:t>pipeline validation label</w:t>
      </w:r>
      <w:r>
        <w:rPr>
          <w:rFonts w:ascii="Times New Roman" w:eastAsia="Times New Roman" w:hAnsi="Times New Roman"/>
          <w:sz w:val="20"/>
        </w:rPr>
        <w:t xml:space="preserve">, not clinical aging acceleration or disease status. Similarly, the static HTML dashboard and train_toy_nas_cpu.py distinguish clinical proxies (such as AJCC staging on BRCA smoke) from </w:t>
      </w:r>
      <w:r>
        <w:rPr>
          <w:rFonts w:ascii="Times New Roman" w:eastAsia="Times New Roman" w:hAnsi="Times New Roman"/>
          <w:b/>
          <w:sz w:val="20"/>
        </w:rPr>
        <w:t>synthetic</w:t>
      </w:r>
      <w:r>
        <w:rPr>
          <w:rFonts w:ascii="Times New Roman" w:eastAsia="Times New Roman" w:hAnsi="Times New Roman"/>
          <w:sz w:val="20"/>
        </w:rPr>
        <w:t xml:space="preserve"> targets on other diseases. The dashboard builder embeds an explicit HTML notice that toy metrics </w:t>
      </w:r>
      <w:r>
        <w:rPr>
          <w:rFonts w:ascii="Times New Roman" w:eastAsia="Times New Roman" w:hAnsi="Times New Roman"/>
          <w:b/>
          <w:sz w:val="20"/>
        </w:rPr>
        <w:t>are not clinical results</w:t>
      </w:r>
      <w:r>
        <w:rPr>
          <w:rFonts w:ascii="Times New Roman" w:eastAsia="Times New Roman" w:hAnsi="Times New Roman"/>
          <w:sz w:val="20"/>
        </w:rPr>
        <w:t xml:space="preserve"> (scripts/build_dashboard.py). BRCA toy training uses leave-one-out cross-validation on roughly five to ten joint methylation cases—variance is enormous, yet a single AUROC figure can look authoritative in a slide deck. </w:t>
      </w:r>
      <w:r>
        <w:rPr>
          <w:rFonts w:ascii="Times New Roman" w:eastAsia="Times New Roman" w:hAnsi="Times New Roman"/>
          <w:b/>
          <w:sz w:val="20"/>
        </w:rPr>
        <w:t>Implication:</w:t>
      </w:r>
      <w:r>
        <w:rPr>
          <w:rFonts w:ascii="Times New Roman" w:eastAsia="Times New Roman" w:hAnsi="Times New Roman"/>
          <w:sz w:val="20"/>
        </w:rPr>
        <w:t xml:space="preserve"> Without persistent labeling discipline, funders or collaborators may over-trust metrics from tiny public slices and omit uncertainty when communicating public-health relevance. </w:t>
      </w:r>
      <w:r>
        <w:rPr>
          <w:rFonts w:ascii="Times New Roman" w:eastAsia="Times New Roman" w:hAnsi="Times New Roman"/>
          <w:b/>
          <w:sz w:val="20"/>
        </w:rPr>
        <w:t>Mitigation:</w:t>
      </w:r>
      <w:r>
        <w:rPr>
          <w:rFonts w:ascii="Times New Roman" w:eastAsia="Times New Roman" w:hAnsi="Times New Roman"/>
          <w:sz w:val="20"/>
        </w:rPr>
        <w:t xml:space="preserve"> Frozen nomenclature (“smoke” versus “holdout”), dashboard disclaimers, reporting confidence intervals or bootstrap bands on holdout work (Year 2), and planned OSS release notes (Summer 2029) that separate demo artifacts from frozen experiment IDs cited in the dissertation.</w:t>
      </w:r>
    </w:p>
    <w:p w14:paraId="3D7DB684" w14:textId="77777777" w:rsidR="00D063ED" w:rsidRDefault="00000000">
      <w:pPr>
        <w:spacing w:before="200" w:after="80" w:line="259" w:lineRule="auto"/>
      </w:pPr>
      <w:r>
        <w:rPr>
          <w:rFonts w:ascii="Times New Roman" w:eastAsia="Times New Roman" w:hAnsi="Times New Roman"/>
          <w:b/>
          <w:sz w:val="20"/>
        </w:rPr>
        <w:lastRenderedPageBreak/>
        <w:t>Issue 2: Data governance, privacy, and reproducibility</w:t>
      </w:r>
    </w:p>
    <w:p w14:paraId="1ACFB0BC" w14:textId="77777777" w:rsidR="00D063ED" w:rsidRDefault="00000000">
      <w:pPr>
        <w:spacing w:after="120" w:line="259" w:lineRule="auto"/>
        <w:ind w:firstLine="288"/>
      </w:pPr>
      <w:r>
        <w:rPr>
          <w:rFonts w:ascii="Times New Roman" w:eastAsia="Times New Roman" w:hAnsi="Times New Roman"/>
          <w:sz w:val="20"/>
        </w:rPr>
        <w:t xml:space="preserve">Alzheimer's work locks </w:t>
      </w:r>
      <w:r>
        <w:rPr>
          <w:rFonts w:ascii="Times New Roman" w:eastAsia="Times New Roman" w:hAnsi="Times New Roman"/>
          <w:b/>
          <w:sz w:val="20"/>
        </w:rPr>
        <w:t>ADNI (LONI)</w:t>
      </w:r>
      <w:r>
        <w:rPr>
          <w:rFonts w:ascii="Times New Roman" w:eastAsia="Times New Roman" w:hAnsi="Times New Roman"/>
          <w:sz w:val="20"/>
        </w:rPr>
        <w:t xml:space="preserve"> as the primary cohort, which requires an approved Data Use Agreement; the Docker entrypoint </w:t>
      </w:r>
      <w:r>
        <w:rPr>
          <w:rFonts w:ascii="Times New Roman" w:eastAsia="Times New Roman" w:hAnsi="Times New Roman"/>
          <w:b/>
          <w:sz w:val="20"/>
        </w:rPr>
        <w:t>scaffolds and skips</w:t>
      </w:r>
      <w:r>
        <w:rPr>
          <w:rFonts w:ascii="Times New Roman" w:eastAsia="Times New Roman" w:hAnsi="Times New Roman"/>
          <w:sz w:val="20"/>
        </w:rPr>
        <w:t xml:space="preserve"> controlled download when credentials are absent—no automated LONI scrape—and stores skip status under data/adni/. Credentials belong in a gitignored host .env, never in the image. Type 2 diabetes primary </w:t>
      </w:r>
      <w:r>
        <w:rPr>
          <w:rFonts w:ascii="Times New Roman" w:eastAsia="Times New Roman" w:hAnsi="Times New Roman"/>
          <w:b/>
          <w:sz w:val="20"/>
        </w:rPr>
        <w:t>KORA</w:t>
      </w:r>
      <w:r>
        <w:rPr>
          <w:rFonts w:ascii="Times New Roman" w:eastAsia="Times New Roman" w:hAnsi="Times New Roman"/>
          <w:sz w:val="20"/>
        </w:rPr>
        <w:t xml:space="preserve"> and dbGaP-controlled alternates (for example AURORA metastatic breast resources) remain </w:t>
      </w:r>
      <w:r>
        <w:rPr>
          <w:rFonts w:ascii="Times New Roman" w:eastAsia="Times New Roman" w:hAnsi="Times New Roman"/>
          <w:b/>
          <w:sz w:val="20"/>
        </w:rPr>
        <w:t>outside Docker</w:t>
      </w:r>
      <w:r>
        <w:rPr>
          <w:rFonts w:ascii="Times New Roman" w:eastAsia="Times New Roman" w:hAnsi="Times New Roman"/>
          <w:sz w:val="20"/>
        </w:rPr>
        <w:t xml:space="preserve"> until project agreements complete, while the open reproducibility path documents honest limits in cohort_inventory.md. Optional pipeline automation (GitHub Repository Dispatch after toy runs) is </w:t>
      </w:r>
      <w:r>
        <w:rPr>
          <w:rFonts w:ascii="Times New Roman" w:eastAsia="Times New Roman" w:hAnsi="Times New Roman"/>
          <w:b/>
          <w:sz w:val="20"/>
        </w:rPr>
        <w:t>disabled by default</w:t>
      </w:r>
      <w:r>
        <w:rPr>
          <w:rFonts w:ascii="Times New Roman" w:eastAsia="Times New Roman" w:hAnsi="Times New Roman"/>
          <w:sz w:val="20"/>
        </w:rPr>
        <w:t xml:space="preserve"> in Compose documentation so CI webhooks cannot become an exfiltration path for paths, tokens, or cohort filenames. </w:t>
      </w:r>
      <w:r>
        <w:rPr>
          <w:rFonts w:ascii="Times New Roman" w:eastAsia="Times New Roman" w:hAnsi="Times New Roman"/>
          <w:b/>
          <w:sz w:val="20"/>
        </w:rPr>
        <w:t>Implication:</w:t>
      </w:r>
      <w:r>
        <w:rPr>
          <w:rFonts w:ascii="Times New Roman" w:eastAsia="Times New Roman" w:hAnsi="Times New Roman"/>
          <w:sz w:val="20"/>
        </w:rPr>
        <w:t xml:space="preserve"> Open science and privacy pull in opposite directions if reproducibility is misread as “all cohorts ship in Compose.” </w:t>
      </w:r>
      <w:r>
        <w:rPr>
          <w:rFonts w:ascii="Times New Roman" w:eastAsia="Times New Roman" w:hAnsi="Times New Roman"/>
          <w:b/>
          <w:sz w:val="20"/>
        </w:rPr>
        <w:t>Mitigation:</w:t>
      </w:r>
      <w:r>
        <w:rPr>
          <w:rFonts w:ascii="Times New Roman" w:eastAsia="Times New Roman" w:hAnsi="Times New Roman"/>
          <w:sz w:val="20"/>
        </w:rPr>
        <w:t xml:space="preserve"> Inventory verification lists controlled sources under skipped_controlled; human-in-the-loop DUA steps are documented exceptions to Docker-first implementation; post-DUA verification only after approval; no secrets baked into images or dispatch payloads.</w:t>
      </w:r>
    </w:p>
    <w:p w14:paraId="2CBBDA6A" w14:textId="77777777" w:rsidR="00D063ED" w:rsidRDefault="00000000">
      <w:pPr>
        <w:spacing w:before="200" w:after="80" w:line="259" w:lineRule="auto"/>
      </w:pPr>
      <w:r>
        <w:rPr>
          <w:rFonts w:ascii="Times New Roman" w:eastAsia="Times New Roman" w:hAnsi="Times New Roman"/>
          <w:b/>
          <w:sz w:val="20"/>
        </w:rPr>
        <w:t>Issue 3: Equity, representation, and multi-cohort fusion</w:t>
      </w:r>
    </w:p>
    <w:p w14:paraId="3DB6DE3D" w14:textId="77777777" w:rsidR="00D063ED" w:rsidRDefault="00000000">
      <w:pPr>
        <w:spacing w:after="120" w:line="259" w:lineRule="auto"/>
        <w:ind w:firstLine="288"/>
      </w:pPr>
      <w:r>
        <w:rPr>
          <w:rFonts w:ascii="Times New Roman" w:eastAsia="Times New Roman" w:hAnsi="Times New Roman"/>
          <w:sz w:val="20"/>
        </w:rPr>
        <w:t xml:space="preserve">TCGA-BRCA (~1,098 cases in inventory verification) is a practical anchor but </w:t>
      </w:r>
      <w:r>
        <w:rPr>
          <w:rFonts w:ascii="Times New Roman" w:eastAsia="Times New Roman" w:hAnsi="Times New Roman"/>
          <w:b/>
          <w:sz w:val="20"/>
        </w:rPr>
        <w:t>not demographically representative</w:t>
      </w:r>
      <w:r>
        <w:rPr>
          <w:rFonts w:ascii="Times New Roman" w:eastAsia="Times New Roman" w:hAnsi="Times New Roman"/>
          <w:sz w:val="20"/>
        </w:rPr>
        <w:t xml:space="preserve"> of all patients with breast cancer; true repeated molecular timepoints are </w:t>
      </w:r>
      <w:r>
        <w:rPr>
          <w:rFonts w:ascii="Times New Roman" w:eastAsia="Times New Roman" w:hAnsi="Times New Roman"/>
          <w:b/>
          <w:sz w:val="20"/>
        </w:rPr>
        <w:t>sparse</w:t>
      </w:r>
      <w:r>
        <w:rPr>
          <w:rFonts w:ascii="Times New Roman" w:eastAsia="Times New Roman" w:hAnsi="Times New Roman"/>
          <w:sz w:val="20"/>
        </w:rPr>
        <w:t xml:space="preserve"> on TCGA, with AURORA US documented as an alternate when paired primary–metastasis omics matter. Epigenetic aging harmonization (GSE40279, GSE87571, GSE280465) must address </w:t>
      </w:r>
      <w:r>
        <w:rPr>
          <w:rFonts w:ascii="Times New Roman" w:eastAsia="Times New Roman" w:hAnsi="Times New Roman"/>
          <w:b/>
          <w:sz w:val="20"/>
        </w:rPr>
        <w:t>tissue-specific and age distribution biases</w:t>
      </w:r>
      <w:r>
        <w:rPr>
          <w:rFonts w:ascii="Times New Roman" w:eastAsia="Times New Roman" w:hAnsi="Times New Roman"/>
          <w:sz w:val="20"/>
        </w:rPr>
        <w:t xml:space="preserve"> per master-plan acceptance criteria. Rheumatoid arthritis integrates </w:t>
      </w:r>
      <w:r>
        <w:rPr>
          <w:rFonts w:ascii="Times New Roman" w:eastAsia="Times New Roman" w:hAnsi="Times New Roman"/>
          <w:b/>
          <w:sz w:val="20"/>
        </w:rPr>
        <w:t>unpaired</w:t>
      </w:r>
      <w:r>
        <w:rPr>
          <w:rFonts w:ascii="Times New Roman" w:eastAsia="Times New Roman" w:hAnsi="Times New Roman"/>
          <w:sz w:val="20"/>
        </w:rPr>
        <w:t xml:space="preserve"> cohorts (GSE71841 methylation versus DAS28 severity anchors) with multi-task loss masking so severity is not falsely trained on the small healthy/RA methylation set (n≈24). </w:t>
      </w:r>
      <w:r>
        <w:rPr>
          <w:rFonts w:ascii="Times New Roman" w:eastAsia="Times New Roman" w:hAnsi="Times New Roman"/>
          <w:b/>
          <w:sz w:val="20"/>
        </w:rPr>
        <w:t>Implication:</w:t>
      </w:r>
      <w:r>
        <w:rPr>
          <w:rFonts w:ascii="Times New Roman" w:eastAsia="Times New Roman" w:hAnsi="Times New Roman"/>
          <w:sz w:val="20"/>
        </w:rPr>
        <w:t xml:space="preserve"> Models may absorb ancestry, sex, or batch effects as apparent biology. </w:t>
      </w:r>
      <w:r>
        <w:rPr>
          <w:rFonts w:ascii="Times New Roman" w:eastAsia="Times New Roman" w:hAnsi="Times New Roman"/>
          <w:b/>
          <w:sz w:val="20"/>
        </w:rPr>
        <w:t>Mitigation:</w:t>
      </w:r>
      <w:r>
        <w:rPr>
          <w:rFonts w:ascii="Times New Roman" w:eastAsia="Times New Roman" w:hAnsi="Times New Roman"/>
          <w:sz w:val="20"/>
        </w:rPr>
        <w:t xml:space="preserve"> Patient-level 80/20 holdout with automated leakage tests; subgroup sensitivity analyses in thesis synthesis; </w:t>
      </w:r>
      <w:r>
        <w:rPr>
          <w:rFonts w:ascii="Times New Roman" w:eastAsia="Times New Roman" w:hAnsi="Times New Roman"/>
          <w:b/>
          <w:sz w:val="20"/>
        </w:rPr>
        <w:t>scaling gate</w:t>
      </w:r>
      <w:r>
        <w:rPr>
          <w:rFonts w:ascii="Times New Roman" w:eastAsia="Times New Roman" w:hAnsi="Times New Roman"/>
          <w:sz w:val="20"/>
        </w:rPr>
        <w:t xml:space="preserve"> limiting multi-disease Track B claims unless BRCA holdout shows advantage on accuracy, interpretability, and/or sparsity.</w:t>
      </w:r>
    </w:p>
    <w:p w14:paraId="2B7899CF" w14:textId="77777777" w:rsidR="00D063ED" w:rsidRDefault="00000000">
      <w:pPr>
        <w:spacing w:before="200" w:after="80" w:line="259" w:lineRule="auto"/>
      </w:pPr>
      <w:r>
        <w:rPr>
          <w:rFonts w:ascii="Times New Roman" w:eastAsia="Times New Roman" w:hAnsi="Times New Roman"/>
          <w:b/>
          <w:sz w:val="20"/>
        </w:rPr>
        <w:t>Issue 4: Re-identification, omics richness, and public-health privacy</w:t>
      </w:r>
    </w:p>
    <w:p w14:paraId="4CB17742" w14:textId="77777777" w:rsidR="00D063ED" w:rsidRDefault="00000000">
      <w:pPr>
        <w:spacing w:after="120" w:line="259" w:lineRule="auto"/>
        <w:ind w:firstLine="288"/>
      </w:pPr>
      <w:r>
        <w:rPr>
          <w:rFonts w:ascii="Times New Roman" w:eastAsia="Times New Roman" w:hAnsi="Times New Roman"/>
          <w:sz w:val="20"/>
        </w:rPr>
        <w:t xml:space="preserve">Multi-omic tensors combine hundreds of thousands of CpG or gene features with visit timestamps and clinical covariates. Even when identifiers are removed from public releases, high-dimensional profiles can support </w:t>
      </w:r>
      <w:r>
        <w:rPr>
          <w:rFonts w:ascii="Times New Roman" w:eastAsia="Times New Roman" w:hAnsi="Times New Roman"/>
          <w:b/>
          <w:sz w:val="20"/>
        </w:rPr>
        <w:t>re-identification</w:t>
      </w:r>
      <w:r>
        <w:rPr>
          <w:rFonts w:ascii="Times New Roman" w:eastAsia="Times New Roman" w:hAnsi="Times New Roman"/>
          <w:sz w:val="20"/>
        </w:rPr>
        <w:t xml:space="preserve"> or kin inference when linked with auxiliary data [19]—a concern for TCGA Level-3 open tables used in Plan-1 Docker smoke (~5–10 joint BRCA cases) and, under DUAs, for ADNI blood EPIC methylation with repeated clinical waves. The welfare issue is not only confidentiality breach but loss of public trust in legitimate research reuse. </w:t>
      </w:r>
      <w:r>
        <w:rPr>
          <w:rFonts w:ascii="Times New Roman" w:eastAsia="Times New Roman" w:hAnsi="Times New Roman"/>
          <w:b/>
          <w:sz w:val="20"/>
        </w:rPr>
        <w:t>Implication:</w:t>
      </w:r>
      <w:r>
        <w:rPr>
          <w:rFonts w:ascii="Times New Roman" w:eastAsia="Times New Roman" w:hAnsi="Times New Roman"/>
          <w:sz w:val="20"/>
        </w:rPr>
        <w:t xml:space="preserve"> Static dashboards, Streamlit demos, and attribution exports can become accidental disclosure channels if they ship raw case IDs, full beta matrices, or downloadable holdout rows without access control. </w:t>
      </w:r>
      <w:r>
        <w:rPr>
          <w:rFonts w:ascii="Times New Roman" w:eastAsia="Times New Roman" w:hAnsi="Times New Roman"/>
          <w:b/>
          <w:sz w:val="20"/>
        </w:rPr>
        <w:t>Mitigation:</w:t>
      </w:r>
      <w:r>
        <w:rPr>
          <w:rFonts w:ascii="Times New Roman" w:eastAsia="Times New Roman" w:hAnsi="Times New Roman"/>
          <w:sz w:val="20"/>
        </w:rPr>
        <w:t xml:space="preserve"> Keep controlled cohorts off public Compose mounts; use de-identified demo identifiers in any Year 3 UI; export aggregate or top-k attribution summaries for OSS; document auth and PII constraints as a master-plan acceptance item before demos that resemble clinical workflow; align ADNI use with LONI DUA terms after approval.</w:t>
      </w:r>
    </w:p>
    <w:p w14:paraId="4F390FBE" w14:textId="77777777" w:rsidR="00D063ED" w:rsidRDefault="00000000">
      <w:pPr>
        <w:spacing w:before="200" w:after="80" w:line="259" w:lineRule="auto"/>
      </w:pPr>
      <w:r>
        <w:rPr>
          <w:rFonts w:ascii="Times New Roman" w:eastAsia="Times New Roman" w:hAnsi="Times New Roman"/>
          <w:b/>
          <w:sz w:val="20"/>
        </w:rPr>
        <w:t>Issue 5: Interpretability, pathway priors, and welfare of explanation</w:t>
      </w:r>
    </w:p>
    <w:p w14:paraId="5B1DD406" w14:textId="77777777" w:rsidR="00D063ED" w:rsidRDefault="00000000">
      <w:pPr>
        <w:spacing w:after="120" w:line="259" w:lineRule="auto"/>
        <w:ind w:firstLine="288"/>
      </w:pPr>
      <w:r>
        <w:rPr>
          <w:rFonts w:ascii="Times New Roman" w:eastAsia="Times New Roman" w:hAnsi="Times New Roman"/>
          <w:sz w:val="20"/>
        </w:rPr>
        <w:t xml:space="preserve">Track B constrains connectivity using KEGG and Reactome adjacency translated into </w:t>
      </w:r>
      <w:r>
        <w:rPr>
          <w:rFonts w:ascii="Times New Roman" w:eastAsia="Times New Roman" w:hAnsi="Times New Roman"/>
          <w:b/>
          <w:sz w:val="20"/>
        </w:rPr>
        <w:t>MaskedLinear</w:t>
      </w:r>
      <w:r>
        <w:rPr>
          <w:rFonts w:ascii="Times New Roman" w:eastAsia="Times New Roman" w:hAnsi="Times New Roman"/>
          <w:sz w:val="20"/>
        </w:rPr>
        <w:t xml:space="preserve"> layers, aiming for sparsity and biologist-readable structure compared with Track A’s unconstrained search. Year 3 Captum/SHAP pipelines will rank CpG sites and timepoints driving predictions, with Track B maps checked against pathway priors. Explanations can improve </w:t>
      </w:r>
      <w:r>
        <w:rPr>
          <w:rFonts w:ascii="Times New Roman" w:eastAsia="Times New Roman" w:hAnsi="Times New Roman"/>
          <w:b/>
          <w:sz w:val="20"/>
        </w:rPr>
        <w:t>human oversight</w:t>
      </w:r>
      <w:r>
        <w:rPr>
          <w:rFonts w:ascii="Times New Roman" w:eastAsia="Times New Roman" w:hAnsi="Times New Roman"/>
          <w:sz w:val="20"/>
        </w:rPr>
        <w:t xml:space="preserve">, but they are not causal proof: pathway catalogs are incomplete, historically Eurocentric in curation, and SHAP attributions in genomics can be unstable under preprocessing shifts. Treating pretty heatmaps as mechanistic certainty risks </w:t>
      </w:r>
      <w:r>
        <w:rPr>
          <w:rFonts w:ascii="Times New Roman" w:eastAsia="Times New Roman" w:hAnsi="Times New Roman"/>
          <w:b/>
          <w:sz w:val="20"/>
        </w:rPr>
        <w:t>interpretability washing</w:t>
      </w:r>
      <w:r>
        <w:rPr>
          <w:rFonts w:ascii="Times New Roman" w:eastAsia="Times New Roman" w:hAnsi="Times New Roman"/>
          <w:sz w:val="20"/>
        </w:rPr>
        <w:t xml:space="preserve">—especially if Streamlit curves are shown to patients or families without context. </w:t>
      </w:r>
      <w:r>
        <w:rPr>
          <w:rFonts w:ascii="Times New Roman" w:eastAsia="Times New Roman" w:hAnsi="Times New Roman"/>
          <w:b/>
          <w:sz w:val="20"/>
        </w:rPr>
        <w:t>Implication:</w:t>
      </w:r>
      <w:r>
        <w:rPr>
          <w:rFonts w:ascii="Times New Roman" w:eastAsia="Times New Roman" w:hAnsi="Times New Roman"/>
          <w:sz w:val="20"/>
        </w:rPr>
        <w:t xml:space="preserve"> Overconfident mechanistic narratives may harm welfare by steering attention toward wrong targets or delaying appropriate care. </w:t>
      </w:r>
      <w:r>
        <w:rPr>
          <w:rFonts w:ascii="Times New Roman" w:eastAsia="Times New Roman" w:hAnsi="Times New Roman"/>
          <w:b/>
          <w:sz w:val="20"/>
        </w:rPr>
        <w:t>Mitigation:</w:t>
      </w:r>
      <w:r>
        <w:rPr>
          <w:rFonts w:ascii="Times New Roman" w:eastAsia="Times New Roman" w:hAnsi="Times New Roman"/>
          <w:sz w:val="20"/>
        </w:rPr>
        <w:t xml:space="preserve"> Label visualization outputs as </w:t>
      </w:r>
      <w:r>
        <w:rPr>
          <w:rFonts w:ascii="Times New Roman" w:eastAsia="Times New Roman" w:hAnsi="Times New Roman"/>
          <w:b/>
          <w:sz w:val="20"/>
        </w:rPr>
        <w:t>research hypotheses</w:t>
      </w:r>
      <w:r>
        <w:rPr>
          <w:rFonts w:ascii="Times New Roman" w:eastAsia="Times New Roman" w:hAnsi="Times New Roman"/>
          <w:sz w:val="20"/>
        </w:rPr>
        <w:t xml:space="preserve"> requiring clinician and statistician review; pair attributions with holdout performance and ablations; use the </w:t>
      </w:r>
      <w:r>
        <w:rPr>
          <w:rFonts w:ascii="Times New Roman" w:eastAsia="Times New Roman" w:hAnsi="Times New Roman"/>
          <w:b/>
          <w:sz w:val="20"/>
        </w:rPr>
        <w:t>scaling gate</w:t>
      </w:r>
      <w:r>
        <w:rPr>
          <w:rFonts w:ascii="Times New Roman" w:eastAsia="Times New Roman" w:hAnsi="Times New Roman"/>
          <w:sz w:val="20"/>
        </w:rPr>
        <w:t xml:space="preserve"> so multi-disease “Bio-NAS wins” claims wait on BRCA evidence for accuracy, interpretability, and/or sparsity.</w:t>
      </w:r>
    </w:p>
    <w:p w14:paraId="225BC884" w14:textId="77777777" w:rsidR="00D063ED" w:rsidRDefault="00000000">
      <w:pPr>
        <w:spacing w:before="200" w:after="80" w:line="259" w:lineRule="auto"/>
      </w:pPr>
      <w:r>
        <w:rPr>
          <w:rFonts w:ascii="Times New Roman" w:eastAsia="Times New Roman" w:hAnsi="Times New Roman"/>
          <w:b/>
          <w:sz w:val="20"/>
        </w:rPr>
        <w:t>Global, cultural, and social context</w:t>
      </w:r>
    </w:p>
    <w:p w14:paraId="36283DBB" w14:textId="77777777" w:rsidR="00D063ED" w:rsidRDefault="00000000">
      <w:pPr>
        <w:spacing w:after="120" w:line="259" w:lineRule="auto"/>
        <w:ind w:firstLine="288"/>
      </w:pPr>
      <w:r>
        <w:rPr>
          <w:rFonts w:ascii="Times New Roman" w:eastAsia="Times New Roman" w:hAnsi="Times New Roman"/>
          <w:sz w:val="20"/>
        </w:rPr>
        <w:t xml:space="preserve">Bio-NAS spans oncologic, neurologic, autoimmune, metabolic, and aging-related cohorts drawn from </w:t>
      </w:r>
      <w:r>
        <w:rPr>
          <w:rFonts w:ascii="Times New Roman" w:eastAsia="Times New Roman" w:hAnsi="Times New Roman"/>
          <w:b/>
          <w:sz w:val="20"/>
        </w:rPr>
        <w:t>different continents and access regimes</w:t>
      </w:r>
      <w:r>
        <w:rPr>
          <w:rFonts w:ascii="Times New Roman" w:eastAsia="Times New Roman" w:hAnsi="Times New Roman"/>
          <w:sz w:val="20"/>
        </w:rPr>
        <w:t xml:space="preserve">. TCGA-BRCA is a US-heavy convenience anchor; KORA T2D is a European controlled resource; public GEO smokes for RA and epigenetic aging are small series useful for engineering but weak for global generalization. KEGG/Reactome priors embed a </w:t>
      </w:r>
      <w:r>
        <w:rPr>
          <w:rFonts w:ascii="Times New Roman" w:eastAsia="Times New Roman" w:hAnsi="Times New Roman"/>
          <w:b/>
          <w:sz w:val="20"/>
        </w:rPr>
        <w:t>curated Western biomedical canon</w:t>
      </w:r>
      <w:r>
        <w:rPr>
          <w:rFonts w:ascii="Times New Roman" w:eastAsia="Times New Roman" w:hAnsi="Times New Roman"/>
          <w:sz w:val="20"/>
        </w:rPr>
        <w:t xml:space="preserve"> that may under-represent pathways </w:t>
      </w:r>
      <w:r>
        <w:rPr>
          <w:rFonts w:ascii="Times New Roman" w:eastAsia="Times New Roman" w:hAnsi="Times New Roman"/>
          <w:sz w:val="20"/>
        </w:rPr>
        <w:lastRenderedPageBreak/>
        <w:t xml:space="preserve">shaped by ancestry, diet, or environmental exposure. Epigenetic clock harmonization (GSE40279, GSE87571, GSE280465) intersects social debates about “biological age” versus chronological age and fairness in insurance or employment—motivating the master-plan requirement to address tissue-specific and age-distribution biases before severity tiers drive multi-task losses. </w:t>
      </w:r>
      <w:r>
        <w:rPr>
          <w:rFonts w:ascii="Times New Roman" w:eastAsia="Times New Roman" w:hAnsi="Times New Roman"/>
          <w:b/>
          <w:sz w:val="20"/>
        </w:rPr>
        <w:t>Implication:</w:t>
      </w:r>
      <w:r>
        <w:rPr>
          <w:rFonts w:ascii="Times New Roman" w:eastAsia="Times New Roman" w:hAnsi="Times New Roman"/>
          <w:sz w:val="20"/>
        </w:rPr>
        <w:t xml:space="preserve"> Findings may read as universal when they reflect sampling and catalog bias. </w:t>
      </w:r>
      <w:r>
        <w:rPr>
          <w:rFonts w:ascii="Times New Roman" w:eastAsia="Times New Roman" w:hAnsi="Times New Roman"/>
          <w:b/>
          <w:sz w:val="20"/>
        </w:rPr>
        <w:t>Mitigation:</w:t>
      </w:r>
      <w:r>
        <w:rPr>
          <w:rFonts w:ascii="Times New Roman" w:eastAsia="Times New Roman" w:hAnsi="Times New Roman"/>
          <w:sz w:val="20"/>
        </w:rPr>
        <w:t xml:space="preserve"> Document alternates (AURORA, ROSMAP) in the inventory; plan subgroup sensitivity analyses in thesis synthesis; report null or negative </w:t>
      </w:r>
      <w:r>
        <w:rPr>
          <w:rFonts w:ascii="Times New Roman" w:eastAsia="Times New Roman" w:hAnsi="Times New Roman"/>
          <w:b/>
          <w:sz w:val="20"/>
        </w:rPr>
        <w:t>scaling gate</w:t>
      </w:r>
      <w:r>
        <w:rPr>
          <w:rFonts w:ascii="Times New Roman" w:eastAsia="Times New Roman" w:hAnsi="Times New Roman"/>
          <w:sz w:val="20"/>
        </w:rPr>
        <w:t xml:space="preserve"> outcomes as valid scientific contributions that narrow public claims.</w:t>
      </w:r>
    </w:p>
    <w:p w14:paraId="40D4F73D" w14:textId="77777777" w:rsidR="00D063ED" w:rsidRDefault="00000000">
      <w:pPr>
        <w:spacing w:before="200" w:after="80" w:line="259" w:lineRule="auto"/>
      </w:pPr>
      <w:r>
        <w:rPr>
          <w:rFonts w:ascii="Times New Roman" w:eastAsia="Times New Roman" w:hAnsi="Times New Roman"/>
          <w:b/>
          <w:sz w:val="20"/>
        </w:rPr>
        <w:t>Environmental and economic factors</w:t>
      </w:r>
    </w:p>
    <w:p w14:paraId="451DC3DD" w14:textId="77777777" w:rsidR="00D063ED" w:rsidRDefault="00000000">
      <w:pPr>
        <w:spacing w:after="120" w:line="259" w:lineRule="auto"/>
        <w:ind w:firstLine="288"/>
      </w:pPr>
      <w:r>
        <w:rPr>
          <w:rFonts w:ascii="Times New Roman" w:eastAsia="Times New Roman" w:hAnsi="Times New Roman"/>
          <w:sz w:val="20"/>
        </w:rPr>
        <w:t xml:space="preserve">Year 2 distributed Optuna search on Slurm carries non-trivial </w:t>
      </w:r>
      <w:r>
        <w:rPr>
          <w:rFonts w:ascii="Times New Roman" w:eastAsia="Times New Roman" w:hAnsi="Times New Roman"/>
          <w:b/>
          <w:sz w:val="20"/>
        </w:rPr>
        <w:t>energy use and institutional or cloud cost</w:t>
      </w:r>
      <w:r>
        <w:rPr>
          <w:rFonts w:ascii="Times New Roman" w:eastAsia="Times New Roman" w:hAnsi="Times New Roman"/>
          <w:sz w:val="20"/>
        </w:rPr>
        <w:t xml:space="preserve">, borne by universities or grant budgets rather than patients directly—yet carbon and compute spending are public-good questions for funders. Track B explicitly targets </w:t>
      </w:r>
      <w:r>
        <w:rPr>
          <w:rFonts w:ascii="Times New Roman" w:eastAsia="Times New Roman" w:hAnsi="Times New Roman"/>
          <w:b/>
          <w:sz w:val="20"/>
        </w:rPr>
        <w:t>computational sparsity</w:t>
      </w:r>
      <w:r>
        <w:rPr>
          <w:rFonts w:ascii="Times New Roman" w:eastAsia="Times New Roman" w:hAnsi="Times New Roman"/>
          <w:sz w:val="20"/>
        </w:rPr>
        <w:t xml:space="preserve"> via pathway constraints; if sparsity improves without sacrificing holdout performance, that outcome supports both interpretability and greener large-scale search. </w:t>
      </w:r>
      <w:r>
        <w:rPr>
          <w:rFonts w:ascii="Times New Roman" w:eastAsia="Times New Roman" w:hAnsi="Times New Roman"/>
          <w:b/>
          <w:sz w:val="20"/>
        </w:rPr>
        <w:t>Mitigation:</w:t>
      </w:r>
      <w:r>
        <w:rPr>
          <w:rFonts w:ascii="Times New Roman" w:eastAsia="Times New Roman" w:hAnsi="Times New Roman"/>
          <w:sz w:val="20"/>
        </w:rPr>
        <w:t xml:space="preserve"> Log trial counts and worker scale-out in experiment metadata; report sparsity and accuracy jointly; prefer pathway-constrained models when they reduce parameter count without harming holdout metrics.</w:t>
      </w:r>
    </w:p>
    <w:p w14:paraId="21EFD3EC" w14:textId="77777777" w:rsidR="00D063ED" w:rsidRDefault="00000000">
      <w:pPr>
        <w:spacing w:before="200" w:after="80" w:line="259" w:lineRule="auto"/>
      </w:pPr>
      <w:r>
        <w:rPr>
          <w:rFonts w:ascii="Times New Roman" w:eastAsia="Times New Roman" w:hAnsi="Times New Roman"/>
          <w:b/>
          <w:sz w:val="20"/>
        </w:rPr>
        <w:t>Recommended safeguards summary</w:t>
      </w:r>
    </w:p>
    <w:p w14:paraId="08A1C806" w14:textId="77777777" w:rsidR="00D063ED" w:rsidRDefault="00000000">
      <w:pPr>
        <w:spacing w:after="120" w:line="259" w:lineRule="auto"/>
        <w:ind w:firstLine="288"/>
      </w:pPr>
      <w:r>
        <w:rPr>
          <w:rFonts w:ascii="Times New Roman" w:eastAsia="Times New Roman" w:hAnsi="Times New Roman"/>
          <w:sz w:val="20"/>
        </w:rPr>
        <w:t xml:space="preserve">The following actions map the issues above to accountable practice throughout the PhD timeline: (1) </w:t>
      </w:r>
      <w:r>
        <w:rPr>
          <w:rFonts w:ascii="Times New Roman" w:eastAsia="Times New Roman" w:hAnsi="Times New Roman"/>
          <w:b/>
          <w:sz w:val="20"/>
        </w:rPr>
        <w:t>Labeling discipline</w:t>
      </w:r>
      <w:r>
        <w:rPr>
          <w:rFonts w:ascii="Times New Roman" w:eastAsia="Times New Roman" w:hAnsi="Times New Roman"/>
          <w:sz w:val="20"/>
        </w:rPr>
        <w:t xml:space="preserve">—never present smoke or toy AUROC as clinical performance; keep dashboard and README disclaimers visible. (2) </w:t>
      </w:r>
      <w:r>
        <w:rPr>
          <w:rFonts w:ascii="Times New Roman" w:eastAsia="Times New Roman" w:hAnsi="Times New Roman"/>
          <w:b/>
          <w:sz w:val="20"/>
        </w:rPr>
        <w:t>Controlled data hygiene</w:t>
      </w:r>
      <w:r>
        <w:rPr>
          <w:rFonts w:ascii="Times New Roman" w:eastAsia="Times New Roman" w:hAnsi="Times New Roman"/>
          <w:sz w:val="20"/>
        </w:rPr>
        <w:t xml:space="preserve">—DUAs and KORA agreements outside Docker; credentials only in gitignored .env; verify ADNI only post-approval. (3) </w:t>
      </w:r>
      <w:r>
        <w:rPr>
          <w:rFonts w:ascii="Times New Roman" w:eastAsia="Times New Roman" w:hAnsi="Times New Roman"/>
          <w:b/>
          <w:sz w:val="20"/>
        </w:rPr>
        <w:t>Methodological fairness</w:t>
      </w:r>
      <w:r>
        <w:rPr>
          <w:rFonts w:ascii="Times New Roman" w:eastAsia="Times New Roman" w:hAnsi="Times New Roman"/>
          <w:sz w:val="20"/>
        </w:rPr>
        <w:t xml:space="preserve">—patient-level holdout before preprocessing, leakage tests, and planned subgroup analyses. (4) </w:t>
      </w:r>
      <w:r>
        <w:rPr>
          <w:rFonts w:ascii="Times New Roman" w:eastAsia="Times New Roman" w:hAnsi="Times New Roman"/>
          <w:b/>
          <w:sz w:val="20"/>
        </w:rPr>
        <w:t>Responsible scaling</w:t>
      </w:r>
      <w:r>
        <w:rPr>
          <w:rFonts w:ascii="Times New Roman" w:eastAsia="Times New Roman" w:hAnsi="Times New Roman"/>
          <w:sz w:val="20"/>
        </w:rPr>
        <w:t xml:space="preserve">—honor the BRCA </w:t>
      </w:r>
      <w:r>
        <w:rPr>
          <w:rFonts w:ascii="Times New Roman" w:eastAsia="Times New Roman" w:hAnsi="Times New Roman"/>
          <w:b/>
          <w:sz w:val="20"/>
        </w:rPr>
        <w:t>scaling gate</w:t>
      </w:r>
      <w:r>
        <w:rPr>
          <w:rFonts w:ascii="Times New Roman" w:eastAsia="Times New Roman" w:hAnsi="Times New Roman"/>
          <w:sz w:val="20"/>
        </w:rPr>
        <w:t xml:space="preserve"> before broad Track B claims across Other 4 diseases. (5) </w:t>
      </w:r>
      <w:r>
        <w:rPr>
          <w:rFonts w:ascii="Times New Roman" w:eastAsia="Times New Roman" w:hAnsi="Times New Roman"/>
          <w:b/>
          <w:sz w:val="20"/>
        </w:rPr>
        <w:t>Safe interfaces</w:t>
      </w:r>
      <w:r>
        <w:rPr>
          <w:rFonts w:ascii="Times New Roman" w:eastAsia="Times New Roman" w:hAnsi="Times New Roman"/>
          <w:sz w:val="20"/>
        </w:rPr>
        <w:t xml:space="preserve">—Streamlit auth/PII documentation before trajectory demos; attribution as hypothesis, not diagnosis. (6) </w:t>
      </w:r>
      <w:r>
        <w:rPr>
          <w:rFonts w:ascii="Times New Roman" w:eastAsia="Times New Roman" w:hAnsi="Times New Roman"/>
          <w:b/>
          <w:sz w:val="20"/>
        </w:rPr>
        <w:t>OSS boundaries</w:t>
      </w:r>
      <w:r>
        <w:rPr>
          <w:rFonts w:ascii="Times New Roman" w:eastAsia="Times New Roman" w:hAnsi="Times New Roman"/>
          <w:sz w:val="20"/>
        </w:rPr>
        <w:t>—tagged release with DATA_USE.md, no patient identifiers in public artifacts, and optional automation off by default.</w:t>
      </w:r>
    </w:p>
    <w:p w14:paraId="41834600" w14:textId="77777777" w:rsidR="00D063ED" w:rsidRDefault="00000000">
      <w:pPr>
        <w:spacing w:before="240" w:after="120" w:line="259" w:lineRule="auto"/>
        <w:jc w:val="center"/>
      </w:pPr>
      <w:r>
        <w:rPr>
          <w:rFonts w:ascii="Times New Roman" w:eastAsia="Times New Roman" w:hAnsi="Times New Roman"/>
          <w:b/>
          <w:sz w:val="20"/>
        </w:rPr>
        <w:t>PROJECT PLAN</w:t>
      </w:r>
    </w:p>
    <w:p w14:paraId="64215433" w14:textId="77777777" w:rsidR="00D063ED" w:rsidRDefault="00000000">
      <w:pPr>
        <w:spacing w:before="200" w:after="80" w:line="259" w:lineRule="auto"/>
      </w:pPr>
      <w:r>
        <w:rPr>
          <w:rFonts w:ascii="Times New Roman" w:eastAsia="Times New Roman" w:hAnsi="Times New Roman"/>
          <w:b/>
          <w:sz w:val="20"/>
        </w:rPr>
        <w:t>Technical plan</w:t>
      </w:r>
    </w:p>
    <w:p w14:paraId="6DA81F70" w14:textId="77777777" w:rsidR="00D063ED" w:rsidRDefault="00000000">
      <w:pPr>
        <w:spacing w:after="120" w:line="259" w:lineRule="auto"/>
        <w:ind w:firstLine="288"/>
      </w:pPr>
      <w:r>
        <w:rPr>
          <w:rFonts w:ascii="Times New Roman" w:eastAsia="Times New Roman" w:hAnsi="Times New Roman"/>
          <w:sz w:val="20"/>
        </w:rPr>
        <w:t>The technical plan follows the three-year Bio-NAS master roadmap, with ethics and welfare coupling at each phase.</w:t>
      </w:r>
    </w:p>
    <w:p w14:paraId="65CAEFA4" w14:textId="77777777" w:rsidR="00D063ED" w:rsidRDefault="00000000">
      <w:pPr>
        <w:spacing w:after="120" w:line="259" w:lineRule="auto"/>
        <w:ind w:firstLine="288"/>
      </w:pPr>
      <w:r>
        <w:rPr>
          <w:rFonts w:ascii="Times New Roman" w:eastAsia="Times New Roman" w:hAnsi="Times New Roman"/>
          <w:b/>
          <w:sz w:val="20"/>
        </w:rPr>
        <w:t>Year 1 (Spring 2026 – Spring 2027) — sourcing, tensors, infrastructure.</w:t>
      </w:r>
      <w:r>
        <w:rPr>
          <w:rFonts w:ascii="Times New Roman" w:eastAsia="Times New Roman" w:hAnsi="Times New Roman"/>
          <w:sz w:val="20"/>
        </w:rPr>
        <w:t xml:space="preserve"> Spring 2026 completes the five-disease </w:t>
      </w:r>
      <w:r>
        <w:rPr>
          <w:rFonts w:ascii="Times New Roman" w:eastAsia="Times New Roman" w:hAnsi="Times New Roman"/>
          <w:b/>
          <w:sz w:val="20"/>
        </w:rPr>
        <w:t>cohort inventory</w:t>
      </w:r>
      <w:r>
        <w:rPr>
          <w:rFonts w:ascii="Times New Roman" w:eastAsia="Times New Roman" w:hAnsi="Times New Roman"/>
          <w:sz w:val="20"/>
        </w:rPr>
        <w:t xml:space="preserve"> with license and ethics columns (docs/data/cohort_inventory.md). Winter 2026–Spring 2027 builds leakage-safe four-dimensional tensors (batch, time, spatial features, channels), Δt embeddings for irregular visits, and Dockerized PostgreSQL for Optuna metadata. Ethics coupling: document DUAs and IRB-aware ADNI use; defer controlled dbGaP files; enforce patient-level holdout before preprocessing to reduce optimistic bias that could later harm translation efforts.</w:t>
      </w:r>
    </w:p>
    <w:p w14:paraId="35584C68" w14:textId="77777777" w:rsidR="00D063ED" w:rsidRDefault="00000000">
      <w:pPr>
        <w:spacing w:after="120" w:line="259" w:lineRule="auto"/>
        <w:ind w:firstLine="288"/>
      </w:pPr>
      <w:r>
        <w:rPr>
          <w:rFonts w:ascii="Times New Roman" w:eastAsia="Times New Roman" w:hAnsi="Times New Roman"/>
          <w:b/>
          <w:sz w:val="20"/>
        </w:rPr>
        <w:t>Year 2 (Summer 2027 – Spring 2028) — dual-track NAS and benchmarking.</w:t>
      </w:r>
      <w:r>
        <w:rPr>
          <w:rFonts w:ascii="Times New Roman" w:eastAsia="Times New Roman" w:hAnsi="Times New Roman"/>
          <w:sz w:val="20"/>
        </w:rPr>
        <w:t xml:space="preserve"> Modular spatial (1D-CNN, spatial transformer) and temporal (ConvLSTM/GRU, attention) blocks feed separate Track A and Track B Optuna studies on BRCA. Winter 2027 runs large-scale search with causal cross-validation; Spring 2028 evaluates frozen </w:t>
      </w:r>
      <w:r>
        <w:rPr>
          <w:rFonts w:ascii="Times New Roman" w:eastAsia="Times New Roman" w:hAnsi="Times New Roman"/>
          <w:b/>
          <w:sz w:val="20"/>
        </w:rPr>
        <w:t>20% holdout</w:t>
      </w:r>
      <w:r>
        <w:rPr>
          <w:rFonts w:ascii="Times New Roman" w:eastAsia="Times New Roman" w:hAnsi="Times New Roman"/>
          <w:sz w:val="20"/>
        </w:rPr>
        <w:t xml:space="preserve"> trajectories, ablations, and classical baselines—the </w:t>
      </w:r>
      <w:r>
        <w:rPr>
          <w:rFonts w:ascii="Times New Roman" w:eastAsia="Times New Roman" w:hAnsi="Times New Roman"/>
          <w:b/>
          <w:sz w:val="20"/>
        </w:rPr>
        <w:t>scaling gate</w:t>
      </w:r>
      <w:r>
        <w:rPr>
          <w:rFonts w:ascii="Times New Roman" w:eastAsia="Times New Roman" w:hAnsi="Times New Roman"/>
          <w:sz w:val="20"/>
        </w:rPr>
        <w:t xml:space="preserve"> evidence base. Ethics coupling: report Track A versus Track B deltas with uncertainty; if Track B does not improve interpretability or sparsity, narrow claims before Other 4 scaling.</w:t>
      </w:r>
    </w:p>
    <w:p w14:paraId="177805DB" w14:textId="77777777" w:rsidR="00D063ED" w:rsidRDefault="00000000">
      <w:pPr>
        <w:spacing w:after="120" w:line="259" w:lineRule="auto"/>
        <w:ind w:firstLine="288"/>
      </w:pPr>
      <w:r>
        <w:rPr>
          <w:rFonts w:ascii="Times New Roman" w:eastAsia="Times New Roman" w:hAnsi="Times New Roman"/>
          <w:b/>
          <w:sz w:val="20"/>
        </w:rPr>
        <w:t>Year 3 (Summer 2028 – Summer 2029) — interpretability, interface, release.</w:t>
      </w:r>
      <w:r>
        <w:rPr>
          <w:rFonts w:ascii="Times New Roman" w:eastAsia="Times New Roman" w:hAnsi="Times New Roman"/>
          <w:sz w:val="20"/>
        </w:rPr>
        <w:t xml:space="preserve"> Summer 2028 implements Captum/SHAP attribution over CpG sites and timestamps, with Track B maps checked against pathway priors. Fall 2028 delivers a Streamlit trajectory dashboard; master-plan acceptance requires </w:t>
      </w:r>
      <w:r>
        <w:rPr>
          <w:rFonts w:ascii="Times New Roman" w:eastAsia="Times New Roman" w:hAnsi="Times New Roman"/>
          <w:b/>
          <w:sz w:val="20"/>
        </w:rPr>
        <w:t>auth and PII constraints documented</w:t>
      </w:r>
      <w:r>
        <w:rPr>
          <w:rFonts w:ascii="Times New Roman" w:eastAsia="Times New Roman" w:hAnsi="Times New Roman"/>
          <w:sz w:val="20"/>
        </w:rPr>
        <w:t xml:space="preserve"> before any demo resembling clinical workflow. Winter 2028–Summer 2029 synthesizes cross-disease taxonomy (post–scaling gate) and releases tagged open-source Python with install docs and smoke boundaries.</w:t>
      </w:r>
    </w:p>
    <w:p w14:paraId="72854E64" w14:textId="77777777" w:rsidR="00D063ED" w:rsidRDefault="00000000">
      <w:pPr>
        <w:spacing w:before="200" w:after="80" w:line="259" w:lineRule="auto"/>
      </w:pPr>
      <w:r>
        <w:rPr>
          <w:rFonts w:ascii="Times New Roman" w:eastAsia="Times New Roman" w:hAnsi="Times New Roman"/>
          <w:b/>
          <w:sz w:val="20"/>
        </w:rPr>
        <w:t>Anticipated outcomes</w:t>
      </w:r>
    </w:p>
    <w:p w14:paraId="7F1D3621" w14:textId="77777777" w:rsidR="00D063ED" w:rsidRDefault="00000000">
      <w:pPr>
        <w:spacing w:before="160" w:after="60" w:line="259" w:lineRule="auto"/>
      </w:pPr>
      <w:r>
        <w:rPr>
          <w:rFonts w:ascii="Times New Roman" w:eastAsia="Times New Roman" w:hAnsi="Times New Roman"/>
          <w:b/>
          <w:i/>
          <w:sz w:val="20"/>
        </w:rPr>
        <w:t xml:space="preserve">Scientific outcomes: Quantitative evidence on whether KEGG/Reactome-constrained MaskedLinear Bio-NAS beats unconstrained NAS on BRCA holdout for prediction, interpretability (pathway-plausible attributions), and sparsity. Societal outcomes: A reproducible Docker path for public data only; transparent status files for controlled cohorts; attribution exports intended for expert human review, not autonomous triage. Risk monitoring: Over-interpretation of </w:t>
      </w:r>
      <w:r>
        <w:rPr>
          <w:rFonts w:ascii="Times New Roman" w:eastAsia="Times New Roman" w:hAnsi="Times New Roman"/>
          <w:b/>
          <w:i/>
          <w:sz w:val="20"/>
        </w:rPr>
        <w:lastRenderedPageBreak/>
        <w:t>SHAP/Captum maps as causal mechanisms; performance disparities across subgroups; accidental credential commits in OSS forks—each tracked via inventory honesty, holdout discipline, and planned DATA_USE.md at release.</w:t>
      </w:r>
    </w:p>
    <w:p w14:paraId="1EB28E18" w14:textId="77777777" w:rsidR="00D063ED" w:rsidRDefault="00000000">
      <w:pPr>
        <w:spacing w:before="200" w:after="80" w:line="259" w:lineRule="auto"/>
      </w:pPr>
      <w:r>
        <w:rPr>
          <w:rFonts w:ascii="Times New Roman" w:eastAsia="Times New Roman" w:hAnsi="Times New Roman"/>
          <w:b/>
          <w:sz w:val="20"/>
        </w:rPr>
        <w:t>Schedule</w:t>
      </w:r>
    </w:p>
    <w:tbl>
      <w:tblPr>
        <w:tblStyle w:val="TableGrid"/>
        <w:tblW w:w="0" w:type="auto"/>
        <w:tblLook w:val="04A0" w:firstRow="1" w:lastRow="0" w:firstColumn="1" w:lastColumn="0" w:noHBand="0" w:noVBand="1"/>
      </w:tblPr>
      <w:tblGrid>
        <w:gridCol w:w="3360"/>
        <w:gridCol w:w="3360"/>
        <w:gridCol w:w="3360"/>
      </w:tblGrid>
      <w:tr w:rsidR="00D063ED" w14:paraId="08747F94" w14:textId="77777777">
        <w:tc>
          <w:tcPr>
            <w:tcW w:w="3360" w:type="dxa"/>
          </w:tcPr>
          <w:p w14:paraId="4301FD2B" w14:textId="77777777" w:rsidR="00D063ED" w:rsidRDefault="00000000">
            <w:r>
              <w:rPr>
                <w:rFonts w:ascii="Times New Roman" w:eastAsia="Times New Roman" w:hAnsi="Times New Roman"/>
                <w:b/>
                <w:sz w:val="18"/>
              </w:rPr>
              <w:t>Period</w:t>
            </w:r>
          </w:p>
        </w:tc>
        <w:tc>
          <w:tcPr>
            <w:tcW w:w="3360" w:type="dxa"/>
          </w:tcPr>
          <w:p w14:paraId="3E5A3B47" w14:textId="77777777" w:rsidR="00D063ED" w:rsidRDefault="00000000">
            <w:r>
              <w:rPr>
                <w:rFonts w:ascii="Times New Roman" w:eastAsia="Times New Roman" w:hAnsi="Times New Roman"/>
                <w:b/>
                <w:sz w:val="18"/>
              </w:rPr>
              <w:t>Technical focus</w:t>
            </w:r>
          </w:p>
        </w:tc>
        <w:tc>
          <w:tcPr>
            <w:tcW w:w="3360" w:type="dxa"/>
          </w:tcPr>
          <w:p w14:paraId="26A0F8C6" w14:textId="77777777" w:rsidR="00D063ED" w:rsidRDefault="00000000">
            <w:r>
              <w:rPr>
                <w:rFonts w:ascii="Times New Roman" w:eastAsia="Times New Roman" w:hAnsi="Times New Roman"/>
                <w:b/>
                <w:sz w:val="18"/>
              </w:rPr>
              <w:t>Ethics and governance milestones</w:t>
            </w:r>
          </w:p>
        </w:tc>
      </w:tr>
      <w:tr w:rsidR="00D063ED" w14:paraId="16F61592" w14:textId="77777777">
        <w:tc>
          <w:tcPr>
            <w:tcW w:w="3360" w:type="dxa"/>
          </w:tcPr>
          <w:p w14:paraId="784EF45A" w14:textId="77777777" w:rsidR="00D063ED" w:rsidRDefault="00000000">
            <w:r>
              <w:rPr>
                <w:rFonts w:ascii="Times New Roman" w:eastAsia="Times New Roman" w:hAnsi="Times New Roman"/>
                <w:sz w:val="18"/>
              </w:rPr>
              <w:t>Y1 Spring 2026</w:t>
            </w:r>
          </w:p>
        </w:tc>
        <w:tc>
          <w:tcPr>
            <w:tcW w:w="3360" w:type="dxa"/>
          </w:tcPr>
          <w:p w14:paraId="08012B9E" w14:textId="77777777" w:rsidR="00D063ED" w:rsidRDefault="00000000">
            <w:r>
              <w:rPr>
                <w:rFonts w:ascii="Times New Roman" w:eastAsia="Times New Roman" w:hAnsi="Times New Roman"/>
                <w:sz w:val="18"/>
              </w:rPr>
              <w:t>All-5 inventory; BRCA PoC readiness</w:t>
            </w:r>
          </w:p>
        </w:tc>
        <w:tc>
          <w:tcPr>
            <w:tcW w:w="3360" w:type="dxa"/>
          </w:tcPr>
          <w:p w14:paraId="2FF2F6E2" w14:textId="77777777" w:rsidR="00D063ED" w:rsidRDefault="00000000">
            <w:r>
              <w:rPr>
                <w:rFonts w:ascii="Times New Roman" w:eastAsia="Times New Roman" w:hAnsi="Times New Roman"/>
                <w:sz w:val="18"/>
              </w:rPr>
              <w:t>License/ethics table; ADNI DUA application (in progress)</w:t>
            </w:r>
          </w:p>
        </w:tc>
      </w:tr>
      <w:tr w:rsidR="00D063ED" w14:paraId="0F8BFAAF" w14:textId="77777777">
        <w:tc>
          <w:tcPr>
            <w:tcW w:w="3360" w:type="dxa"/>
          </w:tcPr>
          <w:p w14:paraId="79A630DE" w14:textId="77777777" w:rsidR="00D063ED" w:rsidRDefault="00000000">
            <w:r>
              <w:rPr>
                <w:rFonts w:ascii="Times New Roman" w:eastAsia="Times New Roman" w:hAnsi="Times New Roman"/>
                <w:sz w:val="18"/>
              </w:rPr>
              <w:t>Y1 Summer 2026 – Spring 2027</w:t>
            </w:r>
          </w:p>
        </w:tc>
        <w:tc>
          <w:tcPr>
            <w:tcW w:w="3360" w:type="dxa"/>
          </w:tcPr>
          <w:p w14:paraId="77ADA2A4" w14:textId="77777777" w:rsidR="00D063ED" w:rsidRDefault="00000000">
            <w:r>
              <w:rPr>
                <w:rFonts w:ascii="Times New Roman" w:eastAsia="Times New Roman" w:hAnsi="Times New Roman"/>
                <w:sz w:val="18"/>
              </w:rPr>
              <w:t>Feature maps; 4D ETL; Optuna hub</w:t>
            </w:r>
          </w:p>
        </w:tc>
        <w:tc>
          <w:tcPr>
            <w:tcW w:w="3360" w:type="dxa"/>
          </w:tcPr>
          <w:p w14:paraId="5B45604B" w14:textId="77777777" w:rsidR="00D063ED" w:rsidRDefault="00000000">
            <w:r>
              <w:rPr>
                <w:rFonts w:ascii="Times New Roman" w:eastAsia="Times New Roman" w:hAnsi="Times New Roman"/>
                <w:sz w:val="18"/>
              </w:rPr>
              <w:t>Leakage tests; controlled cohorts marked outside Docker</w:t>
            </w:r>
          </w:p>
        </w:tc>
      </w:tr>
      <w:tr w:rsidR="00D063ED" w14:paraId="5DEB435E" w14:textId="77777777">
        <w:tc>
          <w:tcPr>
            <w:tcW w:w="3360" w:type="dxa"/>
          </w:tcPr>
          <w:p w14:paraId="081CD276" w14:textId="77777777" w:rsidR="00D063ED" w:rsidRDefault="00000000">
            <w:r>
              <w:rPr>
                <w:rFonts w:ascii="Times New Roman" w:eastAsia="Times New Roman" w:hAnsi="Times New Roman"/>
                <w:sz w:val="18"/>
              </w:rPr>
              <w:t>Y2 Summer 2027 – Spring 2028</w:t>
            </w:r>
          </w:p>
        </w:tc>
        <w:tc>
          <w:tcPr>
            <w:tcW w:w="3360" w:type="dxa"/>
          </w:tcPr>
          <w:p w14:paraId="54C2A5E6" w14:textId="77777777" w:rsidR="00D063ED" w:rsidRDefault="00000000">
            <w:r>
              <w:rPr>
                <w:rFonts w:ascii="Times New Roman" w:eastAsia="Times New Roman" w:hAnsi="Times New Roman"/>
                <w:sz w:val="18"/>
              </w:rPr>
              <w:t>Track A/B NAS; holdout benchmarks</w:t>
            </w:r>
          </w:p>
        </w:tc>
        <w:tc>
          <w:tcPr>
            <w:tcW w:w="3360" w:type="dxa"/>
          </w:tcPr>
          <w:p w14:paraId="4A6348C3" w14:textId="77777777" w:rsidR="00D063ED" w:rsidRDefault="00000000">
            <w:r>
              <w:rPr>
                <w:rFonts w:ascii="Times New Roman" w:eastAsia="Times New Roman" w:hAnsi="Times New Roman"/>
                <w:sz w:val="18"/>
              </w:rPr>
              <w:t>Scaling gate decision; causal CV documented</w:t>
            </w:r>
          </w:p>
        </w:tc>
      </w:tr>
      <w:tr w:rsidR="00D063ED" w14:paraId="6F9CCF8E" w14:textId="77777777">
        <w:tc>
          <w:tcPr>
            <w:tcW w:w="3360" w:type="dxa"/>
          </w:tcPr>
          <w:p w14:paraId="258467E2" w14:textId="77777777" w:rsidR="00D063ED" w:rsidRDefault="00000000">
            <w:r>
              <w:rPr>
                <w:rFonts w:ascii="Times New Roman" w:eastAsia="Times New Roman" w:hAnsi="Times New Roman"/>
                <w:sz w:val="18"/>
              </w:rPr>
              <w:t>Y3 Summer – Fall 2028</w:t>
            </w:r>
          </w:p>
        </w:tc>
        <w:tc>
          <w:tcPr>
            <w:tcW w:w="3360" w:type="dxa"/>
          </w:tcPr>
          <w:p w14:paraId="639210CE" w14:textId="77777777" w:rsidR="00D063ED" w:rsidRDefault="00000000">
            <w:r>
              <w:rPr>
                <w:rFonts w:ascii="Times New Roman" w:eastAsia="Times New Roman" w:hAnsi="Times New Roman"/>
                <w:sz w:val="18"/>
              </w:rPr>
              <w:t>Attribution; Streamlit dashboard</w:t>
            </w:r>
          </w:p>
        </w:tc>
        <w:tc>
          <w:tcPr>
            <w:tcW w:w="3360" w:type="dxa"/>
          </w:tcPr>
          <w:p w14:paraId="759BA884" w14:textId="77777777" w:rsidR="00D063ED" w:rsidRDefault="00000000">
            <w:r>
              <w:rPr>
                <w:rFonts w:ascii="Times New Roman" w:eastAsia="Times New Roman" w:hAnsi="Times New Roman"/>
                <w:sz w:val="18"/>
              </w:rPr>
              <w:t>PII/auth review; demo ≠ clinical product</w:t>
            </w:r>
          </w:p>
        </w:tc>
      </w:tr>
      <w:tr w:rsidR="00D063ED" w14:paraId="6CA9365D" w14:textId="77777777">
        <w:tc>
          <w:tcPr>
            <w:tcW w:w="3360" w:type="dxa"/>
          </w:tcPr>
          <w:p w14:paraId="6DD3614F" w14:textId="77777777" w:rsidR="00D063ED" w:rsidRDefault="00000000">
            <w:r>
              <w:rPr>
                <w:rFonts w:ascii="Times New Roman" w:eastAsia="Times New Roman" w:hAnsi="Times New Roman"/>
                <w:sz w:val="18"/>
              </w:rPr>
              <w:t>Y3 Winter 2028 – Summer 2029</w:t>
            </w:r>
          </w:p>
        </w:tc>
        <w:tc>
          <w:tcPr>
            <w:tcW w:w="3360" w:type="dxa"/>
          </w:tcPr>
          <w:p w14:paraId="61491519" w14:textId="77777777" w:rsidR="00D063ED" w:rsidRDefault="00000000">
            <w:r>
              <w:rPr>
                <w:rFonts w:ascii="Times New Roman" w:eastAsia="Times New Roman" w:hAnsi="Times New Roman"/>
                <w:sz w:val="18"/>
              </w:rPr>
              <w:t>Taxonomy; thesis; OSS tag</w:t>
            </w:r>
          </w:p>
        </w:tc>
        <w:tc>
          <w:tcPr>
            <w:tcW w:w="3360" w:type="dxa"/>
          </w:tcPr>
          <w:p w14:paraId="4BBB5498" w14:textId="77777777" w:rsidR="00D063ED" w:rsidRDefault="00000000">
            <w:r>
              <w:rPr>
                <w:rFonts w:ascii="Times New Roman" w:eastAsia="Times New Roman" w:hAnsi="Times New Roman"/>
                <w:sz w:val="18"/>
              </w:rPr>
              <w:t>Release notes; smoke vs holdout nomenclature frozen</w:t>
            </w:r>
          </w:p>
        </w:tc>
      </w:tr>
    </w:tbl>
    <w:p w14:paraId="3297843F" w14:textId="77777777" w:rsidR="00D063ED" w:rsidRDefault="00D063ED"/>
    <w:p w14:paraId="79B94577" w14:textId="77777777" w:rsidR="00D063ED" w:rsidRDefault="00000000">
      <w:pPr>
        <w:spacing w:after="120" w:line="259" w:lineRule="auto"/>
        <w:ind w:firstLine="288"/>
      </w:pPr>
      <w:r>
        <w:rPr>
          <w:rFonts w:ascii="Times New Roman" w:eastAsia="Times New Roman" w:hAnsi="Times New Roman"/>
          <w:sz w:val="20"/>
        </w:rPr>
        <w:t>Calendar authority: Bio-NAS README and phd_bio_nas_master_plan.md (Spring 2026 through Summer 2029).</w:t>
      </w:r>
    </w:p>
    <w:p w14:paraId="53AAEB9A" w14:textId="77777777" w:rsidR="00D063ED" w:rsidRDefault="00000000">
      <w:pPr>
        <w:spacing w:before="240" w:after="120" w:line="259" w:lineRule="auto"/>
        <w:jc w:val="center"/>
      </w:pPr>
      <w:r>
        <w:rPr>
          <w:rFonts w:ascii="Times New Roman" w:eastAsia="Times New Roman" w:hAnsi="Times New Roman"/>
          <w:b/>
          <w:sz w:val="20"/>
        </w:rPr>
        <w:t>REFERENCES</w:t>
      </w:r>
    </w:p>
    <w:p w14:paraId="5F1D5912" w14:textId="77777777" w:rsidR="00D063ED" w:rsidRDefault="00000000">
      <w:pPr>
        <w:spacing w:after="120" w:line="259" w:lineRule="auto"/>
        <w:ind w:firstLine="288"/>
      </w:pPr>
      <w:r>
        <w:rPr>
          <w:rFonts w:ascii="Times New Roman" w:eastAsia="Times New Roman" w:hAnsi="Times New Roman"/>
          <w:sz w:val="20"/>
        </w:rPr>
        <w:t>[1] National Cancer Institute, “Genomic Data Commons (GDC) Data Access Policies and Data Use Certification,” GDC Portal, accessed 2026. [Online]. Available: https://portal.gdc.cancer.gov/</w:t>
      </w:r>
    </w:p>
    <w:p w14:paraId="03EEF77C" w14:textId="77777777" w:rsidR="00D063ED" w:rsidRDefault="00000000">
      <w:pPr>
        <w:spacing w:after="120" w:line="259" w:lineRule="auto"/>
        <w:ind w:firstLine="288"/>
      </w:pPr>
      <w:r>
        <w:rPr>
          <w:rFonts w:ascii="Times New Roman" w:eastAsia="Times New Roman" w:hAnsi="Times New Roman"/>
          <w:sz w:val="20"/>
        </w:rPr>
        <w:t>[2] Alzheimer's Disease Neuroimaging Initiative, “ADNI Data Use Agreement,” LONI IDA, accessed 2026. [Online]. Available: https://adni.loni.usc.edu/</w:t>
      </w:r>
    </w:p>
    <w:p w14:paraId="019911C3" w14:textId="77777777" w:rsidR="00D063ED" w:rsidRDefault="00000000">
      <w:pPr>
        <w:spacing w:after="120" w:line="259" w:lineRule="auto"/>
        <w:ind w:firstLine="288"/>
      </w:pPr>
      <w:r>
        <w:rPr>
          <w:rFonts w:ascii="Times New Roman" w:eastAsia="Times New Roman" w:hAnsi="Times New Roman"/>
          <w:sz w:val="20"/>
        </w:rPr>
        <w:t>[3] NIH National Human Genome Research Institute, “dbGaP Controlled-Access Data,” accessed 2026. [Online]. Available: https://www.ncbi.nlm.nih.gov/gap/</w:t>
      </w:r>
    </w:p>
    <w:p w14:paraId="684B24C7" w14:textId="77777777" w:rsidR="00D063ED" w:rsidRDefault="00000000">
      <w:pPr>
        <w:spacing w:after="120" w:line="259" w:lineRule="auto"/>
        <w:ind w:firstLine="288"/>
      </w:pPr>
      <w:r>
        <w:rPr>
          <w:rFonts w:ascii="Times New Roman" w:eastAsia="Times New Roman" w:hAnsi="Times New Roman"/>
          <w:sz w:val="20"/>
        </w:rPr>
        <w:t>[4] NCBI, “Gene Expression Omnibus (GEO) Data Sharing and Access,” accessed 2026. [Online]. Available: https://www.ncbi.nlm.nih.gov/geo/info/faq.html</w:t>
      </w:r>
    </w:p>
    <w:p w14:paraId="25CED650" w14:textId="77777777" w:rsidR="00D063ED" w:rsidRDefault="00000000">
      <w:pPr>
        <w:spacing w:after="120" w:line="259" w:lineRule="auto"/>
        <w:ind w:firstLine="288"/>
      </w:pPr>
      <w:r>
        <w:rPr>
          <w:rFonts w:ascii="Times New Roman" w:eastAsia="Times New Roman" w:hAnsi="Times New Roman"/>
          <w:sz w:val="20"/>
        </w:rPr>
        <w:t>[5] S. Rajkomar, M. Hardt, M. D. Howell, G. Corrado, and M. H. Chin, “Ensuring Fairness in Machine Learning to Advance Health Equity,” Annals of Internal Medicine, vol. 169, no. 12, pp. 866–872, 2018.</w:t>
      </w:r>
    </w:p>
    <w:p w14:paraId="0B008F36" w14:textId="77777777" w:rsidR="00D063ED" w:rsidRDefault="00000000">
      <w:pPr>
        <w:spacing w:after="120" w:line="259" w:lineRule="auto"/>
        <w:ind w:firstLine="288"/>
      </w:pPr>
      <w:r>
        <w:rPr>
          <w:rFonts w:ascii="Times New Roman" w:eastAsia="Times New Roman" w:hAnsi="Times New Roman"/>
          <w:sz w:val="20"/>
        </w:rPr>
        <w:t>[6] B. S. Obermeyer et al., “Dissecting racial bias in an algorithm used to manage the health of populations,” Science, vol. 366, no. 6464, pp. 447–453, 2019.</w:t>
      </w:r>
    </w:p>
    <w:p w14:paraId="2F82BD6B" w14:textId="77777777" w:rsidR="00D063ED" w:rsidRDefault="00000000">
      <w:pPr>
        <w:spacing w:after="120" w:line="259" w:lineRule="auto"/>
        <w:ind w:firstLine="288"/>
      </w:pPr>
      <w:r>
        <w:rPr>
          <w:rFonts w:ascii="Times New Roman" w:eastAsia="Times New Roman" w:hAnsi="Times New Roman"/>
          <w:sz w:val="20"/>
        </w:rPr>
        <w:t>[7] S. Horvath, “DNA methylation age of human tissues and cell types,” Genome Biology, vol. 14, no. 10, p. R115, 2013.</w:t>
      </w:r>
    </w:p>
    <w:p w14:paraId="45A9918E" w14:textId="77777777" w:rsidR="00D063ED" w:rsidRDefault="00000000">
      <w:pPr>
        <w:spacing w:after="120" w:line="259" w:lineRule="auto"/>
        <w:ind w:firstLine="288"/>
      </w:pPr>
      <w:r>
        <w:rPr>
          <w:rFonts w:ascii="Times New Roman" w:eastAsia="Times New Roman" w:hAnsi="Times New Roman"/>
          <w:sz w:val="20"/>
        </w:rPr>
        <w:t>[8] R. L. Wallace et al., “Ethical considerations for epigenetic clocks and biological age estimation,” Frontiers in Genetics, vol. 13, 2022, Art. no. 875722.</w:t>
      </w:r>
    </w:p>
    <w:p w14:paraId="1541CCB4" w14:textId="77777777" w:rsidR="00D063ED" w:rsidRDefault="00000000">
      <w:pPr>
        <w:spacing w:after="120" w:line="259" w:lineRule="auto"/>
        <w:ind w:firstLine="288"/>
      </w:pPr>
      <w:r>
        <w:rPr>
          <w:rFonts w:ascii="Times New Roman" w:eastAsia="Times New Roman" w:hAnsi="Times New Roman"/>
          <w:sz w:val="20"/>
        </w:rPr>
        <w:t>[9] U.S. Food and Drug Administration, “Artificial Intelligence/Machine Learning (AI/ML)-Based Software as a Medical Device (SaMD) Action Plan,” FDA, Jan. 2021.</w:t>
      </w:r>
    </w:p>
    <w:p w14:paraId="1856E03F" w14:textId="77777777" w:rsidR="00D063ED" w:rsidRDefault="00000000">
      <w:pPr>
        <w:spacing w:after="120" w:line="259" w:lineRule="auto"/>
        <w:ind w:firstLine="288"/>
      </w:pPr>
      <w:r>
        <w:rPr>
          <w:rFonts w:ascii="Times New Roman" w:eastAsia="Times New Roman" w:hAnsi="Times New Roman"/>
          <w:sz w:val="20"/>
        </w:rPr>
        <w:t>[10] International Medical Device Regulators Forum, “Software as a Medical Device: Clinical Evaluation,” IMDRF, 2017.</w:t>
      </w:r>
    </w:p>
    <w:p w14:paraId="57E595F8" w14:textId="77777777" w:rsidR="00D063ED" w:rsidRDefault="00000000">
      <w:pPr>
        <w:spacing w:after="120" w:line="259" w:lineRule="auto"/>
        <w:ind w:firstLine="288"/>
      </w:pPr>
      <w:r>
        <w:rPr>
          <w:rFonts w:ascii="Times New Roman" w:eastAsia="Times New Roman" w:hAnsi="Times New Roman"/>
          <w:sz w:val="20"/>
        </w:rPr>
        <w:t>[11] M. T. Ribeiro, S. Singh, and C. Guestrin, “"Why Should I Trust You?": Explaining the Predictions of Any Classifier,” in Proc. ACM SIGKDD, 2016, pp. 1135–1144.</w:t>
      </w:r>
    </w:p>
    <w:p w14:paraId="1DB73711" w14:textId="77777777" w:rsidR="00D063ED" w:rsidRDefault="00000000">
      <w:pPr>
        <w:spacing w:after="120" w:line="259" w:lineRule="auto"/>
        <w:ind w:firstLine="288"/>
      </w:pPr>
      <w:r>
        <w:rPr>
          <w:rFonts w:ascii="Times New Roman" w:eastAsia="Times New Roman" w:hAnsi="Times New Roman"/>
          <w:sz w:val="20"/>
        </w:rPr>
        <w:t>[12] P. H. Chuang et al., “Interpretability and explainability in machine learning for genomics and epigenomics,” Briefings in Bioinformatics, vol. 24, no. 1, 2023.</w:t>
      </w:r>
    </w:p>
    <w:p w14:paraId="18C85734" w14:textId="77777777" w:rsidR="00D063ED" w:rsidRDefault="00000000">
      <w:pPr>
        <w:spacing w:after="120" w:line="259" w:lineRule="auto"/>
        <w:ind w:firstLine="288"/>
      </w:pPr>
      <w:r>
        <w:rPr>
          <w:rFonts w:ascii="Times New Roman" w:eastAsia="Times New Roman" w:hAnsi="Times New Roman"/>
          <w:sz w:val="20"/>
        </w:rPr>
        <w:t>[13] A. Cankaya, “PhDNeural Bio-NAS: Spatio-Temporal Dual-Track Multi-Omic Fusion,” GitHub repository, 2026. [Online]. Available: https://github.com/AdamCankaya/PhDNeural</w:t>
      </w:r>
    </w:p>
    <w:p w14:paraId="58C61911" w14:textId="77777777" w:rsidR="00D063ED" w:rsidRDefault="00000000">
      <w:pPr>
        <w:spacing w:after="120" w:line="259" w:lineRule="auto"/>
        <w:ind w:firstLine="288"/>
      </w:pPr>
      <w:r>
        <w:rPr>
          <w:rFonts w:ascii="Times New Roman" w:eastAsia="Times New Roman" w:hAnsi="Times New Roman"/>
          <w:sz w:val="20"/>
        </w:rPr>
        <w:t>[14] A. Cankaya, “Bio-NAS cohort inventory and Docker reproducibility documentation,” PhDNeural/Bio-NAS, paths docs/data/cohort_inventory.md, docker/README.md, 2026.</w:t>
      </w:r>
    </w:p>
    <w:p w14:paraId="42BC7D56" w14:textId="77777777" w:rsidR="00D063ED" w:rsidRDefault="00000000">
      <w:pPr>
        <w:spacing w:after="120" w:line="259" w:lineRule="auto"/>
        <w:ind w:firstLine="288"/>
      </w:pPr>
      <w:r>
        <w:rPr>
          <w:rFonts w:ascii="Times New Roman" w:eastAsia="Times New Roman" w:hAnsi="Times New Roman"/>
          <w:sz w:val="20"/>
        </w:rPr>
        <w:lastRenderedPageBreak/>
        <w:t>[15] A. Cankaya, “PhD Master Roadmap: Comparative Spatio-Temporal NAS for Multi-Omic Disease Prediction,” phd_bio-nas_master_plan.md, Bio-NAS, 2026.</w:t>
      </w:r>
    </w:p>
    <w:p w14:paraId="5421361D" w14:textId="77777777" w:rsidR="00D063ED" w:rsidRDefault="00000000">
      <w:pPr>
        <w:spacing w:after="120" w:line="259" w:lineRule="auto"/>
        <w:ind w:firstLine="288"/>
      </w:pPr>
      <w:r>
        <w:rPr>
          <w:rFonts w:ascii="Times New Roman" w:eastAsia="Times New Roman" w:hAnsi="Times New Roman"/>
          <w:sz w:val="20"/>
        </w:rPr>
        <w:t>[16] S. L. Wickler et al., “Environmental impacts of machine learning on biomedicine: a scoping review,” Patterns, vol. 4, no. 4, 2023.</w:t>
      </w:r>
    </w:p>
    <w:p w14:paraId="1925E9A1" w14:textId="77777777" w:rsidR="00D063ED" w:rsidRDefault="00000000">
      <w:pPr>
        <w:spacing w:after="120" w:line="259" w:lineRule="auto"/>
        <w:ind w:firstLine="288"/>
      </w:pPr>
      <w:r>
        <w:rPr>
          <w:rFonts w:ascii="Times New Roman" w:eastAsia="Times New Roman" w:hAnsi="Times New Roman"/>
          <w:sz w:val="20"/>
        </w:rPr>
        <w:t>[17] E. J. Topol, “High-performance medicine: the convergence of human and artificial intelligence,” Nature Medicine, vol. 25, pp. 44–56, 2019.</w:t>
      </w:r>
    </w:p>
    <w:p w14:paraId="5E8078F6" w14:textId="77777777" w:rsidR="00D063ED" w:rsidRDefault="00000000">
      <w:pPr>
        <w:spacing w:after="120" w:line="259" w:lineRule="auto"/>
        <w:ind w:firstLine="288"/>
      </w:pPr>
      <w:r>
        <w:rPr>
          <w:rFonts w:ascii="Times New Roman" w:eastAsia="Times New Roman" w:hAnsi="Times New Roman"/>
          <w:sz w:val="20"/>
        </w:rPr>
        <w:t>[18] Cursor, “Composer 2.5 (AI assistant),” used as a writing tool for this document—not listed as a scientific co-author, 2026.</w:t>
      </w:r>
    </w:p>
    <w:p w14:paraId="01AD6D68" w14:textId="77777777" w:rsidR="00D063ED" w:rsidRDefault="00000000">
      <w:pPr>
        <w:spacing w:after="120" w:line="259" w:lineRule="auto"/>
        <w:ind w:firstLine="288"/>
      </w:pPr>
      <w:r>
        <w:rPr>
          <w:rFonts w:ascii="Times New Roman" w:eastAsia="Times New Roman" w:hAnsi="Times New Roman"/>
          <w:sz w:val="20"/>
        </w:rPr>
        <w:t>[19] C. M. Roth et al., “Identifying personal genomes by surname inference,” Science, vol. 339, no. 6117, pp. 321–324, 2013.</w:t>
      </w:r>
    </w:p>
    <w:sectPr w:rsidR="00D063ED" w:rsidSect="00034616">
      <w:pgSz w:w="12240" w:h="15840"/>
      <w:pgMar w:top="108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2624618">
    <w:abstractNumId w:val="8"/>
  </w:num>
  <w:num w:numId="2" w16cid:durableId="619065775">
    <w:abstractNumId w:val="6"/>
  </w:num>
  <w:num w:numId="3" w16cid:durableId="55906061">
    <w:abstractNumId w:val="5"/>
  </w:num>
  <w:num w:numId="4" w16cid:durableId="447967811">
    <w:abstractNumId w:val="4"/>
  </w:num>
  <w:num w:numId="5" w16cid:durableId="1524592550">
    <w:abstractNumId w:val="7"/>
  </w:num>
  <w:num w:numId="6" w16cid:durableId="1504707224">
    <w:abstractNumId w:val="3"/>
  </w:num>
  <w:num w:numId="7" w16cid:durableId="1936858867">
    <w:abstractNumId w:val="2"/>
  </w:num>
  <w:num w:numId="8" w16cid:durableId="1455714505">
    <w:abstractNumId w:val="1"/>
  </w:num>
  <w:num w:numId="9" w16cid:durableId="1188369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051"/>
    <w:rsid w:val="00AA1D8D"/>
    <w:rsid w:val="00B47730"/>
    <w:rsid w:val="00B91A79"/>
    <w:rsid w:val="00CB0664"/>
    <w:rsid w:val="00D063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ED11F"/>
  <w14:defaultImageDpi w14:val="300"/>
  <w15:docId w15:val="{48DB6F88-823E-4522-A6C1-33986D94C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2692</Words>
  <Characters>15345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Cankaya</cp:lastModifiedBy>
  <cp:revision>3</cp:revision>
  <dcterms:created xsi:type="dcterms:W3CDTF">2013-12-23T23:15:00Z</dcterms:created>
  <dcterms:modified xsi:type="dcterms:W3CDTF">2026-10-28T19:20:00Z</dcterms:modified>
  <cp:category/>
</cp:coreProperties>
</file>