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646DB87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https</w:t>
      </w:r>
      <w:r>
        <w:t>]</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1218B6" w:rsidP="00A9409A">
      <w:pPr>
        <w:pStyle w:val="NoSpacing"/>
        <w:rPr>
          <w:rFonts w:ascii="Lucida Console" w:hAnsi="Lucida Console"/>
        </w:rPr>
      </w:pPr>
      <w:hyperlink r:id="rId12" w:history="1">
        <w:r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w:t>
      </w:r>
      <w:r>
        <w:t>,</w:t>
      </w:r>
      <w:r>
        <w:t xml:space="preserve"> </w:t>
      </w:r>
      <w:r>
        <w:t>can you access the Web server on Windows from a</w:t>
      </w:r>
      <w:r>
        <w:t xml:space="preserve">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77777777" w:rsidR="002070C7" w:rsidRDefault="0057731B" w:rsidP="002070C7">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 xml:space="preserve">From Ubuntu, </w:t>
      </w:r>
      <w:r>
        <w:t>can</w:t>
      </w:r>
      <w:r>
        <w:t xml:space="preserve"> you access </w:t>
      </w:r>
      <w:r>
        <w:t xml:space="preserve">google.com </w:t>
      </w:r>
      <w:r>
        <w:t>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 xml:space="preserve">From Ubuntu, can you access google.com </w:t>
      </w:r>
      <w:r>
        <w:t>from a browser</w:t>
      </w:r>
      <w:r>
        <w:t>?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 xml:space="preserve">From </w:t>
      </w:r>
      <w:r>
        <w:t>Windows</w:t>
      </w:r>
      <w:r>
        <w:t>,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77777777" w:rsidR="00F71F18" w:rsidRDefault="00A9409A" w:rsidP="00A9409A">
      <w:pPr>
        <w:pStyle w:val="Heading2"/>
        <w:numPr>
          <w:ilvl w:val="0"/>
          <w:numId w:val="0"/>
        </w:numPr>
        <w:ind w:left="928" w:hanging="928"/>
      </w:pPr>
      <w:r>
        <w:t>F</w:t>
      </w:r>
      <w:r>
        <w:tab/>
      </w:r>
      <w:r w:rsidR="00A14389">
        <w:t>Snort IDS</w:t>
      </w:r>
    </w:p>
    <w:p w14:paraId="645C4F53" w14:textId="77777777"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6A6E95E5" w14:textId="77777777"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14:paraId="2F796CB3" w14:textId="77777777" w:rsidR="00D37B38" w:rsidRDefault="00D37B38" w:rsidP="0038099F"/>
    <w:p w14:paraId="604BE831" w14:textId="77777777" w:rsidR="0038099F" w:rsidRDefault="0038099F" w:rsidP="00ED0FCE">
      <w:pPr>
        <w:pStyle w:val="Quote"/>
      </w:pPr>
      <w:r>
        <w:t>snort -?</w:t>
      </w:r>
    </w:p>
    <w:p w14:paraId="5B177F7C" w14:textId="77777777" w:rsidR="0038099F" w:rsidRDefault="0038099F" w:rsidP="0038099F"/>
    <w:p w14:paraId="2F82902A" w14:textId="77777777" w:rsidR="0038099F" w:rsidRDefault="007D40EC" w:rsidP="0038099F">
      <w:r>
        <w:t>Next run S</w:t>
      </w:r>
      <w:r w:rsidR="0038099F">
        <w:t>nort using the required network interface: (Use the –W flag to check your available interfaces)</w:t>
      </w:r>
    </w:p>
    <w:p w14:paraId="3EE1661D" w14:textId="77777777" w:rsidR="0038099F" w:rsidRDefault="0038099F" w:rsidP="0038099F"/>
    <w:p w14:paraId="68172B9E" w14:textId="77777777"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14:paraId="5BF1385E" w14:textId="77777777" w:rsidR="0038099F" w:rsidRDefault="0038099F" w:rsidP="0038099F"/>
    <w:p w14:paraId="500C6489" w14:textId="77777777" w:rsidR="0038099F" w:rsidRDefault="0038099F" w:rsidP="0038099F">
      <w:r>
        <w:t xml:space="preserve">From the Linux system run Snort (used </w:t>
      </w:r>
      <w:proofErr w:type="spellStart"/>
      <w:r>
        <w:t>ifconfig</w:t>
      </w:r>
      <w:proofErr w:type="spellEnd"/>
      <w:r>
        <w:t xml:space="preserve"> to see your interfaces):</w:t>
      </w:r>
    </w:p>
    <w:p w14:paraId="0679B550" w14:textId="77777777" w:rsidR="0038099F" w:rsidRDefault="0038099F" w:rsidP="0038099F"/>
    <w:p w14:paraId="062D73DD" w14:textId="42F933E4"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p>
    <w:p w14:paraId="18C2A8CC" w14:textId="77777777" w:rsidR="0038099F" w:rsidRDefault="0038099F" w:rsidP="0038099F"/>
    <w:p w14:paraId="7ED266D5" w14:textId="77777777"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4" w:history="1">
        <w:r w:rsidR="00A91A1E" w:rsidRPr="003E12B6">
          <w:rPr>
            <w:rStyle w:val="Hyperlink"/>
            <w:sz w:val="22"/>
            <w:szCs w:val="22"/>
          </w:rPr>
          <w:t>https://github.com/billbuchanan/csn09112/tree/master/week03_ns/labs/additional_lab</w:t>
        </w:r>
      </w:hyperlink>
    </w:p>
    <w:p w14:paraId="5AE6549E" w14:textId="77777777" w:rsidR="00A91A1E" w:rsidRDefault="00A91A1E"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lastRenderedPageBreak/>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5">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7FD0" w14:textId="77777777" w:rsidR="0076238B" w:rsidRDefault="0076238B">
      <w:r>
        <w:separator/>
      </w:r>
    </w:p>
  </w:endnote>
  <w:endnote w:type="continuationSeparator" w:id="0">
    <w:p w14:paraId="19E597A3" w14:textId="77777777" w:rsidR="0076238B" w:rsidRDefault="0076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DCF3" w14:textId="77777777" w:rsidR="0076238B" w:rsidRDefault="0076238B">
      <w:r>
        <w:separator/>
      </w:r>
    </w:p>
  </w:footnote>
  <w:footnote w:type="continuationSeparator" w:id="0">
    <w:p w14:paraId="49C46875" w14:textId="77777777" w:rsidR="0076238B" w:rsidRDefault="0076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18B6"/>
    <w:rsid w:val="001245F9"/>
    <w:rsid w:val="001310F2"/>
    <w:rsid w:val="001A2710"/>
    <w:rsid w:val="001A613D"/>
    <w:rsid w:val="001B2633"/>
    <w:rsid w:val="001D49F1"/>
    <w:rsid w:val="002070C7"/>
    <w:rsid w:val="00252250"/>
    <w:rsid w:val="002A7153"/>
    <w:rsid w:val="002C5E5E"/>
    <w:rsid w:val="00301489"/>
    <w:rsid w:val="0033263F"/>
    <w:rsid w:val="0038099F"/>
    <w:rsid w:val="003D2777"/>
    <w:rsid w:val="003E74A7"/>
    <w:rsid w:val="004010BA"/>
    <w:rsid w:val="00487B08"/>
    <w:rsid w:val="004B5EC3"/>
    <w:rsid w:val="004D27B9"/>
    <w:rsid w:val="00557869"/>
    <w:rsid w:val="0057731B"/>
    <w:rsid w:val="006124A5"/>
    <w:rsid w:val="0065639B"/>
    <w:rsid w:val="00674BA8"/>
    <w:rsid w:val="00683E7F"/>
    <w:rsid w:val="006B20B7"/>
    <w:rsid w:val="006C201D"/>
    <w:rsid w:val="006C2832"/>
    <w:rsid w:val="006D38B4"/>
    <w:rsid w:val="007165B5"/>
    <w:rsid w:val="00723F4D"/>
    <w:rsid w:val="0075755B"/>
    <w:rsid w:val="0076238B"/>
    <w:rsid w:val="007910B9"/>
    <w:rsid w:val="007B5FB6"/>
    <w:rsid w:val="007C1FF1"/>
    <w:rsid w:val="007D3D3A"/>
    <w:rsid w:val="007D40EC"/>
    <w:rsid w:val="007E6CD2"/>
    <w:rsid w:val="00830492"/>
    <w:rsid w:val="0084271F"/>
    <w:rsid w:val="008933AA"/>
    <w:rsid w:val="008B477B"/>
    <w:rsid w:val="009809C1"/>
    <w:rsid w:val="009B5F19"/>
    <w:rsid w:val="009F7CE5"/>
    <w:rsid w:val="00A14389"/>
    <w:rsid w:val="00A819FB"/>
    <w:rsid w:val="00A91A1E"/>
    <w:rsid w:val="00A9409A"/>
    <w:rsid w:val="00AA7C8E"/>
    <w:rsid w:val="00AB4AC7"/>
    <w:rsid w:val="00AF0815"/>
    <w:rsid w:val="00B255C5"/>
    <w:rsid w:val="00B90378"/>
    <w:rsid w:val="00BD1F99"/>
    <w:rsid w:val="00C25D87"/>
    <w:rsid w:val="00C7617C"/>
    <w:rsid w:val="00CE3D3D"/>
    <w:rsid w:val="00CE42C3"/>
    <w:rsid w:val="00D03FF4"/>
    <w:rsid w:val="00D10115"/>
    <w:rsid w:val="00D24A61"/>
    <w:rsid w:val="00D37B38"/>
    <w:rsid w:val="00DA3A49"/>
    <w:rsid w:val="00DE176B"/>
    <w:rsid w:val="00E21622"/>
    <w:rsid w:val="00E460F9"/>
    <w:rsid w:val="00ED0FCE"/>
    <w:rsid w:val="00ED2DD5"/>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asecuritysite.com/csn09112/software0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billbuchanan/csn09112/tree/master/week03_ns/labs/additional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11</cp:revision>
  <cp:lastPrinted>2017-09-18T09:52:00Z</cp:lastPrinted>
  <dcterms:created xsi:type="dcterms:W3CDTF">2020-09-25T15:01:00Z</dcterms:created>
  <dcterms:modified xsi:type="dcterms:W3CDTF">2022-09-19T16:47:00Z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