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76"/>
        <w:tblW w:w="10800" w:type="dxa"/>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60FBD" w14:paraId="0B689804" w14:textId="77777777" w:rsidTr="00B95150">
        <w:trPr>
          <w:trHeight w:val="432"/>
        </w:trPr>
        <w:tc>
          <w:tcPr>
            <w:tcW w:w="10885" w:type="dxa"/>
            <w:shd w:val="clear" w:color="auto" w:fill="F2F7FC"/>
          </w:tcPr>
          <w:p w14:paraId="6AFB0C57" w14:textId="77777777" w:rsidR="00960FBD" w:rsidRDefault="00960FBD" w:rsidP="008E723C">
            <w:pPr>
              <w:pStyle w:val="NoSpacing"/>
              <w:ind w:right="-192"/>
              <w:outlineLvl w:val="0"/>
              <w:rPr>
                <w:b/>
                <w:color w:val="000000" w:themeColor="text1"/>
              </w:rPr>
            </w:pPr>
            <w:bookmarkStart w:id="0" w:name="_Toc256000030"/>
            <w:bookmarkStart w:id="1" w:name="_Toc522649947"/>
            <w:bookmarkStart w:id="2" w:name="_Toc22223437"/>
            <w:r>
              <w:rPr>
                <w:b/>
                <w:color w:val="000000" w:themeColor="text1"/>
              </w:rPr>
              <w:t>NG CARES</w:t>
            </w:r>
          </w:p>
          <w:p w14:paraId="09F80871" w14:textId="7759B053" w:rsidR="00960FBD" w:rsidRPr="00D30A0F" w:rsidRDefault="00960FBD" w:rsidP="00B95150">
            <w:pPr>
              <w:pStyle w:val="NoSpacing"/>
              <w:outlineLvl w:val="0"/>
              <w:rPr>
                <w:b/>
                <w:color w:val="000000" w:themeColor="text1"/>
              </w:rPr>
            </w:pPr>
            <w:r w:rsidRPr="00D30A0F">
              <w:rPr>
                <w:b/>
                <w:color w:val="000000" w:themeColor="text1"/>
              </w:rPr>
              <w:t>ANNEX 6. PROGRAM ACTION PLAN</w:t>
            </w:r>
            <w:bookmarkEnd w:id="0"/>
            <w:bookmarkEnd w:id="1"/>
            <w:bookmarkEnd w:id="2"/>
            <w:r w:rsidR="008320F3">
              <w:rPr>
                <w:b/>
                <w:color w:val="000000" w:themeColor="text1"/>
              </w:rPr>
              <w:t xml:space="preserve"> Revised</w:t>
            </w:r>
            <w:r w:rsidR="000E5C59">
              <w:rPr>
                <w:b/>
                <w:color w:val="000000" w:themeColor="text1"/>
              </w:rPr>
              <w:t xml:space="preserve"> </w:t>
            </w:r>
            <w:r w:rsidR="009F4483">
              <w:rPr>
                <w:b/>
                <w:color w:val="000000" w:themeColor="text1"/>
              </w:rPr>
              <w:t>(corrected)</w:t>
            </w:r>
          </w:p>
        </w:tc>
      </w:tr>
      <w:tr w:rsidR="00960FBD" w14:paraId="006A7032" w14:textId="77777777" w:rsidTr="00B95150">
        <w:tc>
          <w:tcPr>
            <w:tcW w:w="10885" w:type="dxa"/>
            <w:shd w:val="clear" w:color="auto" w:fill="F7F7F7"/>
          </w:tcPr>
          <w:p w14:paraId="469C9770" w14:textId="77777777" w:rsidR="00960FBD" w:rsidRDefault="00960FBD" w:rsidP="00B95150">
            <w:pPr>
              <w:jc w:val="center"/>
              <w:rPr>
                <w:rFonts w:asciiTheme="minorHAnsi" w:hAnsiTheme="minorHAnsi"/>
                <w:b/>
                <w:bCs/>
                <w:color w:val="auto"/>
                <w:sz w:val="22"/>
                <w:szCs w:val="22"/>
              </w:rPr>
            </w:pPr>
          </w:p>
        </w:tc>
      </w:tr>
    </w:tbl>
    <w:p w14:paraId="0E5ECCBD" w14:textId="77777777" w:rsidR="00960FBD" w:rsidRDefault="00960FBD" w:rsidP="00960FBD">
      <w:pPr>
        <w:shd w:val="clear" w:color="auto" w:fill="F7F7F7"/>
        <w:ind w:left="-778" w:right="-605"/>
        <w:rPr>
          <w:rFonts w:asciiTheme="minorHAnsi" w:hAnsiTheme="minorHAnsi"/>
          <w:b/>
          <w:bCs/>
          <w:color w:val="7F7F7F" w:themeColor="text1" w:themeTint="80"/>
          <w:sz w:val="22"/>
          <w:szCs w:val="22"/>
        </w:rPr>
      </w:pPr>
    </w:p>
    <w:tbl>
      <w:tblPr>
        <w:tblStyle w:val="TableGrid5"/>
        <w:tblW w:w="10885" w:type="dxa"/>
        <w:jc w:val="center"/>
        <w:tblLayout w:type="fixed"/>
        <w:tblLook w:val="04A0" w:firstRow="1" w:lastRow="0" w:firstColumn="1" w:lastColumn="0" w:noHBand="0" w:noVBand="1"/>
      </w:tblPr>
      <w:tblGrid>
        <w:gridCol w:w="625"/>
        <w:gridCol w:w="3600"/>
        <w:gridCol w:w="2430"/>
        <w:gridCol w:w="1890"/>
        <w:gridCol w:w="2340"/>
      </w:tblGrid>
      <w:tr w:rsidR="00960FBD" w14:paraId="1611D084" w14:textId="77777777" w:rsidTr="00135833">
        <w:trPr>
          <w:jc w:val="center"/>
        </w:trPr>
        <w:tc>
          <w:tcPr>
            <w:tcW w:w="625" w:type="dxa"/>
          </w:tcPr>
          <w:p w14:paraId="7AC395CC" w14:textId="77777777" w:rsidR="00960FBD" w:rsidRPr="00A65783" w:rsidRDefault="00960FBD" w:rsidP="00B95150">
            <w:pPr>
              <w:tabs>
                <w:tab w:val="left" w:pos="753"/>
              </w:tabs>
              <w:ind w:right="72"/>
              <w:jc w:val="both"/>
              <w:rPr>
                <w:rFonts w:asciiTheme="minorHAnsi" w:eastAsia="Times New Roman" w:hAnsiTheme="minorHAnsi" w:cstheme="minorHAnsi"/>
                <w:b/>
                <w:bCs/>
                <w:sz w:val="20"/>
                <w:szCs w:val="20"/>
              </w:rPr>
            </w:pPr>
            <w:r w:rsidRPr="00A65783">
              <w:rPr>
                <w:rFonts w:asciiTheme="minorHAnsi" w:eastAsia="Times New Roman" w:hAnsiTheme="minorHAnsi" w:cstheme="minorHAnsi"/>
                <w:b/>
                <w:bCs/>
                <w:sz w:val="20"/>
                <w:szCs w:val="20"/>
              </w:rPr>
              <w:t>S/N</w:t>
            </w:r>
          </w:p>
        </w:tc>
        <w:tc>
          <w:tcPr>
            <w:tcW w:w="3600" w:type="dxa"/>
          </w:tcPr>
          <w:p w14:paraId="3C569CD5" w14:textId="77777777" w:rsidR="00960FBD" w:rsidRPr="00A65783" w:rsidRDefault="00960FBD" w:rsidP="00B95150">
            <w:pPr>
              <w:tabs>
                <w:tab w:val="left" w:pos="753"/>
              </w:tabs>
              <w:ind w:right="72"/>
              <w:jc w:val="both"/>
              <w:rPr>
                <w:rFonts w:asciiTheme="minorHAnsi" w:eastAsia="Times New Roman" w:hAnsiTheme="minorHAnsi" w:cstheme="minorHAnsi"/>
                <w:b/>
                <w:bCs/>
                <w:sz w:val="20"/>
                <w:szCs w:val="20"/>
              </w:rPr>
            </w:pPr>
            <w:r w:rsidRPr="00A65783">
              <w:rPr>
                <w:rFonts w:asciiTheme="minorHAnsi" w:eastAsia="Times New Roman" w:hAnsiTheme="minorHAnsi" w:cstheme="minorHAnsi"/>
                <w:b/>
                <w:bCs/>
                <w:sz w:val="20"/>
                <w:szCs w:val="20"/>
              </w:rPr>
              <w:t>Action Description</w:t>
            </w:r>
          </w:p>
        </w:tc>
        <w:tc>
          <w:tcPr>
            <w:tcW w:w="2430" w:type="dxa"/>
          </w:tcPr>
          <w:p w14:paraId="61CB7C9B" w14:textId="77777777" w:rsidR="00960FBD" w:rsidRPr="00A65783" w:rsidRDefault="00960FBD" w:rsidP="00B95150">
            <w:pPr>
              <w:tabs>
                <w:tab w:val="left" w:pos="753"/>
              </w:tabs>
              <w:ind w:right="-108"/>
              <w:jc w:val="both"/>
              <w:rPr>
                <w:rFonts w:asciiTheme="minorHAnsi" w:eastAsia="Times New Roman" w:hAnsiTheme="minorHAnsi" w:cstheme="minorHAnsi"/>
                <w:b/>
                <w:bCs/>
                <w:sz w:val="20"/>
                <w:szCs w:val="20"/>
              </w:rPr>
            </w:pPr>
            <w:r w:rsidRPr="00A65783">
              <w:rPr>
                <w:rFonts w:asciiTheme="minorHAnsi" w:eastAsia="Times New Roman" w:hAnsiTheme="minorHAnsi" w:cstheme="minorHAnsi"/>
                <w:b/>
                <w:bCs/>
                <w:sz w:val="20"/>
                <w:szCs w:val="20"/>
              </w:rPr>
              <w:t>Due Date</w:t>
            </w:r>
          </w:p>
        </w:tc>
        <w:tc>
          <w:tcPr>
            <w:tcW w:w="1890" w:type="dxa"/>
          </w:tcPr>
          <w:p w14:paraId="56782F5B" w14:textId="77777777" w:rsidR="00960FBD" w:rsidRPr="00A65783" w:rsidRDefault="00960FBD" w:rsidP="00B95150">
            <w:pPr>
              <w:tabs>
                <w:tab w:val="left" w:pos="387"/>
                <w:tab w:val="left" w:pos="753"/>
              </w:tabs>
              <w:ind w:right="-115"/>
              <w:jc w:val="both"/>
              <w:rPr>
                <w:rFonts w:asciiTheme="minorHAnsi" w:eastAsia="Times New Roman" w:hAnsiTheme="minorHAnsi" w:cstheme="minorHAnsi"/>
                <w:b/>
                <w:bCs/>
                <w:sz w:val="20"/>
                <w:szCs w:val="20"/>
              </w:rPr>
            </w:pPr>
            <w:r w:rsidRPr="00A65783">
              <w:rPr>
                <w:rFonts w:asciiTheme="minorHAnsi" w:eastAsia="Times New Roman" w:hAnsiTheme="minorHAnsi" w:cstheme="minorHAnsi"/>
                <w:b/>
                <w:bCs/>
                <w:sz w:val="20"/>
                <w:szCs w:val="20"/>
              </w:rPr>
              <w:t>Responsible Party</w:t>
            </w:r>
          </w:p>
        </w:tc>
        <w:tc>
          <w:tcPr>
            <w:tcW w:w="2340" w:type="dxa"/>
          </w:tcPr>
          <w:p w14:paraId="5BBDA939" w14:textId="77777777" w:rsidR="00960FBD" w:rsidRPr="00A65783" w:rsidRDefault="00960FBD" w:rsidP="00B95150">
            <w:pPr>
              <w:tabs>
                <w:tab w:val="left" w:pos="753"/>
              </w:tabs>
              <w:ind w:right="-153"/>
              <w:jc w:val="both"/>
              <w:rPr>
                <w:rFonts w:asciiTheme="minorHAnsi" w:eastAsia="Times New Roman" w:hAnsiTheme="minorHAnsi" w:cstheme="minorHAnsi"/>
                <w:b/>
                <w:bCs/>
                <w:sz w:val="20"/>
                <w:szCs w:val="20"/>
              </w:rPr>
            </w:pPr>
            <w:r w:rsidRPr="00A65783">
              <w:rPr>
                <w:rFonts w:asciiTheme="minorHAnsi" w:eastAsia="Times New Roman" w:hAnsiTheme="minorHAnsi" w:cstheme="minorHAnsi"/>
                <w:b/>
                <w:bCs/>
                <w:sz w:val="20"/>
                <w:szCs w:val="20"/>
              </w:rPr>
              <w:t>Completion Measurement</w:t>
            </w:r>
          </w:p>
        </w:tc>
      </w:tr>
      <w:tr w:rsidR="00960FBD" w14:paraId="31DDAF2C" w14:textId="77777777" w:rsidTr="00135833">
        <w:trPr>
          <w:jc w:val="center"/>
        </w:trPr>
        <w:tc>
          <w:tcPr>
            <w:tcW w:w="625" w:type="dxa"/>
          </w:tcPr>
          <w:p w14:paraId="44792581"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1</w:t>
            </w:r>
          </w:p>
        </w:tc>
        <w:tc>
          <w:tcPr>
            <w:tcW w:w="3600" w:type="dxa"/>
          </w:tcPr>
          <w:p w14:paraId="76A09FA0" w14:textId="77777777" w:rsidR="00960FBD" w:rsidRPr="00A65783" w:rsidRDefault="00960FBD" w:rsidP="00B95150">
            <w:pPr>
              <w:tabs>
                <w:tab w:val="left" w:pos="753"/>
              </w:tabs>
              <w:ind w:right="72"/>
              <w:rPr>
                <w:rFonts w:asciiTheme="minorHAnsi" w:hAnsiTheme="minorHAnsi" w:cstheme="minorHAnsi"/>
                <w:color w:val="auto"/>
                <w:sz w:val="20"/>
                <w:szCs w:val="20"/>
              </w:rPr>
            </w:pPr>
            <w:r w:rsidRPr="00A65783">
              <w:rPr>
                <w:rFonts w:asciiTheme="minorHAnsi" w:hAnsiTheme="minorHAnsi" w:cstheme="minorHAnsi"/>
                <w:b/>
                <w:bCs/>
                <w:sz w:val="20"/>
                <w:szCs w:val="20"/>
              </w:rPr>
              <w:t xml:space="preserve">Establishment and resourcing of State CARES Coordinating Unit in the Ministry of Budget and Planning for oversight and coordination of the multiple delivery platforms </w:t>
            </w:r>
          </w:p>
        </w:tc>
        <w:tc>
          <w:tcPr>
            <w:tcW w:w="2430" w:type="dxa"/>
          </w:tcPr>
          <w:p w14:paraId="0B18AE32" w14:textId="06690469" w:rsidR="00960FBD" w:rsidRPr="00A65783" w:rsidRDefault="00960FBD" w:rsidP="00B95150">
            <w:pPr>
              <w:tabs>
                <w:tab w:val="left" w:pos="753"/>
              </w:tabs>
              <w:ind w:right="-108"/>
              <w:rPr>
                <w:rFonts w:asciiTheme="minorHAnsi" w:eastAsia="Times New Roman" w:hAnsiTheme="minorHAnsi" w:cstheme="minorHAnsi"/>
                <w:color w:val="auto"/>
                <w:sz w:val="20"/>
                <w:szCs w:val="20"/>
              </w:rPr>
            </w:pPr>
            <w:r w:rsidRPr="00A65783">
              <w:rPr>
                <w:rFonts w:asciiTheme="minorHAnsi" w:eastAsia="Times New Roman" w:hAnsiTheme="minorHAnsi" w:cstheme="minorHAnsi"/>
                <w:sz w:val="20"/>
                <w:szCs w:val="20"/>
              </w:rPr>
              <w:t xml:space="preserve">Prior to </w:t>
            </w:r>
            <w:r w:rsidR="00FE4FFE">
              <w:rPr>
                <w:rFonts w:asciiTheme="minorHAnsi" w:eastAsia="Times New Roman" w:hAnsiTheme="minorHAnsi" w:cstheme="minorHAnsi"/>
                <w:sz w:val="20"/>
                <w:szCs w:val="20"/>
              </w:rPr>
              <w:t xml:space="preserve">commencement of </w:t>
            </w:r>
            <w:r w:rsidRPr="00A65783">
              <w:rPr>
                <w:rFonts w:asciiTheme="minorHAnsi" w:eastAsia="Times New Roman" w:hAnsiTheme="minorHAnsi" w:cstheme="minorHAnsi"/>
                <w:sz w:val="20"/>
                <w:szCs w:val="20"/>
              </w:rPr>
              <w:t xml:space="preserve">Program </w:t>
            </w:r>
            <w:r w:rsidR="005E53B1">
              <w:rPr>
                <w:rFonts w:asciiTheme="minorHAnsi" w:eastAsia="Times New Roman" w:hAnsiTheme="minorHAnsi" w:cstheme="minorHAnsi"/>
                <w:sz w:val="20"/>
                <w:szCs w:val="20"/>
              </w:rPr>
              <w:t>im</w:t>
            </w:r>
            <w:r w:rsidR="00A73149">
              <w:rPr>
                <w:rFonts w:asciiTheme="minorHAnsi" w:eastAsia="Times New Roman" w:hAnsiTheme="minorHAnsi" w:cstheme="minorHAnsi"/>
                <w:sz w:val="20"/>
                <w:szCs w:val="20"/>
              </w:rPr>
              <w:t>plementation</w:t>
            </w:r>
            <w:r w:rsidR="00FE4FFE">
              <w:rPr>
                <w:rFonts w:asciiTheme="minorHAnsi" w:eastAsia="Times New Roman" w:hAnsiTheme="minorHAnsi" w:cstheme="minorHAnsi"/>
                <w:sz w:val="20"/>
                <w:szCs w:val="20"/>
              </w:rPr>
              <w:t xml:space="preserve"> in the relevant State</w:t>
            </w:r>
            <w:r w:rsidR="00F340C0">
              <w:rPr>
                <w:rFonts w:asciiTheme="minorHAnsi" w:eastAsia="Times New Roman" w:hAnsiTheme="minorHAnsi" w:cstheme="minorHAnsi"/>
                <w:sz w:val="20"/>
                <w:szCs w:val="20"/>
              </w:rPr>
              <w:t xml:space="preserve">. </w:t>
            </w:r>
          </w:p>
        </w:tc>
        <w:tc>
          <w:tcPr>
            <w:tcW w:w="1890" w:type="dxa"/>
          </w:tcPr>
          <w:p w14:paraId="4CDF6B63" w14:textId="77777777" w:rsidR="00960FBD" w:rsidRPr="00A65783" w:rsidRDefault="00960FBD" w:rsidP="00B95150">
            <w:pPr>
              <w:tabs>
                <w:tab w:val="left" w:pos="387"/>
                <w:tab w:val="left" w:pos="753"/>
              </w:tabs>
              <w:ind w:right="-115"/>
              <w:rPr>
                <w:rFonts w:asciiTheme="minorHAnsi" w:eastAsia="Times New Roman" w:hAnsiTheme="minorHAnsi" w:cstheme="minorHAnsi"/>
                <w:color w:val="auto"/>
                <w:sz w:val="20"/>
                <w:szCs w:val="20"/>
              </w:rPr>
            </w:pPr>
            <w:r w:rsidRPr="00A65783">
              <w:rPr>
                <w:rFonts w:asciiTheme="minorHAnsi" w:eastAsia="Times New Roman" w:hAnsiTheme="minorHAnsi" w:cstheme="minorHAnsi"/>
                <w:sz w:val="20"/>
                <w:szCs w:val="20"/>
              </w:rPr>
              <w:t>State Governors and Minister of the FCT</w:t>
            </w:r>
          </w:p>
        </w:tc>
        <w:tc>
          <w:tcPr>
            <w:tcW w:w="2340" w:type="dxa"/>
          </w:tcPr>
          <w:p w14:paraId="322789C9" w14:textId="77777777" w:rsidR="00960FBD" w:rsidRPr="00A65783" w:rsidRDefault="00960FBD" w:rsidP="00B95150">
            <w:pPr>
              <w:tabs>
                <w:tab w:val="left" w:pos="753"/>
              </w:tabs>
              <w:rPr>
                <w:rFonts w:asciiTheme="minorHAnsi" w:eastAsia="Times New Roman" w:hAnsiTheme="minorHAnsi" w:cstheme="minorHAnsi"/>
                <w:color w:val="auto"/>
                <w:sz w:val="20"/>
                <w:szCs w:val="20"/>
              </w:rPr>
            </w:pPr>
            <w:r w:rsidRPr="00A65783">
              <w:rPr>
                <w:rFonts w:asciiTheme="minorHAnsi" w:eastAsia="Times New Roman" w:hAnsiTheme="minorHAnsi" w:cstheme="minorHAnsi"/>
                <w:sz w:val="20"/>
                <w:szCs w:val="20"/>
              </w:rPr>
              <w:t>Covenant and eligibility criteria</w:t>
            </w:r>
          </w:p>
        </w:tc>
      </w:tr>
      <w:tr w:rsidR="00960FBD" w14:paraId="6C263474" w14:textId="77777777" w:rsidTr="00135833">
        <w:trPr>
          <w:jc w:val="center"/>
        </w:trPr>
        <w:tc>
          <w:tcPr>
            <w:tcW w:w="625" w:type="dxa"/>
          </w:tcPr>
          <w:p w14:paraId="20960BF2"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2</w:t>
            </w:r>
          </w:p>
        </w:tc>
        <w:tc>
          <w:tcPr>
            <w:tcW w:w="3600" w:type="dxa"/>
          </w:tcPr>
          <w:p w14:paraId="3754F80A" w14:textId="05DAEB44" w:rsidR="00960FBD" w:rsidRPr="00A65783" w:rsidRDefault="00960FBD" w:rsidP="00B95150">
            <w:pPr>
              <w:tabs>
                <w:tab w:val="left" w:pos="753"/>
              </w:tabs>
              <w:ind w:right="72"/>
              <w:rPr>
                <w:rFonts w:asciiTheme="minorHAnsi" w:hAnsiTheme="minorHAnsi" w:cstheme="minorHAnsi"/>
                <w:color w:val="auto"/>
                <w:sz w:val="20"/>
                <w:szCs w:val="20"/>
              </w:rPr>
            </w:pPr>
            <w:r w:rsidRPr="00A65783">
              <w:rPr>
                <w:rFonts w:asciiTheme="minorHAnsi" w:hAnsiTheme="minorHAnsi" w:cstheme="minorHAnsi"/>
                <w:b/>
                <w:bCs/>
                <w:sz w:val="20"/>
                <w:szCs w:val="20"/>
              </w:rPr>
              <w:t xml:space="preserve">A formal capacity building program to strengthen the skills of the M&amp;E staff at State Delivery Units, Coordinating Units and Federal CARES support Unit </w:t>
            </w:r>
            <w:r w:rsidR="00531B67">
              <w:rPr>
                <w:rFonts w:asciiTheme="minorHAnsi" w:hAnsiTheme="minorHAnsi" w:cstheme="minorHAnsi"/>
                <w:b/>
                <w:bCs/>
                <w:sz w:val="20"/>
                <w:szCs w:val="20"/>
              </w:rPr>
              <w:t>o</w:t>
            </w:r>
            <w:r w:rsidRPr="00A65783">
              <w:rPr>
                <w:rFonts w:asciiTheme="minorHAnsi" w:hAnsiTheme="minorHAnsi" w:cstheme="minorHAnsi"/>
                <w:b/>
                <w:bCs/>
                <w:sz w:val="20"/>
                <w:szCs w:val="20"/>
              </w:rPr>
              <w:t>n the data collection, indicators specification and reporting system for the CARES</w:t>
            </w:r>
          </w:p>
        </w:tc>
        <w:tc>
          <w:tcPr>
            <w:tcW w:w="2430" w:type="dxa"/>
          </w:tcPr>
          <w:p w14:paraId="51BC6927" w14:textId="77777777" w:rsidR="00960FBD" w:rsidRPr="00A65783" w:rsidRDefault="00960FBD" w:rsidP="00B95150">
            <w:pPr>
              <w:tabs>
                <w:tab w:val="left" w:pos="753"/>
              </w:tabs>
              <w:ind w:right="-108"/>
              <w:rPr>
                <w:rFonts w:asciiTheme="minorHAnsi" w:eastAsia="Times New Roman" w:hAnsiTheme="minorHAnsi" w:cstheme="minorHAnsi"/>
                <w:color w:val="auto"/>
                <w:sz w:val="20"/>
                <w:szCs w:val="20"/>
              </w:rPr>
            </w:pPr>
            <w:r w:rsidRPr="00A65783">
              <w:rPr>
                <w:rFonts w:asciiTheme="minorHAnsi" w:eastAsia="Times New Roman" w:hAnsiTheme="minorHAnsi" w:cstheme="minorHAnsi"/>
                <w:sz w:val="20"/>
                <w:szCs w:val="20"/>
              </w:rPr>
              <w:t xml:space="preserve">Prior to Program implementation and every 6 months. </w:t>
            </w:r>
          </w:p>
        </w:tc>
        <w:tc>
          <w:tcPr>
            <w:tcW w:w="1890" w:type="dxa"/>
          </w:tcPr>
          <w:p w14:paraId="441AEEFC" w14:textId="77777777" w:rsidR="00960FBD" w:rsidRPr="00A65783" w:rsidRDefault="00960FBD" w:rsidP="00B95150">
            <w:pPr>
              <w:tabs>
                <w:tab w:val="left" w:pos="387"/>
                <w:tab w:val="left" w:pos="753"/>
              </w:tabs>
              <w:ind w:right="-115"/>
              <w:rPr>
                <w:rFonts w:asciiTheme="minorHAnsi" w:eastAsia="Times New Roman" w:hAnsiTheme="minorHAnsi" w:cstheme="minorHAnsi"/>
                <w:color w:val="auto"/>
                <w:sz w:val="20"/>
                <w:szCs w:val="20"/>
              </w:rPr>
            </w:pPr>
            <w:r w:rsidRPr="00A65783">
              <w:rPr>
                <w:rFonts w:asciiTheme="minorHAnsi" w:eastAsia="Times New Roman" w:hAnsiTheme="minorHAnsi" w:cstheme="minorHAnsi"/>
                <w:sz w:val="20"/>
                <w:szCs w:val="20"/>
              </w:rPr>
              <w:t xml:space="preserve">Federal CARES Support Unit and World Bank as part of the IPF </w:t>
            </w:r>
            <w:proofErr w:type="spellStart"/>
            <w:r w:rsidRPr="00A65783">
              <w:rPr>
                <w:rFonts w:asciiTheme="minorHAnsi" w:eastAsia="Times New Roman" w:hAnsiTheme="minorHAnsi" w:cstheme="minorHAnsi"/>
                <w:sz w:val="20"/>
                <w:szCs w:val="20"/>
              </w:rPr>
              <w:t>workplan</w:t>
            </w:r>
            <w:proofErr w:type="spellEnd"/>
          </w:p>
        </w:tc>
        <w:tc>
          <w:tcPr>
            <w:tcW w:w="2340" w:type="dxa"/>
          </w:tcPr>
          <w:p w14:paraId="584F1003" w14:textId="77777777" w:rsidR="00960FBD" w:rsidRPr="00A65783" w:rsidRDefault="00960FBD" w:rsidP="00B95150">
            <w:pPr>
              <w:tabs>
                <w:tab w:val="left" w:pos="753"/>
              </w:tabs>
              <w:rPr>
                <w:rFonts w:asciiTheme="minorHAnsi" w:eastAsia="Times New Roman" w:hAnsiTheme="minorHAnsi" w:cstheme="minorHAnsi"/>
                <w:color w:val="auto"/>
                <w:sz w:val="20"/>
                <w:szCs w:val="20"/>
              </w:rPr>
            </w:pPr>
            <w:r w:rsidRPr="00A65783">
              <w:rPr>
                <w:rFonts w:asciiTheme="minorHAnsi" w:eastAsia="Times New Roman" w:hAnsiTheme="minorHAnsi" w:cstheme="minorHAnsi"/>
                <w:sz w:val="20"/>
                <w:szCs w:val="20"/>
              </w:rPr>
              <w:t>Training Module and reported in M&amp;E framework and Implementation Support Supervision Report of World Bank Task team</w:t>
            </w:r>
          </w:p>
        </w:tc>
      </w:tr>
      <w:tr w:rsidR="00960FBD" w14:paraId="5A26EBFC" w14:textId="77777777" w:rsidTr="00135833">
        <w:trPr>
          <w:jc w:val="center"/>
        </w:trPr>
        <w:tc>
          <w:tcPr>
            <w:tcW w:w="625" w:type="dxa"/>
          </w:tcPr>
          <w:p w14:paraId="10B73F87"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3</w:t>
            </w:r>
          </w:p>
        </w:tc>
        <w:tc>
          <w:tcPr>
            <w:tcW w:w="3600" w:type="dxa"/>
          </w:tcPr>
          <w:p w14:paraId="610CDB68" w14:textId="77777777" w:rsidR="00960FBD" w:rsidRPr="00A65783" w:rsidRDefault="00960FBD" w:rsidP="00B95150">
            <w:pPr>
              <w:tabs>
                <w:tab w:val="left" w:pos="753"/>
              </w:tabs>
              <w:ind w:right="72"/>
              <w:rPr>
                <w:rFonts w:asciiTheme="minorHAnsi" w:hAnsiTheme="minorHAnsi" w:cstheme="minorHAnsi"/>
                <w:sz w:val="20"/>
                <w:szCs w:val="20"/>
              </w:rPr>
            </w:pPr>
            <w:r w:rsidRPr="00A65783">
              <w:rPr>
                <w:rFonts w:asciiTheme="minorHAnsi" w:hAnsiTheme="minorHAnsi" w:cstheme="minorHAnsi"/>
                <w:b/>
                <w:bCs/>
                <w:sz w:val="20"/>
                <w:szCs w:val="20"/>
              </w:rPr>
              <w:t xml:space="preserve">States submit audited financial statements with the necessary information required for the CARES Program audit </w:t>
            </w:r>
          </w:p>
        </w:tc>
        <w:tc>
          <w:tcPr>
            <w:tcW w:w="2430" w:type="dxa"/>
          </w:tcPr>
          <w:p w14:paraId="454A1BEB" w14:textId="77777777"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hAnsiTheme="minorHAnsi" w:cstheme="minorHAnsi"/>
                <w:sz w:val="20"/>
                <w:szCs w:val="20"/>
              </w:rPr>
              <w:t>FY 2020 by September 2021, FY 2021 by September 2022 and FY 2022 by September 2023</w:t>
            </w:r>
          </w:p>
        </w:tc>
        <w:tc>
          <w:tcPr>
            <w:tcW w:w="1890" w:type="dxa"/>
          </w:tcPr>
          <w:p w14:paraId="471DD8DE" w14:textId="77777777" w:rsidR="00960FBD" w:rsidRPr="00A65783" w:rsidRDefault="00960FBD" w:rsidP="00B95150">
            <w:pPr>
              <w:tabs>
                <w:tab w:val="left" w:pos="387"/>
                <w:tab w:val="left" w:pos="753"/>
              </w:tabs>
              <w:ind w:right="-115"/>
              <w:rPr>
                <w:rFonts w:asciiTheme="minorHAnsi" w:hAnsiTheme="minorHAnsi" w:cstheme="minorHAnsi"/>
                <w:sz w:val="20"/>
                <w:szCs w:val="20"/>
                <w:lang w:val="en-GB"/>
              </w:rPr>
            </w:pPr>
            <w:r w:rsidRPr="00A65783">
              <w:rPr>
                <w:rFonts w:asciiTheme="minorHAnsi" w:hAnsiTheme="minorHAnsi" w:cstheme="minorHAnsi"/>
                <w:sz w:val="20"/>
                <w:szCs w:val="20"/>
              </w:rPr>
              <w:t>States Accountant General</w:t>
            </w:r>
          </w:p>
        </w:tc>
        <w:tc>
          <w:tcPr>
            <w:tcW w:w="2340" w:type="dxa"/>
          </w:tcPr>
          <w:p w14:paraId="5F1595F6" w14:textId="77777777" w:rsidR="00960FBD" w:rsidRPr="00A65783" w:rsidRDefault="00960FBD" w:rsidP="00B95150">
            <w:pPr>
              <w:tabs>
                <w:tab w:val="left" w:pos="753"/>
              </w:tabs>
              <w:rPr>
                <w:rFonts w:asciiTheme="minorHAnsi" w:eastAsia="Times New Roman" w:hAnsiTheme="minorHAnsi" w:cstheme="minorHAnsi"/>
                <w:sz w:val="20"/>
                <w:szCs w:val="20"/>
              </w:rPr>
            </w:pPr>
            <w:r w:rsidRPr="00A65783">
              <w:rPr>
                <w:rFonts w:asciiTheme="minorHAnsi" w:hAnsiTheme="minorHAnsi" w:cstheme="minorHAnsi"/>
                <w:sz w:val="20"/>
                <w:szCs w:val="20"/>
              </w:rPr>
              <w:t>States submit the audited financial statements to the Federal Cares Support Unit.</w:t>
            </w:r>
          </w:p>
        </w:tc>
      </w:tr>
      <w:tr w:rsidR="00960FBD" w14:paraId="06385E34" w14:textId="77777777" w:rsidTr="00135833">
        <w:trPr>
          <w:jc w:val="center"/>
        </w:trPr>
        <w:tc>
          <w:tcPr>
            <w:tcW w:w="625" w:type="dxa"/>
          </w:tcPr>
          <w:p w14:paraId="223818C9"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4</w:t>
            </w:r>
          </w:p>
        </w:tc>
        <w:tc>
          <w:tcPr>
            <w:tcW w:w="3600" w:type="dxa"/>
          </w:tcPr>
          <w:p w14:paraId="5D1BA29F" w14:textId="77777777" w:rsidR="00960FBD" w:rsidRPr="00A65783" w:rsidRDefault="00960FBD" w:rsidP="00B95150">
            <w:pPr>
              <w:tabs>
                <w:tab w:val="left" w:pos="753"/>
              </w:tabs>
              <w:ind w:right="72"/>
              <w:rPr>
                <w:rFonts w:asciiTheme="minorHAnsi" w:hAnsiTheme="minorHAnsi" w:cstheme="minorHAnsi"/>
                <w:sz w:val="20"/>
                <w:szCs w:val="20"/>
              </w:rPr>
            </w:pPr>
            <w:r w:rsidRPr="00A65783">
              <w:rPr>
                <w:rFonts w:asciiTheme="minorHAnsi" w:hAnsiTheme="minorHAnsi" w:cstheme="minorHAnsi"/>
                <w:b/>
                <w:bCs/>
                <w:sz w:val="20"/>
                <w:szCs w:val="20"/>
              </w:rPr>
              <w:t>Audit of list of beneficiaries and payment to the beneficiaries in the intervention areas of the CARES Program conducted by the States Auditors General audit at the end of every calendar quarter</w:t>
            </w:r>
          </w:p>
        </w:tc>
        <w:tc>
          <w:tcPr>
            <w:tcW w:w="2430" w:type="dxa"/>
          </w:tcPr>
          <w:p w14:paraId="083A922B" w14:textId="77777777"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hAnsiTheme="minorHAnsi" w:cstheme="minorHAnsi"/>
                <w:sz w:val="20"/>
                <w:szCs w:val="20"/>
              </w:rPr>
              <w:t>30 days after the relevant calendar quarter</w:t>
            </w:r>
          </w:p>
        </w:tc>
        <w:tc>
          <w:tcPr>
            <w:tcW w:w="1890" w:type="dxa"/>
          </w:tcPr>
          <w:p w14:paraId="4A063E62" w14:textId="77777777" w:rsidR="00960FBD" w:rsidRPr="00A65783" w:rsidRDefault="00960FBD" w:rsidP="00B95150">
            <w:pPr>
              <w:tabs>
                <w:tab w:val="left" w:pos="387"/>
                <w:tab w:val="left" w:pos="753"/>
              </w:tabs>
              <w:ind w:right="-115"/>
              <w:rPr>
                <w:rFonts w:asciiTheme="minorHAnsi" w:hAnsiTheme="minorHAnsi" w:cstheme="minorHAnsi"/>
                <w:sz w:val="20"/>
                <w:szCs w:val="20"/>
                <w:lang w:val="en-GB"/>
              </w:rPr>
            </w:pPr>
            <w:r w:rsidRPr="00A65783">
              <w:rPr>
                <w:rFonts w:asciiTheme="minorHAnsi" w:hAnsiTheme="minorHAnsi" w:cstheme="minorHAnsi"/>
                <w:sz w:val="20"/>
                <w:szCs w:val="20"/>
              </w:rPr>
              <w:t>States Auditor General</w:t>
            </w:r>
          </w:p>
        </w:tc>
        <w:tc>
          <w:tcPr>
            <w:tcW w:w="2340" w:type="dxa"/>
          </w:tcPr>
          <w:p w14:paraId="6C94095E" w14:textId="77777777" w:rsidR="00960FBD" w:rsidRPr="00A65783" w:rsidRDefault="00960FBD" w:rsidP="00B95150">
            <w:pPr>
              <w:tabs>
                <w:tab w:val="left" w:pos="753"/>
              </w:tabs>
              <w:rPr>
                <w:rFonts w:asciiTheme="minorHAnsi" w:eastAsia="Times New Roman" w:hAnsiTheme="minorHAnsi" w:cstheme="minorHAnsi"/>
                <w:sz w:val="20"/>
                <w:szCs w:val="20"/>
              </w:rPr>
            </w:pPr>
            <w:r w:rsidRPr="00A65783">
              <w:rPr>
                <w:rFonts w:asciiTheme="minorHAnsi" w:hAnsiTheme="minorHAnsi" w:cstheme="minorHAnsi"/>
                <w:sz w:val="20"/>
                <w:szCs w:val="20"/>
              </w:rPr>
              <w:t xml:space="preserve">States Auditor General submit their report to the States CARES Coordination Unit and the Federal CARES Support Unit </w:t>
            </w:r>
          </w:p>
        </w:tc>
      </w:tr>
      <w:tr w:rsidR="00960FBD" w14:paraId="4CCF9C8D" w14:textId="77777777" w:rsidTr="00135833">
        <w:trPr>
          <w:jc w:val="center"/>
        </w:trPr>
        <w:tc>
          <w:tcPr>
            <w:tcW w:w="625" w:type="dxa"/>
          </w:tcPr>
          <w:p w14:paraId="3B829887"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5</w:t>
            </w:r>
          </w:p>
        </w:tc>
        <w:tc>
          <w:tcPr>
            <w:tcW w:w="3600" w:type="dxa"/>
          </w:tcPr>
          <w:p w14:paraId="1C225042" w14:textId="77777777" w:rsidR="00960FBD" w:rsidRPr="00A65783" w:rsidRDefault="00960FBD" w:rsidP="00B95150">
            <w:pPr>
              <w:tabs>
                <w:tab w:val="left" w:pos="753"/>
              </w:tabs>
              <w:ind w:right="72"/>
              <w:rPr>
                <w:rFonts w:asciiTheme="minorHAnsi" w:hAnsiTheme="minorHAnsi" w:cstheme="minorHAnsi"/>
                <w:sz w:val="20"/>
                <w:szCs w:val="20"/>
              </w:rPr>
            </w:pPr>
            <w:r w:rsidRPr="00A65783">
              <w:rPr>
                <w:rFonts w:asciiTheme="minorHAnsi" w:hAnsiTheme="minorHAnsi" w:cstheme="minorHAnsi"/>
                <w:b/>
                <w:bCs/>
                <w:sz w:val="20"/>
                <w:szCs w:val="20"/>
              </w:rPr>
              <w:t>Undertake procurement and contract performance audit of CARES Implementing Agencies</w:t>
            </w:r>
          </w:p>
        </w:tc>
        <w:tc>
          <w:tcPr>
            <w:tcW w:w="2430" w:type="dxa"/>
          </w:tcPr>
          <w:p w14:paraId="6B6DA5F4" w14:textId="77777777"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hAnsiTheme="minorHAnsi" w:cstheme="minorHAnsi"/>
                <w:sz w:val="20"/>
                <w:szCs w:val="20"/>
              </w:rPr>
              <w:t>FY 2020 by September 2021, FY 2021 by September 2022 and FY 2022 by September 2023</w:t>
            </w:r>
          </w:p>
        </w:tc>
        <w:tc>
          <w:tcPr>
            <w:tcW w:w="1890" w:type="dxa"/>
          </w:tcPr>
          <w:p w14:paraId="68846166" w14:textId="77777777" w:rsidR="00960FBD" w:rsidRPr="00A65783" w:rsidRDefault="00960FBD" w:rsidP="00B95150">
            <w:pPr>
              <w:tabs>
                <w:tab w:val="left" w:pos="387"/>
                <w:tab w:val="left" w:pos="753"/>
              </w:tabs>
              <w:ind w:right="-115"/>
              <w:rPr>
                <w:rFonts w:asciiTheme="minorHAnsi" w:hAnsiTheme="minorHAnsi" w:cstheme="minorHAnsi"/>
                <w:sz w:val="20"/>
                <w:szCs w:val="20"/>
                <w:lang w:val="en-GB"/>
              </w:rPr>
            </w:pPr>
            <w:r w:rsidRPr="00A65783">
              <w:rPr>
                <w:rFonts w:asciiTheme="minorHAnsi" w:hAnsiTheme="minorHAnsi" w:cstheme="minorHAnsi"/>
                <w:sz w:val="20"/>
                <w:szCs w:val="20"/>
              </w:rPr>
              <w:t>State Procurement Agencies</w:t>
            </w:r>
          </w:p>
        </w:tc>
        <w:tc>
          <w:tcPr>
            <w:tcW w:w="2340" w:type="dxa"/>
          </w:tcPr>
          <w:p w14:paraId="3999654A" w14:textId="77777777" w:rsidR="00960FBD" w:rsidRPr="00A65783" w:rsidRDefault="00960FBD" w:rsidP="00B95150">
            <w:pPr>
              <w:tabs>
                <w:tab w:val="left" w:pos="753"/>
              </w:tabs>
              <w:rPr>
                <w:rFonts w:asciiTheme="minorHAnsi" w:eastAsia="Times New Roman" w:hAnsiTheme="minorHAnsi" w:cstheme="minorHAnsi"/>
                <w:sz w:val="20"/>
                <w:szCs w:val="20"/>
              </w:rPr>
            </w:pPr>
            <w:r w:rsidRPr="00A65783">
              <w:rPr>
                <w:rFonts w:asciiTheme="minorHAnsi" w:hAnsiTheme="minorHAnsi" w:cstheme="minorHAnsi"/>
                <w:sz w:val="20"/>
                <w:szCs w:val="20"/>
              </w:rPr>
              <w:t>States submit the audited procurement and contract performance report to the Federal Cares Support Unit</w:t>
            </w:r>
          </w:p>
        </w:tc>
      </w:tr>
      <w:tr w:rsidR="00960FBD" w14:paraId="124BC28D" w14:textId="77777777" w:rsidTr="00135833">
        <w:trPr>
          <w:jc w:val="center"/>
        </w:trPr>
        <w:tc>
          <w:tcPr>
            <w:tcW w:w="625" w:type="dxa"/>
          </w:tcPr>
          <w:p w14:paraId="53B5B0CD"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6</w:t>
            </w:r>
          </w:p>
        </w:tc>
        <w:tc>
          <w:tcPr>
            <w:tcW w:w="3600" w:type="dxa"/>
          </w:tcPr>
          <w:p w14:paraId="7C4C91AB" w14:textId="77777777" w:rsidR="00960FBD" w:rsidRPr="00A65783" w:rsidRDefault="00960FBD" w:rsidP="00B95150">
            <w:pPr>
              <w:tabs>
                <w:tab w:val="left" w:pos="753"/>
              </w:tabs>
              <w:ind w:right="72"/>
              <w:rPr>
                <w:rFonts w:asciiTheme="minorHAnsi" w:hAnsiTheme="minorHAnsi" w:cstheme="minorHAnsi"/>
                <w:sz w:val="20"/>
                <w:szCs w:val="20"/>
              </w:rPr>
            </w:pPr>
            <w:r w:rsidRPr="00A65783">
              <w:rPr>
                <w:rFonts w:asciiTheme="minorHAnsi" w:hAnsiTheme="minorHAnsi" w:cstheme="minorHAnsi"/>
                <w:b/>
                <w:bCs/>
                <w:sz w:val="20"/>
                <w:szCs w:val="20"/>
              </w:rPr>
              <w:t xml:space="preserve">States Accountants General prepare calendar semester unaudited interim financial reports </w:t>
            </w:r>
          </w:p>
        </w:tc>
        <w:tc>
          <w:tcPr>
            <w:tcW w:w="2430" w:type="dxa"/>
          </w:tcPr>
          <w:p w14:paraId="207D4E3A" w14:textId="77777777"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hAnsiTheme="minorHAnsi" w:cstheme="minorHAnsi"/>
                <w:sz w:val="20"/>
                <w:szCs w:val="20"/>
              </w:rPr>
              <w:t xml:space="preserve">30 days after the end of the relevant calendar semester </w:t>
            </w:r>
          </w:p>
        </w:tc>
        <w:tc>
          <w:tcPr>
            <w:tcW w:w="1890" w:type="dxa"/>
          </w:tcPr>
          <w:p w14:paraId="022EB95A"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hAnsiTheme="minorHAnsi" w:cstheme="minorHAnsi"/>
                <w:sz w:val="20"/>
                <w:szCs w:val="20"/>
              </w:rPr>
              <w:t xml:space="preserve">State Accountants General </w:t>
            </w:r>
          </w:p>
        </w:tc>
        <w:tc>
          <w:tcPr>
            <w:tcW w:w="2340" w:type="dxa"/>
          </w:tcPr>
          <w:p w14:paraId="55896099" w14:textId="77777777" w:rsidR="00960FBD" w:rsidRPr="00A65783" w:rsidRDefault="00960FBD" w:rsidP="00B95150">
            <w:pPr>
              <w:tabs>
                <w:tab w:val="left" w:pos="753"/>
              </w:tabs>
              <w:ind w:right="72"/>
              <w:rPr>
                <w:rFonts w:asciiTheme="minorHAnsi" w:eastAsia="Times New Roman" w:hAnsiTheme="minorHAnsi" w:cstheme="minorHAnsi"/>
                <w:sz w:val="20"/>
                <w:szCs w:val="20"/>
              </w:rPr>
            </w:pPr>
            <w:r w:rsidRPr="00A65783">
              <w:rPr>
                <w:rFonts w:asciiTheme="minorHAnsi" w:hAnsiTheme="minorHAnsi" w:cstheme="minorHAnsi"/>
                <w:sz w:val="20"/>
                <w:szCs w:val="20"/>
              </w:rPr>
              <w:t>States Accountants General submit their report to the States CARES Coordination Unit and the Federal CARES Support Unit</w:t>
            </w:r>
          </w:p>
        </w:tc>
      </w:tr>
      <w:tr w:rsidR="00960FBD" w14:paraId="1564075E" w14:textId="77777777" w:rsidTr="00135833">
        <w:trPr>
          <w:jc w:val="center"/>
        </w:trPr>
        <w:tc>
          <w:tcPr>
            <w:tcW w:w="625" w:type="dxa"/>
          </w:tcPr>
          <w:p w14:paraId="7F735417"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7</w:t>
            </w:r>
          </w:p>
        </w:tc>
        <w:tc>
          <w:tcPr>
            <w:tcW w:w="3600" w:type="dxa"/>
          </w:tcPr>
          <w:p w14:paraId="066DF164" w14:textId="77777777" w:rsidR="00960FBD" w:rsidRPr="00A65783" w:rsidRDefault="00960FBD" w:rsidP="00B95150">
            <w:pPr>
              <w:tabs>
                <w:tab w:val="left" w:pos="753"/>
              </w:tabs>
              <w:ind w:right="72"/>
              <w:rPr>
                <w:rFonts w:asciiTheme="minorHAnsi" w:hAnsiTheme="minorHAnsi" w:cstheme="minorHAnsi"/>
                <w:sz w:val="20"/>
                <w:szCs w:val="20"/>
              </w:rPr>
            </w:pPr>
            <w:bookmarkStart w:id="3" w:name="_Hlk54348472"/>
            <w:r w:rsidRPr="00A65783">
              <w:rPr>
                <w:rFonts w:asciiTheme="minorHAnsi" w:hAnsiTheme="minorHAnsi" w:cstheme="minorHAnsi"/>
                <w:b/>
                <w:bCs/>
                <w:sz w:val="20"/>
                <w:szCs w:val="20"/>
              </w:rPr>
              <w:t xml:space="preserve">Conduct environmental and social screening of program activities and monitoring of progress on environmental and social </w:t>
            </w:r>
            <w:bookmarkEnd w:id="3"/>
            <w:r w:rsidRPr="00A65783">
              <w:rPr>
                <w:rFonts w:asciiTheme="minorHAnsi" w:hAnsiTheme="minorHAnsi" w:cstheme="minorHAnsi"/>
                <w:b/>
                <w:bCs/>
                <w:sz w:val="20"/>
                <w:szCs w:val="20"/>
              </w:rPr>
              <w:t xml:space="preserve">compliance. </w:t>
            </w:r>
          </w:p>
        </w:tc>
        <w:tc>
          <w:tcPr>
            <w:tcW w:w="2430" w:type="dxa"/>
          </w:tcPr>
          <w:p w14:paraId="42D246B2" w14:textId="7D5BF201"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 xml:space="preserve">Environmental screening before </w:t>
            </w:r>
            <w:r w:rsidR="00FE4FFE">
              <w:rPr>
                <w:rFonts w:asciiTheme="minorHAnsi" w:eastAsia="Times New Roman" w:hAnsiTheme="minorHAnsi" w:cstheme="minorHAnsi"/>
                <w:sz w:val="20"/>
                <w:szCs w:val="20"/>
              </w:rPr>
              <w:t xml:space="preserve">commencement of relevant </w:t>
            </w:r>
            <w:r w:rsidRPr="00A65783">
              <w:rPr>
                <w:rFonts w:asciiTheme="minorHAnsi" w:eastAsia="Times New Roman" w:hAnsiTheme="minorHAnsi" w:cstheme="minorHAnsi"/>
                <w:sz w:val="20"/>
                <w:szCs w:val="20"/>
              </w:rPr>
              <w:t xml:space="preserve">Program activities </w:t>
            </w:r>
          </w:p>
          <w:p w14:paraId="17EEEB71" w14:textId="77777777" w:rsidR="00960FBD" w:rsidRPr="00A65783" w:rsidRDefault="00960FBD" w:rsidP="00B95150">
            <w:pPr>
              <w:tabs>
                <w:tab w:val="left" w:pos="753"/>
              </w:tabs>
              <w:ind w:right="-108"/>
              <w:rPr>
                <w:rFonts w:asciiTheme="minorHAnsi" w:eastAsia="Times New Roman" w:hAnsiTheme="minorHAnsi" w:cstheme="minorHAnsi"/>
                <w:sz w:val="20"/>
                <w:szCs w:val="20"/>
              </w:rPr>
            </w:pPr>
          </w:p>
          <w:p w14:paraId="43CAFA2F" w14:textId="77777777" w:rsidR="00960FBD" w:rsidRPr="00A65783" w:rsidRDefault="00960FBD" w:rsidP="00B95150">
            <w:pPr>
              <w:tabs>
                <w:tab w:val="left" w:pos="753"/>
              </w:tabs>
              <w:ind w:right="-108"/>
              <w:rPr>
                <w:rFonts w:asciiTheme="minorHAnsi" w:eastAsia="Times New Roman" w:hAnsiTheme="minorHAnsi" w:cstheme="minorHAnsi"/>
                <w:sz w:val="20"/>
                <w:szCs w:val="20"/>
              </w:rPr>
            </w:pPr>
          </w:p>
        </w:tc>
        <w:tc>
          <w:tcPr>
            <w:tcW w:w="1890" w:type="dxa"/>
          </w:tcPr>
          <w:p w14:paraId="5CECB663"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Federal CARES Support Unit; State CARES Coordinating Unit and Implementing Agencies</w:t>
            </w:r>
          </w:p>
        </w:tc>
        <w:tc>
          <w:tcPr>
            <w:tcW w:w="2340" w:type="dxa"/>
          </w:tcPr>
          <w:p w14:paraId="001DE197" w14:textId="77777777" w:rsidR="00960FBD" w:rsidRPr="00A65783" w:rsidRDefault="00960FBD" w:rsidP="00B95150">
            <w:pPr>
              <w:tabs>
                <w:tab w:val="left" w:pos="753"/>
              </w:tabs>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Submit Quarterly to the Bank Completed report with recommendations about E&amp;S issues, including the progress of the implementation of actions indicated in this table to the Bank</w:t>
            </w:r>
          </w:p>
        </w:tc>
      </w:tr>
      <w:tr w:rsidR="00960FBD" w14:paraId="33DE39EE" w14:textId="77777777" w:rsidTr="00135833">
        <w:trPr>
          <w:jc w:val="center"/>
        </w:trPr>
        <w:tc>
          <w:tcPr>
            <w:tcW w:w="625" w:type="dxa"/>
          </w:tcPr>
          <w:p w14:paraId="397B6CC1"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8</w:t>
            </w:r>
          </w:p>
        </w:tc>
        <w:tc>
          <w:tcPr>
            <w:tcW w:w="3600" w:type="dxa"/>
          </w:tcPr>
          <w:p w14:paraId="4F07F485" w14:textId="77777777" w:rsidR="00960FBD" w:rsidRPr="00A65783" w:rsidRDefault="00960FBD" w:rsidP="00B95150">
            <w:pPr>
              <w:tabs>
                <w:tab w:val="left" w:pos="753"/>
              </w:tabs>
              <w:ind w:right="72"/>
              <w:rPr>
                <w:rFonts w:asciiTheme="minorHAnsi" w:hAnsiTheme="minorHAnsi" w:cstheme="minorHAnsi"/>
                <w:sz w:val="20"/>
                <w:szCs w:val="20"/>
                <w:lang w:val="en-GB" w:eastAsia="ig-NG"/>
              </w:rPr>
            </w:pPr>
            <w:bookmarkStart w:id="4" w:name="_Hlk54348729"/>
            <w:r w:rsidRPr="00A65783">
              <w:rPr>
                <w:rFonts w:asciiTheme="minorHAnsi" w:hAnsiTheme="minorHAnsi" w:cstheme="minorHAnsi"/>
                <w:b/>
                <w:bCs/>
                <w:sz w:val="20"/>
                <w:szCs w:val="20"/>
              </w:rPr>
              <w:t>Strengthen (formalize and document) existing GRM in CSDP, SCTU, FADAMA State Job Creation Unit/ MSE Support Units and GEEP to make it more robust and build trust</w:t>
            </w:r>
            <w:bookmarkEnd w:id="4"/>
          </w:p>
        </w:tc>
        <w:tc>
          <w:tcPr>
            <w:tcW w:w="2430" w:type="dxa"/>
          </w:tcPr>
          <w:p w14:paraId="7F3C7E82" w14:textId="3A804F3E" w:rsidR="00960FBD" w:rsidRPr="00A65783" w:rsidRDefault="00F340C0" w:rsidP="00B95150">
            <w:pPr>
              <w:tabs>
                <w:tab w:val="left" w:pos="753"/>
              </w:tabs>
              <w:ind w:right="-108"/>
              <w:rPr>
                <w:rFonts w:asciiTheme="minorHAnsi" w:eastAsia="Times New Roman" w:hAnsiTheme="minorHAnsi" w:cstheme="minorHAnsi"/>
                <w:sz w:val="20"/>
                <w:szCs w:val="20"/>
              </w:rPr>
            </w:pPr>
            <w:r>
              <w:rPr>
                <w:rFonts w:asciiTheme="minorHAnsi" w:eastAsia="Times New Roman" w:hAnsiTheme="minorHAnsi" w:cstheme="minorHAnsi"/>
                <w:sz w:val="20"/>
                <w:szCs w:val="20"/>
              </w:rPr>
              <w:t>P</w:t>
            </w:r>
            <w:r w:rsidR="00F924F1">
              <w:rPr>
                <w:rFonts w:asciiTheme="minorHAnsi" w:eastAsia="Times New Roman" w:hAnsiTheme="minorHAnsi" w:cstheme="minorHAnsi"/>
                <w:sz w:val="20"/>
                <w:szCs w:val="20"/>
              </w:rPr>
              <w:t>rior to program implementation</w:t>
            </w:r>
            <w:r w:rsidR="00FE4FFE">
              <w:rPr>
                <w:rFonts w:asciiTheme="minorHAnsi" w:eastAsia="Times New Roman" w:hAnsiTheme="minorHAnsi" w:cstheme="minorHAnsi"/>
                <w:sz w:val="20"/>
                <w:szCs w:val="20"/>
              </w:rPr>
              <w:t xml:space="preserve"> in the relevant State</w:t>
            </w:r>
            <w:r w:rsidR="00F924F1">
              <w:rPr>
                <w:rFonts w:asciiTheme="minorHAnsi" w:eastAsia="Times New Roman" w:hAnsiTheme="minorHAnsi" w:cstheme="minorHAnsi"/>
                <w:sz w:val="20"/>
                <w:szCs w:val="20"/>
              </w:rPr>
              <w:t>.</w:t>
            </w:r>
          </w:p>
        </w:tc>
        <w:tc>
          <w:tcPr>
            <w:tcW w:w="1890" w:type="dxa"/>
          </w:tcPr>
          <w:p w14:paraId="4ECE4C85"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Federal CARES Support Unit; State CARES Coordinating Unit and Implementing Agencies and State Legal Unit/Ministry of Justice</w:t>
            </w:r>
          </w:p>
        </w:tc>
        <w:tc>
          <w:tcPr>
            <w:tcW w:w="2340" w:type="dxa"/>
          </w:tcPr>
          <w:p w14:paraId="5B5A5791" w14:textId="77777777" w:rsidR="00960FBD" w:rsidRPr="00A65783" w:rsidRDefault="00960FBD" w:rsidP="00B95150">
            <w:pPr>
              <w:tabs>
                <w:tab w:val="left" w:pos="753"/>
              </w:tabs>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Revised GRM with clear reporting channel.</w:t>
            </w:r>
          </w:p>
        </w:tc>
      </w:tr>
      <w:tr w:rsidR="00960FBD" w14:paraId="79052208" w14:textId="77777777" w:rsidTr="00135833">
        <w:trPr>
          <w:jc w:val="center"/>
        </w:trPr>
        <w:tc>
          <w:tcPr>
            <w:tcW w:w="625" w:type="dxa"/>
          </w:tcPr>
          <w:p w14:paraId="6F613AA5" w14:textId="77777777" w:rsidR="00960FBD" w:rsidRPr="00A65783" w:rsidRDefault="00960FBD" w:rsidP="00B95150">
            <w:pPr>
              <w:tabs>
                <w:tab w:val="left" w:pos="753"/>
              </w:tabs>
              <w:ind w:right="72"/>
              <w:rPr>
                <w:rFonts w:asciiTheme="minorHAnsi" w:eastAsia="Calibri" w:hAnsiTheme="minorHAnsi" w:cstheme="minorHAnsi"/>
                <w:b/>
                <w:bCs/>
                <w:sz w:val="20"/>
                <w:szCs w:val="20"/>
              </w:rPr>
            </w:pPr>
            <w:r w:rsidRPr="00A65783">
              <w:rPr>
                <w:rFonts w:asciiTheme="minorHAnsi" w:eastAsia="Calibri" w:hAnsiTheme="minorHAnsi" w:cstheme="minorHAnsi"/>
                <w:b/>
                <w:bCs/>
                <w:sz w:val="20"/>
                <w:szCs w:val="20"/>
              </w:rPr>
              <w:t>9</w:t>
            </w:r>
          </w:p>
        </w:tc>
        <w:tc>
          <w:tcPr>
            <w:tcW w:w="3600" w:type="dxa"/>
          </w:tcPr>
          <w:p w14:paraId="0013CE52" w14:textId="77777777" w:rsidR="00960FBD" w:rsidRPr="00A65783" w:rsidRDefault="00960FBD" w:rsidP="00B95150">
            <w:pPr>
              <w:tabs>
                <w:tab w:val="left" w:pos="753"/>
              </w:tabs>
              <w:ind w:right="72"/>
              <w:rPr>
                <w:rFonts w:asciiTheme="minorHAnsi" w:hAnsiTheme="minorHAnsi" w:cstheme="minorHAnsi"/>
                <w:sz w:val="20"/>
                <w:szCs w:val="20"/>
              </w:rPr>
            </w:pPr>
            <w:bookmarkStart w:id="5" w:name="_Hlk54348403"/>
            <w:r w:rsidRPr="00A65783">
              <w:rPr>
                <w:rFonts w:asciiTheme="minorHAnsi" w:eastAsia="Calibri" w:hAnsiTheme="minorHAnsi" w:cstheme="minorHAnsi"/>
                <w:b/>
                <w:bCs/>
                <w:sz w:val="20"/>
                <w:szCs w:val="20"/>
              </w:rPr>
              <w:t>Where relevant program / sub-program activities will happen, s</w:t>
            </w:r>
            <w:r w:rsidRPr="00A65783">
              <w:rPr>
                <w:rFonts w:asciiTheme="minorHAnsi" w:eastAsia="Calibri" w:hAnsiTheme="minorHAnsi" w:cstheme="minorHAnsi"/>
                <w:b/>
                <w:bCs/>
                <w:sz w:val="20"/>
                <w:szCs w:val="20"/>
                <w:lang w:val="ig-NG"/>
              </w:rPr>
              <w:t>tates to set up community level</w:t>
            </w:r>
            <w:r w:rsidRPr="00A65783">
              <w:rPr>
                <w:rFonts w:asciiTheme="minorHAnsi" w:eastAsia="Calibri" w:hAnsiTheme="minorHAnsi" w:cstheme="minorHAnsi"/>
                <w:b/>
                <w:bCs/>
                <w:sz w:val="20"/>
                <w:szCs w:val="20"/>
              </w:rPr>
              <w:t xml:space="preserve"> </w:t>
            </w:r>
            <w:r w:rsidRPr="00A65783">
              <w:rPr>
                <w:rFonts w:asciiTheme="minorHAnsi" w:eastAsia="Calibri" w:hAnsiTheme="minorHAnsi" w:cstheme="minorHAnsi"/>
                <w:b/>
                <w:bCs/>
                <w:sz w:val="20"/>
                <w:szCs w:val="20"/>
                <w:lang w:val="ig-NG"/>
              </w:rPr>
              <w:t xml:space="preserve">(through relevant traditional rulers/ institution) conflict resolution committee to address conflict related to </w:t>
            </w:r>
            <w:r w:rsidRPr="00A65783">
              <w:rPr>
                <w:rFonts w:asciiTheme="minorHAnsi" w:eastAsia="Calibri" w:hAnsiTheme="minorHAnsi" w:cstheme="minorHAnsi"/>
                <w:b/>
                <w:bCs/>
                <w:sz w:val="20"/>
                <w:szCs w:val="20"/>
              </w:rPr>
              <w:t>program activities</w:t>
            </w:r>
            <w:bookmarkEnd w:id="5"/>
            <w:r w:rsidRPr="00A65783">
              <w:rPr>
                <w:rFonts w:asciiTheme="minorHAnsi" w:eastAsia="Calibri" w:hAnsiTheme="minorHAnsi" w:cstheme="minorHAnsi"/>
                <w:b/>
                <w:bCs/>
                <w:sz w:val="20"/>
                <w:szCs w:val="20"/>
              </w:rPr>
              <w:t>.</w:t>
            </w:r>
          </w:p>
        </w:tc>
        <w:tc>
          <w:tcPr>
            <w:tcW w:w="2430" w:type="dxa"/>
          </w:tcPr>
          <w:p w14:paraId="12DED55E" w14:textId="425A2A1A"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Prior to implementation of sub Program activities</w:t>
            </w:r>
            <w:r w:rsidR="00FE4FFE">
              <w:rPr>
                <w:rFonts w:asciiTheme="minorHAnsi" w:eastAsia="Times New Roman" w:hAnsiTheme="minorHAnsi" w:cstheme="minorHAnsi"/>
                <w:sz w:val="20"/>
                <w:szCs w:val="20"/>
              </w:rPr>
              <w:t xml:space="preserve"> in the relevant State. </w:t>
            </w:r>
          </w:p>
        </w:tc>
        <w:tc>
          <w:tcPr>
            <w:tcW w:w="1890" w:type="dxa"/>
          </w:tcPr>
          <w:p w14:paraId="09AC25C2"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State CARES coordination Unit, CSDA, Ministry of Local Government and Chieftaincy,</w:t>
            </w:r>
          </w:p>
        </w:tc>
        <w:tc>
          <w:tcPr>
            <w:tcW w:w="2340" w:type="dxa"/>
          </w:tcPr>
          <w:p w14:paraId="2C3143DC" w14:textId="77777777" w:rsidR="00960FBD" w:rsidRPr="00A65783" w:rsidRDefault="00960FBD" w:rsidP="00B95150">
            <w:pPr>
              <w:tabs>
                <w:tab w:val="left" w:pos="753"/>
              </w:tabs>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List and contacts of committee members and Memorandum of inauguration, minutes of committee meetings.</w:t>
            </w:r>
          </w:p>
        </w:tc>
      </w:tr>
      <w:tr w:rsidR="00960FBD" w14:paraId="4DC25C11" w14:textId="77777777" w:rsidTr="00135833">
        <w:trPr>
          <w:jc w:val="center"/>
        </w:trPr>
        <w:tc>
          <w:tcPr>
            <w:tcW w:w="625" w:type="dxa"/>
          </w:tcPr>
          <w:p w14:paraId="54F79619"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10</w:t>
            </w:r>
          </w:p>
        </w:tc>
        <w:tc>
          <w:tcPr>
            <w:tcW w:w="3600" w:type="dxa"/>
          </w:tcPr>
          <w:p w14:paraId="39462D66" w14:textId="77777777" w:rsidR="00960FBD" w:rsidRPr="00A65783" w:rsidRDefault="00960FBD" w:rsidP="00B95150">
            <w:pPr>
              <w:tabs>
                <w:tab w:val="left" w:pos="753"/>
              </w:tabs>
              <w:ind w:right="72"/>
              <w:rPr>
                <w:rFonts w:asciiTheme="minorHAnsi" w:hAnsiTheme="minorHAnsi" w:cstheme="minorHAnsi"/>
                <w:sz w:val="20"/>
                <w:szCs w:val="20"/>
              </w:rPr>
            </w:pPr>
            <w:bookmarkStart w:id="6" w:name="_Hlk54348516"/>
            <w:r w:rsidRPr="00A65783">
              <w:rPr>
                <w:rFonts w:asciiTheme="minorHAnsi" w:hAnsiTheme="minorHAnsi" w:cstheme="minorHAnsi"/>
                <w:b/>
                <w:bCs/>
                <w:sz w:val="20"/>
                <w:szCs w:val="20"/>
                <w:lang w:val="ig-NG"/>
              </w:rPr>
              <w:t xml:space="preserve">All </w:t>
            </w:r>
            <w:r w:rsidRPr="00A65783">
              <w:rPr>
                <w:rFonts w:asciiTheme="minorHAnsi" w:eastAsia="Calibri" w:hAnsiTheme="minorHAnsi" w:cstheme="minorHAnsi"/>
                <w:b/>
                <w:bCs/>
                <w:sz w:val="20"/>
                <w:szCs w:val="20"/>
              </w:rPr>
              <w:t xml:space="preserve"> CSDAs to develop</w:t>
            </w:r>
            <w:r w:rsidRPr="00A65783">
              <w:rPr>
                <w:rFonts w:asciiTheme="minorHAnsi" w:eastAsia="Calibri" w:hAnsiTheme="minorHAnsi" w:cstheme="minorHAnsi"/>
                <w:b/>
                <w:bCs/>
                <w:sz w:val="20"/>
                <w:szCs w:val="20"/>
                <w:lang w:val="ig-NG"/>
              </w:rPr>
              <w:t>, adopt and</w:t>
            </w:r>
            <w:r w:rsidRPr="00A65783">
              <w:rPr>
                <w:rFonts w:asciiTheme="minorHAnsi" w:eastAsia="Calibri" w:hAnsiTheme="minorHAnsi" w:cstheme="minorHAnsi"/>
                <w:b/>
                <w:bCs/>
                <w:sz w:val="20"/>
                <w:szCs w:val="20"/>
              </w:rPr>
              <w:t xml:space="preserve"> implement a Voluntary Land Donation(VLD) framework/protocol in line with World Bank Guideline to screen all land selected for micro projects (All donated land must be free of economic, social and physical encumbrances).</w:t>
            </w:r>
            <w:bookmarkEnd w:id="6"/>
          </w:p>
        </w:tc>
        <w:tc>
          <w:tcPr>
            <w:tcW w:w="2430" w:type="dxa"/>
          </w:tcPr>
          <w:p w14:paraId="5448869C" w14:textId="676CD88F" w:rsidR="00960FBD" w:rsidRPr="00A65783" w:rsidRDefault="005071C2" w:rsidP="00B95150">
            <w:pPr>
              <w:tabs>
                <w:tab w:val="left" w:pos="753"/>
              </w:tabs>
              <w:ind w:right="-108"/>
              <w:rPr>
                <w:rFonts w:asciiTheme="minorHAnsi" w:eastAsia="Times New Roman" w:hAnsiTheme="minorHAnsi" w:cstheme="minorHAnsi"/>
                <w:sz w:val="20"/>
                <w:szCs w:val="20"/>
              </w:rPr>
            </w:pPr>
            <w:r>
              <w:rPr>
                <w:rFonts w:asciiTheme="minorHAnsi" w:eastAsia="Times New Roman" w:hAnsiTheme="minorHAnsi" w:cstheme="minorHAnsi"/>
                <w:sz w:val="20"/>
                <w:szCs w:val="20"/>
              </w:rPr>
              <w:t>Prior to implementation of subprogram activities in D</w:t>
            </w:r>
            <w:r w:rsidR="0056057F">
              <w:rPr>
                <w:rFonts w:asciiTheme="minorHAnsi" w:eastAsia="Times New Roman" w:hAnsiTheme="minorHAnsi" w:cstheme="minorHAnsi"/>
                <w:sz w:val="20"/>
                <w:szCs w:val="20"/>
              </w:rPr>
              <w:t xml:space="preserve">LI 1.4. </w:t>
            </w:r>
          </w:p>
        </w:tc>
        <w:tc>
          <w:tcPr>
            <w:tcW w:w="1890" w:type="dxa"/>
          </w:tcPr>
          <w:p w14:paraId="7D60DF5E"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 xml:space="preserve">CSDAs, State Ministry of Land, Urban and Physical Development and Ministry of Local Government and Chieftaincy Affairs </w:t>
            </w:r>
          </w:p>
        </w:tc>
        <w:tc>
          <w:tcPr>
            <w:tcW w:w="2340" w:type="dxa"/>
          </w:tcPr>
          <w:p w14:paraId="08660B0B" w14:textId="77777777" w:rsidR="00960FBD" w:rsidRPr="00A65783" w:rsidRDefault="00960FBD" w:rsidP="00B95150">
            <w:pPr>
              <w:tabs>
                <w:tab w:val="left" w:pos="753"/>
              </w:tabs>
              <w:ind w:right="72"/>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 xml:space="preserve">Developed and submit voluntary Land donation framework/protocol with screening checklist satisfactory to the Bank. </w:t>
            </w:r>
          </w:p>
        </w:tc>
      </w:tr>
      <w:tr w:rsidR="00960FBD" w14:paraId="2271037A" w14:textId="77777777" w:rsidTr="00135833">
        <w:trPr>
          <w:jc w:val="center"/>
        </w:trPr>
        <w:tc>
          <w:tcPr>
            <w:tcW w:w="625" w:type="dxa"/>
            <w:tcBorders>
              <w:bottom w:val="single" w:sz="4" w:space="0" w:color="auto"/>
            </w:tcBorders>
          </w:tcPr>
          <w:p w14:paraId="3452E56C" w14:textId="77777777" w:rsidR="00960FBD" w:rsidRPr="00A65783" w:rsidRDefault="00960FBD" w:rsidP="00B95150">
            <w:pPr>
              <w:tabs>
                <w:tab w:val="left" w:pos="753"/>
              </w:tabs>
              <w:ind w:right="72"/>
              <w:rPr>
                <w:rFonts w:asciiTheme="minorHAnsi" w:eastAsia="Times New Roman" w:hAnsiTheme="minorHAnsi" w:cstheme="minorHAnsi"/>
                <w:b/>
                <w:bCs/>
                <w:sz w:val="20"/>
                <w:szCs w:val="20"/>
              </w:rPr>
            </w:pPr>
            <w:r w:rsidRPr="00A65783">
              <w:rPr>
                <w:rFonts w:asciiTheme="minorHAnsi" w:eastAsia="Times New Roman" w:hAnsiTheme="minorHAnsi" w:cstheme="minorHAnsi"/>
                <w:b/>
                <w:bCs/>
                <w:sz w:val="20"/>
                <w:szCs w:val="20"/>
              </w:rPr>
              <w:t>11</w:t>
            </w:r>
          </w:p>
        </w:tc>
        <w:tc>
          <w:tcPr>
            <w:tcW w:w="3600" w:type="dxa"/>
            <w:tcBorders>
              <w:bottom w:val="single" w:sz="4" w:space="0" w:color="auto"/>
            </w:tcBorders>
          </w:tcPr>
          <w:p w14:paraId="6B3833A1" w14:textId="77777777" w:rsidR="00960FBD" w:rsidRPr="00A65783" w:rsidRDefault="00960FBD" w:rsidP="00B95150">
            <w:pPr>
              <w:tabs>
                <w:tab w:val="left" w:pos="753"/>
              </w:tabs>
              <w:ind w:right="72"/>
              <w:rPr>
                <w:rFonts w:asciiTheme="minorHAnsi" w:eastAsiaTheme="minorHAnsi" w:hAnsiTheme="minorHAnsi" w:cstheme="minorHAnsi"/>
                <w:sz w:val="20"/>
                <w:szCs w:val="20"/>
              </w:rPr>
            </w:pPr>
            <w:bookmarkStart w:id="7" w:name="_Hlk54348435"/>
            <w:r w:rsidRPr="00A65783">
              <w:rPr>
                <w:rFonts w:asciiTheme="minorHAnsi" w:eastAsia="Times New Roman" w:hAnsiTheme="minorHAnsi" w:cstheme="minorHAnsi"/>
                <w:b/>
                <w:bCs/>
                <w:sz w:val="20"/>
                <w:szCs w:val="20"/>
              </w:rPr>
              <w:t xml:space="preserve">Ensure Engagement of Environmental/OHS specialist, social specialist, officer, GBV/ Gender, GRM officer, in the PIU at the federal and state level (for states without environment and social specialist in the implementing agencies). To be maintained throughout the life of the program </w:t>
            </w:r>
            <w:bookmarkEnd w:id="7"/>
            <w:r w:rsidRPr="00A65783">
              <w:rPr>
                <w:rFonts w:asciiTheme="minorHAnsi" w:eastAsia="Times New Roman" w:hAnsiTheme="minorHAnsi" w:cstheme="minorHAnsi"/>
                <w:b/>
                <w:bCs/>
                <w:sz w:val="20"/>
                <w:szCs w:val="20"/>
              </w:rPr>
              <w:t>implementation</w:t>
            </w:r>
          </w:p>
        </w:tc>
        <w:tc>
          <w:tcPr>
            <w:tcW w:w="2430" w:type="dxa"/>
            <w:tcBorders>
              <w:bottom w:val="single" w:sz="4" w:space="0" w:color="auto"/>
            </w:tcBorders>
          </w:tcPr>
          <w:p w14:paraId="662187B2" w14:textId="1E053AD1"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Prior to Effectiveness</w:t>
            </w:r>
            <w:r w:rsidR="0083401E">
              <w:rPr>
                <w:rFonts w:asciiTheme="minorHAnsi" w:eastAsia="Times New Roman" w:hAnsiTheme="minorHAnsi" w:cstheme="minorHAnsi"/>
                <w:sz w:val="20"/>
                <w:szCs w:val="20"/>
              </w:rPr>
              <w:t xml:space="preserve"> at Federal level and</w:t>
            </w:r>
            <w:r w:rsidR="00FE4FFE">
              <w:rPr>
                <w:rFonts w:asciiTheme="minorHAnsi" w:eastAsia="Times New Roman" w:hAnsiTheme="minorHAnsi" w:cstheme="minorHAnsi"/>
                <w:sz w:val="20"/>
                <w:szCs w:val="20"/>
              </w:rPr>
              <w:t xml:space="preserve"> prior to commencement of</w:t>
            </w:r>
            <w:r w:rsidR="0083401E">
              <w:rPr>
                <w:rFonts w:asciiTheme="minorHAnsi" w:eastAsia="Times New Roman" w:hAnsiTheme="minorHAnsi" w:cstheme="minorHAnsi"/>
                <w:sz w:val="20"/>
                <w:szCs w:val="20"/>
              </w:rPr>
              <w:t xml:space="preserve"> </w:t>
            </w:r>
            <w:r w:rsidR="00925221">
              <w:rPr>
                <w:rFonts w:asciiTheme="minorHAnsi" w:eastAsia="Times New Roman" w:hAnsiTheme="minorHAnsi" w:cstheme="minorHAnsi"/>
                <w:sz w:val="20"/>
                <w:szCs w:val="20"/>
              </w:rPr>
              <w:t>Program implementation at State level</w:t>
            </w:r>
            <w:r w:rsidR="007B4377">
              <w:rPr>
                <w:rFonts w:asciiTheme="minorHAnsi" w:eastAsia="Times New Roman" w:hAnsiTheme="minorHAnsi" w:cstheme="minorHAnsi"/>
                <w:sz w:val="20"/>
                <w:szCs w:val="20"/>
              </w:rPr>
              <w:t xml:space="preserve">. </w:t>
            </w:r>
          </w:p>
        </w:tc>
        <w:tc>
          <w:tcPr>
            <w:tcW w:w="1890" w:type="dxa"/>
            <w:tcBorders>
              <w:bottom w:val="single" w:sz="4" w:space="0" w:color="auto"/>
            </w:tcBorders>
          </w:tcPr>
          <w:p w14:paraId="2F5F9A32"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Federal CARES support unit and state Cares Coordinating Units</w:t>
            </w:r>
          </w:p>
        </w:tc>
        <w:tc>
          <w:tcPr>
            <w:tcW w:w="2340" w:type="dxa"/>
            <w:tcBorders>
              <w:bottom w:val="single" w:sz="4" w:space="0" w:color="auto"/>
            </w:tcBorders>
          </w:tcPr>
          <w:p w14:paraId="01AB448A" w14:textId="77777777" w:rsidR="00960FBD" w:rsidRPr="00A65783" w:rsidRDefault="00960FBD" w:rsidP="00B95150">
            <w:pPr>
              <w:tabs>
                <w:tab w:val="left" w:pos="753"/>
              </w:tabs>
              <w:ind w:right="72"/>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 xml:space="preserve">Inclusion of the listed specialist in the team and maintained throughout the Program implementation. </w:t>
            </w:r>
          </w:p>
        </w:tc>
      </w:tr>
      <w:tr w:rsidR="00960FBD" w14:paraId="0DBD8563" w14:textId="77777777" w:rsidTr="00135833">
        <w:trPr>
          <w:jc w:val="center"/>
        </w:trPr>
        <w:tc>
          <w:tcPr>
            <w:tcW w:w="625" w:type="dxa"/>
            <w:tcBorders>
              <w:top w:val="single" w:sz="4" w:space="0" w:color="auto"/>
              <w:bottom w:val="single" w:sz="4" w:space="0" w:color="auto"/>
              <w:right w:val="single" w:sz="4" w:space="0" w:color="auto"/>
            </w:tcBorders>
            <w:shd w:val="clear" w:color="auto" w:fill="auto"/>
          </w:tcPr>
          <w:p w14:paraId="649F32A4" w14:textId="77777777" w:rsidR="00960FBD" w:rsidRPr="007D3D21" w:rsidRDefault="00960FBD" w:rsidP="00B95150">
            <w:pPr>
              <w:tabs>
                <w:tab w:val="left" w:pos="753"/>
              </w:tabs>
              <w:ind w:right="72"/>
              <w:rPr>
                <w:rFonts w:asciiTheme="minorHAnsi" w:hAnsiTheme="minorHAnsi" w:cstheme="minorHAnsi"/>
                <w:b/>
                <w:bCs/>
                <w:color w:val="auto"/>
                <w:sz w:val="20"/>
                <w:szCs w:val="20"/>
              </w:rPr>
            </w:pPr>
            <w:r w:rsidRPr="007D3D21">
              <w:rPr>
                <w:rFonts w:asciiTheme="minorHAnsi" w:hAnsiTheme="minorHAnsi" w:cstheme="minorHAnsi"/>
                <w:b/>
                <w:bCs/>
                <w:color w:val="auto"/>
                <w:sz w:val="20"/>
                <w:szCs w:val="20"/>
              </w:rPr>
              <w:t>12</w:t>
            </w:r>
          </w:p>
        </w:tc>
        <w:tc>
          <w:tcPr>
            <w:tcW w:w="3600" w:type="dxa"/>
            <w:tcBorders>
              <w:top w:val="single" w:sz="4" w:space="0" w:color="auto"/>
              <w:left w:val="single" w:sz="4" w:space="0" w:color="auto"/>
              <w:bottom w:val="single" w:sz="4" w:space="0" w:color="auto"/>
              <w:right w:val="single" w:sz="4" w:space="0" w:color="auto"/>
            </w:tcBorders>
            <w:shd w:val="clear" w:color="auto" w:fill="auto"/>
          </w:tcPr>
          <w:p w14:paraId="4A66ADD2" w14:textId="77777777" w:rsidR="00960FBD" w:rsidRPr="007D3D21" w:rsidRDefault="00960FBD" w:rsidP="00B95150">
            <w:pPr>
              <w:tabs>
                <w:tab w:val="left" w:pos="753"/>
              </w:tabs>
              <w:ind w:right="72"/>
              <w:rPr>
                <w:rFonts w:asciiTheme="minorHAnsi" w:hAnsiTheme="minorHAnsi" w:cstheme="minorHAnsi"/>
                <w:b/>
                <w:bCs/>
                <w:color w:val="auto"/>
                <w:sz w:val="20"/>
                <w:szCs w:val="20"/>
              </w:rPr>
            </w:pPr>
            <w:r w:rsidRPr="007D3D21">
              <w:rPr>
                <w:rFonts w:asciiTheme="minorHAnsi" w:hAnsiTheme="minorHAnsi" w:cstheme="minorHAnsi"/>
                <w:b/>
                <w:bCs/>
                <w:color w:val="auto"/>
                <w:sz w:val="20"/>
                <w:szCs w:val="20"/>
              </w:rPr>
              <w:t xml:space="preserve">Community management committees including representatives from different categories of persons in the community including community leaders, youths, women groups and PWD’s should be set to manage the implementation of community micro projects. </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0272EDF" w14:textId="77777777" w:rsidR="00960FBD" w:rsidRPr="007D3D21" w:rsidRDefault="00960FBD" w:rsidP="00B95150">
            <w:pPr>
              <w:tabs>
                <w:tab w:val="left" w:pos="753"/>
              </w:tabs>
              <w:ind w:right="-108"/>
              <w:rPr>
                <w:rFonts w:asciiTheme="minorHAnsi" w:hAnsiTheme="minorHAnsi" w:cstheme="minorHAnsi"/>
                <w:color w:val="auto"/>
                <w:sz w:val="20"/>
                <w:szCs w:val="20"/>
              </w:rPr>
            </w:pPr>
            <w:r w:rsidRPr="007D3D21">
              <w:rPr>
                <w:rFonts w:asciiTheme="minorHAnsi" w:hAnsiTheme="minorHAnsi" w:cstheme="minorHAnsi"/>
                <w:color w:val="auto"/>
                <w:sz w:val="20"/>
                <w:szCs w:val="20"/>
              </w:rPr>
              <w:t>During preparation of the Community or Group Development Plan under DLI 1.4. (Result Area 1)</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A3E1C31" w14:textId="77777777" w:rsidR="00960FBD" w:rsidRPr="007D3D21" w:rsidRDefault="00960FBD" w:rsidP="00B95150">
            <w:pPr>
              <w:tabs>
                <w:tab w:val="left" w:pos="387"/>
                <w:tab w:val="left" w:pos="753"/>
              </w:tabs>
              <w:ind w:right="-115"/>
              <w:rPr>
                <w:rFonts w:asciiTheme="minorHAnsi" w:hAnsiTheme="minorHAnsi" w:cstheme="minorHAnsi"/>
                <w:color w:val="auto"/>
                <w:sz w:val="20"/>
                <w:szCs w:val="20"/>
              </w:rPr>
            </w:pPr>
            <w:r w:rsidRPr="007D3D21">
              <w:rPr>
                <w:rFonts w:asciiTheme="minorHAnsi" w:hAnsiTheme="minorHAnsi" w:cstheme="minorHAnsi"/>
                <w:color w:val="auto"/>
                <w:sz w:val="20"/>
                <w:szCs w:val="20"/>
              </w:rPr>
              <w:t>State CSDA or PIU for DLI1.4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BCC7552" w14:textId="77777777" w:rsidR="00960FBD" w:rsidRPr="007D3D21" w:rsidRDefault="00960FBD" w:rsidP="00B95150">
            <w:pPr>
              <w:tabs>
                <w:tab w:val="left" w:pos="753"/>
              </w:tabs>
              <w:ind w:right="72"/>
              <w:rPr>
                <w:rFonts w:asciiTheme="minorHAnsi" w:hAnsiTheme="minorHAnsi" w:cstheme="minorHAnsi"/>
                <w:color w:val="auto"/>
                <w:sz w:val="20"/>
                <w:szCs w:val="20"/>
              </w:rPr>
            </w:pPr>
            <w:r w:rsidRPr="007D3D21">
              <w:rPr>
                <w:rFonts w:asciiTheme="minorHAnsi" w:hAnsiTheme="minorHAnsi" w:cstheme="minorHAnsi"/>
                <w:color w:val="auto"/>
                <w:sz w:val="20"/>
                <w:szCs w:val="20"/>
              </w:rPr>
              <w:t>Approved Community Development Plan or Group Development Plan with list of committee members, Minutes community meetings on selection and design and implementation of micro projects.</w:t>
            </w:r>
          </w:p>
        </w:tc>
      </w:tr>
      <w:tr w:rsidR="00960FBD" w14:paraId="5E395573" w14:textId="77777777" w:rsidTr="00135833">
        <w:trPr>
          <w:jc w:val="center"/>
        </w:trPr>
        <w:tc>
          <w:tcPr>
            <w:tcW w:w="625" w:type="dxa"/>
            <w:tcBorders>
              <w:top w:val="single" w:sz="4" w:space="0" w:color="auto"/>
            </w:tcBorders>
          </w:tcPr>
          <w:p w14:paraId="3AB2DC17" w14:textId="77777777" w:rsidR="00960FBD" w:rsidRPr="00A65783" w:rsidRDefault="00960FBD" w:rsidP="00B95150">
            <w:pPr>
              <w:tabs>
                <w:tab w:val="left" w:pos="753"/>
              </w:tabs>
              <w:ind w:right="72"/>
              <w:rPr>
                <w:rFonts w:asciiTheme="minorHAnsi" w:hAnsiTheme="minorHAnsi" w:cstheme="minorHAnsi"/>
                <w:b/>
                <w:bCs/>
                <w:color w:val="000000" w:themeColor="text1"/>
                <w:sz w:val="20"/>
                <w:szCs w:val="20"/>
              </w:rPr>
            </w:pPr>
            <w:r w:rsidRPr="00A65783">
              <w:rPr>
                <w:rFonts w:asciiTheme="minorHAnsi" w:hAnsiTheme="minorHAnsi" w:cstheme="minorHAnsi"/>
                <w:b/>
                <w:bCs/>
                <w:color w:val="000000" w:themeColor="text1"/>
                <w:sz w:val="20"/>
                <w:szCs w:val="20"/>
              </w:rPr>
              <w:t>13</w:t>
            </w:r>
          </w:p>
        </w:tc>
        <w:tc>
          <w:tcPr>
            <w:tcW w:w="3600" w:type="dxa"/>
            <w:tcBorders>
              <w:top w:val="single" w:sz="4" w:space="0" w:color="auto"/>
            </w:tcBorders>
          </w:tcPr>
          <w:p w14:paraId="7AB22FE0" w14:textId="77777777" w:rsidR="00960FBD" w:rsidRPr="00A65783" w:rsidRDefault="00960FBD" w:rsidP="00B95150">
            <w:pPr>
              <w:tabs>
                <w:tab w:val="left" w:pos="753"/>
              </w:tabs>
              <w:ind w:right="72"/>
              <w:rPr>
                <w:rFonts w:asciiTheme="minorHAnsi" w:eastAsia="Times New Roman" w:hAnsiTheme="minorHAnsi" w:cstheme="minorHAnsi"/>
                <w:b/>
                <w:bCs/>
                <w:color w:val="000000" w:themeColor="text1"/>
                <w:sz w:val="20"/>
                <w:szCs w:val="20"/>
              </w:rPr>
            </w:pPr>
            <w:r w:rsidRPr="00A65783">
              <w:rPr>
                <w:rFonts w:asciiTheme="minorHAnsi" w:hAnsiTheme="minorHAnsi" w:cstheme="minorHAnsi"/>
                <w:b/>
                <w:bCs/>
                <w:color w:val="000000" w:themeColor="text1"/>
                <w:sz w:val="20"/>
                <w:szCs w:val="20"/>
              </w:rPr>
              <w:t>States without a GBV response team should quickly set up and publicize its Response Team for response to issues of SEA/SH and support it with robust public enlightenment program.</w:t>
            </w:r>
          </w:p>
        </w:tc>
        <w:tc>
          <w:tcPr>
            <w:tcW w:w="2430" w:type="dxa"/>
            <w:tcBorders>
              <w:top w:val="single" w:sz="4" w:space="0" w:color="auto"/>
            </w:tcBorders>
          </w:tcPr>
          <w:p w14:paraId="20E39631" w14:textId="55BCDA63" w:rsidR="00960FBD" w:rsidRPr="00A65783" w:rsidRDefault="000E76B8" w:rsidP="00B95150">
            <w:pPr>
              <w:tabs>
                <w:tab w:val="left" w:pos="753"/>
              </w:tabs>
              <w:ind w:right="-108"/>
              <w:rPr>
                <w:rFonts w:asciiTheme="minorHAnsi" w:eastAsia="Times New Roman" w:hAnsiTheme="minorHAnsi" w:cstheme="minorHAnsi"/>
                <w:color w:val="000000" w:themeColor="text1"/>
                <w:sz w:val="20"/>
                <w:szCs w:val="20"/>
              </w:rPr>
            </w:pPr>
            <w:r>
              <w:rPr>
                <w:rFonts w:asciiTheme="minorHAnsi" w:hAnsiTheme="minorHAnsi" w:cstheme="minorHAnsi"/>
                <w:color w:val="000000" w:themeColor="text1"/>
                <w:sz w:val="20"/>
                <w:szCs w:val="20"/>
              </w:rPr>
              <w:t xml:space="preserve">Prior </w:t>
            </w:r>
            <w:r w:rsidR="0002280C">
              <w:rPr>
                <w:rFonts w:asciiTheme="minorHAnsi" w:hAnsiTheme="minorHAnsi" w:cstheme="minorHAnsi"/>
                <w:color w:val="000000" w:themeColor="text1"/>
                <w:sz w:val="20"/>
                <w:szCs w:val="20"/>
              </w:rPr>
              <w:t>to</w:t>
            </w:r>
            <w:r w:rsidR="00FE4FFE">
              <w:rPr>
                <w:rFonts w:asciiTheme="minorHAnsi" w:hAnsiTheme="minorHAnsi" w:cstheme="minorHAnsi"/>
                <w:color w:val="000000" w:themeColor="text1"/>
                <w:sz w:val="20"/>
                <w:szCs w:val="20"/>
              </w:rPr>
              <w:t xml:space="preserve"> the commencement of</w:t>
            </w:r>
            <w:r w:rsidR="0002280C">
              <w:rPr>
                <w:rFonts w:asciiTheme="minorHAnsi" w:hAnsiTheme="minorHAnsi" w:cstheme="minorHAnsi"/>
                <w:color w:val="000000" w:themeColor="text1"/>
                <w:sz w:val="20"/>
                <w:szCs w:val="20"/>
              </w:rPr>
              <w:t xml:space="preserve"> Program Implementation</w:t>
            </w:r>
            <w:r w:rsidR="00FE4FFE">
              <w:rPr>
                <w:rFonts w:asciiTheme="minorHAnsi" w:hAnsiTheme="minorHAnsi" w:cstheme="minorHAnsi"/>
                <w:color w:val="000000" w:themeColor="text1"/>
                <w:sz w:val="20"/>
                <w:szCs w:val="20"/>
              </w:rPr>
              <w:t xml:space="preserve"> in the relevant State</w:t>
            </w:r>
            <w:r w:rsidR="0002280C">
              <w:rPr>
                <w:rFonts w:asciiTheme="minorHAnsi" w:hAnsiTheme="minorHAnsi" w:cstheme="minorHAnsi"/>
                <w:color w:val="000000" w:themeColor="text1"/>
                <w:sz w:val="20"/>
                <w:szCs w:val="20"/>
              </w:rPr>
              <w:t>.</w:t>
            </w:r>
          </w:p>
        </w:tc>
        <w:tc>
          <w:tcPr>
            <w:tcW w:w="1890" w:type="dxa"/>
            <w:tcBorders>
              <w:top w:val="single" w:sz="4" w:space="0" w:color="auto"/>
            </w:tcBorders>
          </w:tcPr>
          <w:p w14:paraId="5605AC58" w14:textId="77777777" w:rsidR="00960FBD" w:rsidRPr="00A65783" w:rsidRDefault="00960FBD" w:rsidP="00B95150">
            <w:pPr>
              <w:tabs>
                <w:tab w:val="left" w:pos="387"/>
                <w:tab w:val="left" w:pos="753"/>
              </w:tabs>
              <w:ind w:right="-115"/>
              <w:rPr>
                <w:rFonts w:asciiTheme="minorHAnsi" w:eastAsia="Times New Roman" w:hAnsiTheme="minorHAnsi" w:cstheme="minorHAnsi"/>
                <w:color w:val="000000" w:themeColor="text1"/>
                <w:sz w:val="20"/>
                <w:szCs w:val="20"/>
              </w:rPr>
            </w:pPr>
            <w:r w:rsidRPr="00A65783">
              <w:rPr>
                <w:rFonts w:asciiTheme="minorHAnsi" w:hAnsiTheme="minorHAnsi" w:cstheme="minorHAnsi"/>
                <w:color w:val="000000" w:themeColor="text1"/>
                <w:sz w:val="20"/>
                <w:szCs w:val="20"/>
              </w:rPr>
              <w:t>States Ministry of Women Affairs and Social Development and Ministry of Justice</w:t>
            </w:r>
          </w:p>
        </w:tc>
        <w:tc>
          <w:tcPr>
            <w:tcW w:w="2340" w:type="dxa"/>
            <w:tcBorders>
              <w:top w:val="single" w:sz="4" w:space="0" w:color="auto"/>
            </w:tcBorders>
          </w:tcPr>
          <w:p w14:paraId="32B17DF1" w14:textId="77777777" w:rsidR="00960FBD" w:rsidRPr="00A65783" w:rsidRDefault="00960FBD" w:rsidP="00B95150">
            <w:pPr>
              <w:tabs>
                <w:tab w:val="left" w:pos="753"/>
              </w:tabs>
              <w:ind w:right="72"/>
              <w:rPr>
                <w:rFonts w:asciiTheme="minorHAnsi" w:eastAsia="Times New Roman" w:hAnsiTheme="minorHAnsi" w:cstheme="minorHAnsi"/>
                <w:color w:val="000000" w:themeColor="text1"/>
                <w:sz w:val="20"/>
                <w:szCs w:val="20"/>
              </w:rPr>
            </w:pPr>
            <w:r w:rsidRPr="00A65783">
              <w:rPr>
                <w:rFonts w:asciiTheme="minorHAnsi" w:hAnsiTheme="minorHAnsi" w:cstheme="minorHAnsi"/>
                <w:color w:val="000000" w:themeColor="text1"/>
                <w:sz w:val="20"/>
                <w:szCs w:val="20"/>
              </w:rPr>
              <w:t>Document setting out referral pathway and available service provider by the relevant MDA</w:t>
            </w:r>
          </w:p>
        </w:tc>
      </w:tr>
      <w:tr w:rsidR="00960FBD" w14:paraId="0FDD1B77" w14:textId="77777777" w:rsidTr="00135833">
        <w:trPr>
          <w:jc w:val="center"/>
        </w:trPr>
        <w:tc>
          <w:tcPr>
            <w:tcW w:w="625" w:type="dxa"/>
          </w:tcPr>
          <w:p w14:paraId="589000E1" w14:textId="77777777" w:rsidR="00960FBD" w:rsidRPr="00A65783" w:rsidRDefault="00960FBD" w:rsidP="00B95150">
            <w:pPr>
              <w:tabs>
                <w:tab w:val="left" w:pos="753"/>
              </w:tabs>
              <w:ind w:right="72"/>
              <w:rPr>
                <w:rFonts w:asciiTheme="minorHAnsi" w:eastAsia="Calibri" w:hAnsiTheme="minorHAnsi" w:cstheme="minorHAnsi"/>
                <w:b/>
                <w:bCs/>
                <w:sz w:val="20"/>
                <w:szCs w:val="20"/>
              </w:rPr>
            </w:pPr>
            <w:r w:rsidRPr="00A65783">
              <w:rPr>
                <w:rFonts w:asciiTheme="minorHAnsi" w:eastAsia="Calibri" w:hAnsiTheme="minorHAnsi" w:cstheme="minorHAnsi"/>
                <w:b/>
                <w:bCs/>
                <w:sz w:val="20"/>
                <w:szCs w:val="20"/>
              </w:rPr>
              <w:t>14</w:t>
            </w:r>
          </w:p>
        </w:tc>
        <w:tc>
          <w:tcPr>
            <w:tcW w:w="3600" w:type="dxa"/>
          </w:tcPr>
          <w:p w14:paraId="277EAB5B" w14:textId="77777777" w:rsidR="00960FBD" w:rsidRPr="00A65783" w:rsidRDefault="00960FBD" w:rsidP="00B95150">
            <w:pPr>
              <w:tabs>
                <w:tab w:val="left" w:pos="753"/>
              </w:tabs>
              <w:ind w:right="72"/>
              <w:rPr>
                <w:rFonts w:asciiTheme="minorHAnsi" w:eastAsia="Times New Roman" w:hAnsiTheme="minorHAnsi" w:cstheme="minorHAnsi"/>
                <w:sz w:val="20"/>
                <w:szCs w:val="20"/>
              </w:rPr>
            </w:pPr>
            <w:r w:rsidRPr="00A65783">
              <w:rPr>
                <w:rFonts w:asciiTheme="minorHAnsi" w:eastAsia="Calibri" w:hAnsiTheme="minorHAnsi" w:cstheme="minorHAnsi"/>
                <w:b/>
                <w:bCs/>
                <w:sz w:val="20"/>
                <w:szCs w:val="20"/>
              </w:rPr>
              <w:t xml:space="preserve">Conduct half yearly reviews and annual environmental and social audit </w:t>
            </w:r>
          </w:p>
        </w:tc>
        <w:tc>
          <w:tcPr>
            <w:tcW w:w="2430" w:type="dxa"/>
          </w:tcPr>
          <w:p w14:paraId="41807FF3" w14:textId="77777777"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 xml:space="preserve">Half yearly and annually, as relevant, throughout Program implementation  </w:t>
            </w:r>
          </w:p>
        </w:tc>
        <w:tc>
          <w:tcPr>
            <w:tcW w:w="1890" w:type="dxa"/>
          </w:tcPr>
          <w:p w14:paraId="79B96876"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 xml:space="preserve">FCSU / </w:t>
            </w:r>
            <w:r w:rsidRPr="00A65783">
              <w:rPr>
                <w:rFonts w:asciiTheme="minorHAnsi" w:eastAsia="Calibri" w:hAnsiTheme="minorHAnsi" w:cstheme="minorHAnsi"/>
                <w:sz w:val="20"/>
                <w:szCs w:val="20"/>
                <w:lang w:val="en-GB"/>
              </w:rPr>
              <w:t>State CARES Coordinating Unit (SCCU)</w:t>
            </w:r>
          </w:p>
        </w:tc>
        <w:tc>
          <w:tcPr>
            <w:tcW w:w="2340" w:type="dxa"/>
          </w:tcPr>
          <w:p w14:paraId="58E9793E" w14:textId="77777777" w:rsidR="00960FBD" w:rsidRPr="00A65783" w:rsidRDefault="00960FBD" w:rsidP="00B95150">
            <w:pPr>
              <w:tabs>
                <w:tab w:val="left" w:pos="753"/>
              </w:tabs>
              <w:ind w:right="72"/>
              <w:rPr>
                <w:rFonts w:asciiTheme="minorHAnsi" w:eastAsia="Times New Roman" w:hAnsiTheme="minorHAnsi" w:cstheme="minorHAnsi"/>
                <w:sz w:val="20"/>
                <w:szCs w:val="20"/>
              </w:rPr>
            </w:pPr>
            <w:r w:rsidRPr="00A65783">
              <w:rPr>
                <w:rFonts w:asciiTheme="minorHAnsi" w:eastAsia="Times New Roman" w:hAnsiTheme="minorHAnsi" w:cstheme="minorHAnsi"/>
                <w:sz w:val="20"/>
                <w:szCs w:val="20"/>
              </w:rPr>
              <w:t>Submit semi-annual reviews and annual E&amp;S audits to the Bank</w:t>
            </w:r>
          </w:p>
        </w:tc>
      </w:tr>
      <w:tr w:rsidR="00960FBD" w14:paraId="1C9C221E" w14:textId="77777777" w:rsidTr="00135833">
        <w:trPr>
          <w:jc w:val="center"/>
        </w:trPr>
        <w:tc>
          <w:tcPr>
            <w:tcW w:w="625" w:type="dxa"/>
          </w:tcPr>
          <w:p w14:paraId="307352D6" w14:textId="77777777" w:rsidR="00960FBD" w:rsidRPr="00A65783" w:rsidRDefault="00960FBD" w:rsidP="00B95150">
            <w:pPr>
              <w:tabs>
                <w:tab w:val="left" w:pos="753"/>
              </w:tabs>
              <w:ind w:right="72"/>
              <w:rPr>
                <w:rFonts w:asciiTheme="minorHAnsi" w:hAnsiTheme="minorHAnsi" w:cstheme="minorHAnsi"/>
                <w:b/>
                <w:bCs/>
                <w:color w:val="000000" w:themeColor="text1"/>
                <w:sz w:val="20"/>
                <w:szCs w:val="20"/>
              </w:rPr>
            </w:pPr>
            <w:r w:rsidRPr="00A65783">
              <w:rPr>
                <w:rFonts w:asciiTheme="minorHAnsi" w:hAnsiTheme="minorHAnsi" w:cstheme="minorHAnsi"/>
                <w:b/>
                <w:bCs/>
                <w:color w:val="000000" w:themeColor="text1"/>
                <w:sz w:val="20"/>
                <w:szCs w:val="20"/>
              </w:rPr>
              <w:t>15</w:t>
            </w:r>
          </w:p>
        </w:tc>
        <w:tc>
          <w:tcPr>
            <w:tcW w:w="3600" w:type="dxa"/>
          </w:tcPr>
          <w:p w14:paraId="533DB4D5" w14:textId="77777777" w:rsidR="00960FBD" w:rsidRPr="00A65783" w:rsidRDefault="00960FBD" w:rsidP="00B95150">
            <w:pPr>
              <w:tabs>
                <w:tab w:val="left" w:pos="753"/>
              </w:tabs>
              <w:ind w:right="72"/>
              <w:rPr>
                <w:rFonts w:asciiTheme="minorHAnsi" w:eastAsia="Calibri" w:hAnsiTheme="minorHAnsi" w:cstheme="minorHAnsi"/>
                <w:b/>
                <w:bCs/>
                <w:color w:val="000000" w:themeColor="text1"/>
                <w:sz w:val="20"/>
                <w:szCs w:val="20"/>
              </w:rPr>
            </w:pPr>
            <w:r w:rsidRPr="00A65783">
              <w:rPr>
                <w:rFonts w:asciiTheme="minorHAnsi" w:hAnsiTheme="minorHAnsi" w:cstheme="minorHAnsi"/>
                <w:b/>
                <w:bCs/>
                <w:color w:val="000000" w:themeColor="text1"/>
                <w:sz w:val="20"/>
                <w:szCs w:val="20"/>
              </w:rPr>
              <w:t>Conduct security need assessment</w:t>
            </w:r>
          </w:p>
        </w:tc>
        <w:tc>
          <w:tcPr>
            <w:tcW w:w="2430" w:type="dxa"/>
          </w:tcPr>
          <w:p w14:paraId="014F2819" w14:textId="77777777" w:rsidR="00960FBD" w:rsidRPr="00A65783" w:rsidRDefault="00960FBD" w:rsidP="00B95150">
            <w:pPr>
              <w:tabs>
                <w:tab w:val="left" w:pos="753"/>
              </w:tabs>
              <w:ind w:right="-108"/>
              <w:rPr>
                <w:rFonts w:asciiTheme="minorHAnsi" w:eastAsia="Times New Roman" w:hAnsiTheme="minorHAnsi" w:cstheme="minorHAnsi"/>
                <w:color w:val="000000" w:themeColor="text1"/>
                <w:sz w:val="20"/>
                <w:szCs w:val="20"/>
              </w:rPr>
            </w:pPr>
            <w:r w:rsidRPr="00A65783">
              <w:rPr>
                <w:rFonts w:asciiTheme="minorHAnsi" w:hAnsiTheme="minorHAnsi" w:cstheme="minorHAnsi"/>
                <w:color w:val="000000" w:themeColor="text1"/>
                <w:sz w:val="20"/>
                <w:szCs w:val="20"/>
              </w:rPr>
              <w:t>Before commencement of implementation in each State</w:t>
            </w:r>
          </w:p>
        </w:tc>
        <w:tc>
          <w:tcPr>
            <w:tcW w:w="1890" w:type="dxa"/>
          </w:tcPr>
          <w:p w14:paraId="54C1FCF4" w14:textId="77777777" w:rsidR="00960FBD" w:rsidRPr="00A65783" w:rsidRDefault="00960FBD" w:rsidP="00B95150">
            <w:pPr>
              <w:tabs>
                <w:tab w:val="left" w:pos="387"/>
                <w:tab w:val="left" w:pos="753"/>
              </w:tabs>
              <w:ind w:right="-115"/>
              <w:rPr>
                <w:rFonts w:asciiTheme="minorHAnsi" w:eastAsia="Times New Roman" w:hAnsiTheme="minorHAnsi" w:cstheme="minorHAnsi"/>
                <w:color w:val="000000" w:themeColor="text1"/>
                <w:sz w:val="20"/>
                <w:szCs w:val="20"/>
              </w:rPr>
            </w:pPr>
            <w:r w:rsidRPr="00A65783">
              <w:rPr>
                <w:rFonts w:asciiTheme="minorHAnsi" w:hAnsiTheme="minorHAnsi" w:cstheme="minorHAnsi"/>
                <w:color w:val="000000" w:themeColor="text1"/>
                <w:sz w:val="20"/>
                <w:szCs w:val="20"/>
              </w:rPr>
              <w:t>All States and FCT (especially North-west and North East,)</w:t>
            </w:r>
          </w:p>
        </w:tc>
        <w:tc>
          <w:tcPr>
            <w:tcW w:w="2340" w:type="dxa"/>
          </w:tcPr>
          <w:p w14:paraId="31120D7C" w14:textId="77777777" w:rsidR="00960FBD" w:rsidRPr="00A65783" w:rsidRDefault="00960FBD" w:rsidP="00B95150">
            <w:pPr>
              <w:tabs>
                <w:tab w:val="left" w:pos="753"/>
              </w:tabs>
              <w:ind w:right="72"/>
              <w:rPr>
                <w:rFonts w:asciiTheme="minorHAnsi" w:eastAsia="Times New Roman" w:hAnsiTheme="minorHAnsi" w:cstheme="minorHAnsi"/>
                <w:color w:val="000000" w:themeColor="text1"/>
                <w:sz w:val="20"/>
                <w:szCs w:val="20"/>
              </w:rPr>
            </w:pPr>
            <w:r w:rsidRPr="00A65783">
              <w:rPr>
                <w:rFonts w:asciiTheme="minorHAnsi" w:hAnsiTheme="minorHAnsi" w:cstheme="minorHAnsi"/>
                <w:color w:val="000000" w:themeColor="text1"/>
                <w:sz w:val="20"/>
                <w:szCs w:val="20"/>
              </w:rPr>
              <w:t>Development and Agreement on security action plan</w:t>
            </w:r>
          </w:p>
        </w:tc>
      </w:tr>
      <w:tr w:rsidR="00960FBD" w14:paraId="1738D0AD" w14:textId="77777777" w:rsidTr="00135833">
        <w:trPr>
          <w:jc w:val="center"/>
        </w:trPr>
        <w:tc>
          <w:tcPr>
            <w:tcW w:w="625" w:type="dxa"/>
          </w:tcPr>
          <w:p w14:paraId="2CD5AB19" w14:textId="77777777" w:rsidR="00960FBD" w:rsidRPr="00A65783" w:rsidRDefault="00960FBD" w:rsidP="00B95150">
            <w:pPr>
              <w:rPr>
                <w:rFonts w:asciiTheme="minorHAnsi" w:hAnsiTheme="minorHAnsi" w:cstheme="minorHAnsi"/>
                <w:b/>
                <w:bCs/>
                <w:sz w:val="20"/>
                <w:szCs w:val="20"/>
              </w:rPr>
            </w:pPr>
            <w:r w:rsidRPr="00A65783">
              <w:rPr>
                <w:rFonts w:asciiTheme="minorHAnsi" w:hAnsiTheme="minorHAnsi" w:cstheme="minorHAnsi"/>
                <w:b/>
                <w:bCs/>
                <w:sz w:val="20"/>
                <w:szCs w:val="20"/>
              </w:rPr>
              <w:t>16</w:t>
            </w:r>
          </w:p>
        </w:tc>
        <w:tc>
          <w:tcPr>
            <w:tcW w:w="3600" w:type="dxa"/>
          </w:tcPr>
          <w:p w14:paraId="1C119B87" w14:textId="77777777" w:rsidR="00960FBD" w:rsidRPr="00A65783" w:rsidRDefault="00960FBD" w:rsidP="00B95150">
            <w:pPr>
              <w:rPr>
                <w:rFonts w:asciiTheme="minorHAnsi" w:hAnsiTheme="minorHAnsi" w:cstheme="minorHAnsi"/>
                <w:strike/>
                <w:sz w:val="20"/>
                <w:szCs w:val="20"/>
              </w:rPr>
            </w:pPr>
            <w:r w:rsidRPr="00A65783">
              <w:rPr>
                <w:rFonts w:asciiTheme="minorHAnsi" w:hAnsiTheme="minorHAnsi" w:cstheme="minorHAnsi"/>
                <w:b/>
                <w:bCs/>
                <w:sz w:val="20"/>
                <w:szCs w:val="20"/>
              </w:rPr>
              <w:t>Adoption of fund release policy for improved predictability of resource flows to MDAs implementing CARES program.</w:t>
            </w:r>
          </w:p>
        </w:tc>
        <w:tc>
          <w:tcPr>
            <w:tcW w:w="2430" w:type="dxa"/>
          </w:tcPr>
          <w:p w14:paraId="6A883B6B" w14:textId="57F29CDC" w:rsidR="00960FBD" w:rsidRPr="00A65783" w:rsidRDefault="00135833" w:rsidP="00B95150">
            <w:pPr>
              <w:rPr>
                <w:rFonts w:asciiTheme="minorHAnsi" w:hAnsiTheme="minorHAnsi" w:cstheme="minorHAnsi"/>
                <w:strike/>
                <w:sz w:val="20"/>
                <w:szCs w:val="20"/>
              </w:rPr>
            </w:pPr>
            <w:r>
              <w:rPr>
                <w:rFonts w:asciiTheme="minorHAnsi" w:hAnsiTheme="minorHAnsi" w:cstheme="minorHAnsi"/>
                <w:sz w:val="20"/>
                <w:szCs w:val="20"/>
              </w:rPr>
              <w:t xml:space="preserve">Prior to commencement of </w:t>
            </w:r>
            <w:r w:rsidR="00960FBD" w:rsidRPr="00A65783">
              <w:rPr>
                <w:rFonts w:asciiTheme="minorHAnsi" w:hAnsiTheme="minorHAnsi" w:cstheme="minorHAnsi"/>
                <w:sz w:val="20"/>
                <w:szCs w:val="20"/>
              </w:rPr>
              <w:t xml:space="preserve"> Program </w:t>
            </w:r>
            <w:r>
              <w:rPr>
                <w:rFonts w:asciiTheme="minorHAnsi" w:hAnsiTheme="minorHAnsi" w:cstheme="minorHAnsi"/>
                <w:sz w:val="20"/>
                <w:szCs w:val="20"/>
              </w:rPr>
              <w:t xml:space="preserve">in each State, </w:t>
            </w:r>
          </w:p>
        </w:tc>
        <w:tc>
          <w:tcPr>
            <w:tcW w:w="1890" w:type="dxa"/>
          </w:tcPr>
          <w:p w14:paraId="075C6C9D" w14:textId="77777777" w:rsidR="00960FBD" w:rsidRPr="00A65783" w:rsidRDefault="00960FBD" w:rsidP="00B95150">
            <w:pPr>
              <w:rPr>
                <w:rFonts w:asciiTheme="minorHAnsi" w:hAnsiTheme="minorHAnsi" w:cstheme="minorHAnsi"/>
                <w:sz w:val="20"/>
                <w:szCs w:val="20"/>
              </w:rPr>
            </w:pPr>
            <w:r w:rsidRPr="00A65783">
              <w:rPr>
                <w:rFonts w:asciiTheme="minorHAnsi" w:hAnsiTheme="minorHAnsi" w:cstheme="minorHAnsi"/>
                <w:sz w:val="20"/>
                <w:szCs w:val="20"/>
              </w:rPr>
              <w:t>Ministry of Budget</w:t>
            </w:r>
          </w:p>
          <w:p w14:paraId="7FBF765C" w14:textId="77777777" w:rsidR="00960FBD" w:rsidRPr="00A65783" w:rsidRDefault="00960FBD" w:rsidP="00B95150">
            <w:pPr>
              <w:rPr>
                <w:rFonts w:asciiTheme="minorHAnsi" w:hAnsiTheme="minorHAnsi" w:cstheme="minorHAnsi"/>
                <w:sz w:val="20"/>
                <w:szCs w:val="20"/>
              </w:rPr>
            </w:pPr>
            <w:r w:rsidRPr="00A65783">
              <w:rPr>
                <w:rFonts w:asciiTheme="minorHAnsi" w:hAnsiTheme="minorHAnsi" w:cstheme="minorHAnsi"/>
                <w:sz w:val="20"/>
                <w:szCs w:val="20"/>
              </w:rPr>
              <w:t>and Planning;</w:t>
            </w:r>
          </w:p>
          <w:p w14:paraId="6F2C9185" w14:textId="77777777" w:rsidR="00960FBD" w:rsidRPr="00A65783" w:rsidRDefault="00960FBD" w:rsidP="00B95150">
            <w:pPr>
              <w:rPr>
                <w:rFonts w:asciiTheme="minorHAnsi" w:hAnsiTheme="minorHAnsi" w:cstheme="minorHAnsi"/>
                <w:sz w:val="20"/>
                <w:szCs w:val="20"/>
              </w:rPr>
            </w:pPr>
            <w:r w:rsidRPr="00A65783">
              <w:rPr>
                <w:rFonts w:asciiTheme="minorHAnsi" w:hAnsiTheme="minorHAnsi" w:cstheme="minorHAnsi"/>
                <w:sz w:val="20"/>
                <w:szCs w:val="20"/>
              </w:rPr>
              <w:t>Ministry of</w:t>
            </w:r>
          </w:p>
          <w:p w14:paraId="1BD77CF3" w14:textId="77777777" w:rsidR="00960FBD" w:rsidRPr="00A65783" w:rsidRDefault="00960FBD" w:rsidP="00B95150">
            <w:pPr>
              <w:rPr>
                <w:rFonts w:asciiTheme="minorHAnsi" w:hAnsiTheme="minorHAnsi" w:cstheme="minorHAnsi"/>
                <w:strike/>
                <w:sz w:val="20"/>
                <w:szCs w:val="20"/>
              </w:rPr>
            </w:pPr>
            <w:r w:rsidRPr="00A65783">
              <w:rPr>
                <w:rFonts w:asciiTheme="minorHAnsi" w:hAnsiTheme="minorHAnsi" w:cstheme="minorHAnsi"/>
                <w:sz w:val="20"/>
                <w:szCs w:val="20"/>
              </w:rPr>
              <w:t>Finance</w:t>
            </w:r>
          </w:p>
        </w:tc>
        <w:tc>
          <w:tcPr>
            <w:tcW w:w="2340" w:type="dxa"/>
          </w:tcPr>
          <w:p w14:paraId="34E143D4" w14:textId="77777777" w:rsidR="00960FBD" w:rsidRPr="00A65783" w:rsidRDefault="00960FBD" w:rsidP="00B95150">
            <w:pPr>
              <w:rPr>
                <w:rFonts w:asciiTheme="minorHAnsi" w:hAnsiTheme="minorHAnsi" w:cstheme="minorHAnsi"/>
                <w:sz w:val="20"/>
                <w:szCs w:val="20"/>
              </w:rPr>
            </w:pPr>
            <w:r w:rsidRPr="00A65783">
              <w:rPr>
                <w:rFonts w:asciiTheme="minorHAnsi" w:hAnsiTheme="minorHAnsi" w:cstheme="minorHAnsi"/>
                <w:sz w:val="20"/>
                <w:szCs w:val="20"/>
              </w:rPr>
              <w:t>MDAs BERs showing</w:t>
            </w:r>
          </w:p>
          <w:p w14:paraId="40F3F5C8" w14:textId="77777777" w:rsidR="00960FBD" w:rsidRPr="00A65783" w:rsidRDefault="00960FBD" w:rsidP="00B95150">
            <w:pPr>
              <w:rPr>
                <w:rFonts w:asciiTheme="minorHAnsi" w:hAnsiTheme="minorHAnsi" w:cstheme="minorHAnsi"/>
                <w:sz w:val="20"/>
                <w:szCs w:val="20"/>
              </w:rPr>
            </w:pPr>
            <w:r w:rsidRPr="00A65783">
              <w:rPr>
                <w:rFonts w:asciiTheme="minorHAnsi" w:hAnsiTheme="minorHAnsi" w:cstheme="minorHAnsi"/>
                <w:sz w:val="20"/>
                <w:szCs w:val="20"/>
              </w:rPr>
              <w:t>cumulative budget</w:t>
            </w:r>
          </w:p>
          <w:p w14:paraId="6A28C45C" w14:textId="77777777" w:rsidR="00960FBD" w:rsidRPr="00A65783" w:rsidRDefault="00960FBD" w:rsidP="00B95150">
            <w:pPr>
              <w:rPr>
                <w:rFonts w:asciiTheme="minorHAnsi" w:hAnsiTheme="minorHAnsi" w:cstheme="minorHAnsi"/>
                <w:sz w:val="20"/>
                <w:szCs w:val="20"/>
              </w:rPr>
            </w:pPr>
            <w:r w:rsidRPr="00A65783">
              <w:rPr>
                <w:rFonts w:asciiTheme="minorHAnsi" w:hAnsiTheme="minorHAnsi" w:cstheme="minorHAnsi"/>
                <w:sz w:val="20"/>
                <w:szCs w:val="20"/>
              </w:rPr>
              <w:t>releases against</w:t>
            </w:r>
          </w:p>
          <w:p w14:paraId="3901DAEF" w14:textId="77777777" w:rsidR="00960FBD" w:rsidRPr="00A65783" w:rsidRDefault="00960FBD" w:rsidP="00B95150">
            <w:pPr>
              <w:rPr>
                <w:rFonts w:asciiTheme="minorHAnsi" w:hAnsiTheme="minorHAnsi" w:cstheme="minorHAnsi"/>
                <w:strike/>
                <w:sz w:val="20"/>
                <w:szCs w:val="20"/>
              </w:rPr>
            </w:pPr>
            <w:r w:rsidRPr="00A65783">
              <w:rPr>
                <w:rFonts w:asciiTheme="minorHAnsi" w:hAnsiTheme="minorHAnsi" w:cstheme="minorHAnsi"/>
                <w:sz w:val="20"/>
                <w:szCs w:val="20"/>
              </w:rPr>
              <w:t>appropriations</w:t>
            </w:r>
          </w:p>
        </w:tc>
      </w:tr>
      <w:tr w:rsidR="00960FBD" w14:paraId="5650EC56" w14:textId="77777777" w:rsidTr="00135833">
        <w:trPr>
          <w:jc w:val="center"/>
        </w:trPr>
        <w:tc>
          <w:tcPr>
            <w:tcW w:w="625" w:type="dxa"/>
          </w:tcPr>
          <w:p w14:paraId="79AA4C1E" w14:textId="77777777" w:rsidR="00960FBD" w:rsidRPr="00A65783" w:rsidRDefault="00960FBD" w:rsidP="00B95150">
            <w:pPr>
              <w:tabs>
                <w:tab w:val="left" w:pos="753"/>
              </w:tabs>
              <w:ind w:right="72"/>
              <w:rPr>
                <w:rFonts w:asciiTheme="minorHAnsi" w:hAnsiTheme="minorHAnsi" w:cstheme="minorHAnsi"/>
                <w:b/>
                <w:bCs/>
                <w:sz w:val="20"/>
                <w:szCs w:val="20"/>
              </w:rPr>
            </w:pPr>
            <w:r w:rsidRPr="00A65783">
              <w:rPr>
                <w:rFonts w:asciiTheme="minorHAnsi" w:hAnsiTheme="minorHAnsi" w:cstheme="minorHAnsi"/>
                <w:b/>
                <w:bCs/>
                <w:sz w:val="20"/>
                <w:szCs w:val="20"/>
              </w:rPr>
              <w:t>17</w:t>
            </w:r>
          </w:p>
        </w:tc>
        <w:tc>
          <w:tcPr>
            <w:tcW w:w="3600" w:type="dxa"/>
          </w:tcPr>
          <w:p w14:paraId="153721D9" w14:textId="77777777" w:rsidR="00960FBD" w:rsidRPr="00A65783" w:rsidRDefault="00960FBD" w:rsidP="00B95150">
            <w:pPr>
              <w:tabs>
                <w:tab w:val="left" w:pos="753"/>
              </w:tabs>
              <w:ind w:right="72"/>
              <w:rPr>
                <w:rFonts w:asciiTheme="minorHAnsi" w:hAnsiTheme="minorHAnsi" w:cstheme="minorHAnsi"/>
                <w:sz w:val="20"/>
                <w:szCs w:val="20"/>
              </w:rPr>
            </w:pPr>
            <w:r w:rsidRPr="00A65783">
              <w:rPr>
                <w:rFonts w:asciiTheme="minorHAnsi" w:hAnsiTheme="minorHAnsi" w:cstheme="minorHAnsi"/>
                <w:b/>
                <w:bCs/>
                <w:sz w:val="20"/>
                <w:szCs w:val="20"/>
              </w:rPr>
              <w:t xml:space="preserve">Protocol for reporting, management and investigating of fraud and corruption allegations operationalized in MDAs implementing CARES program. </w:t>
            </w:r>
          </w:p>
        </w:tc>
        <w:tc>
          <w:tcPr>
            <w:tcW w:w="2430" w:type="dxa"/>
          </w:tcPr>
          <w:p w14:paraId="7F1A3A8D" w14:textId="66165F8C" w:rsidR="00960FBD" w:rsidRPr="00A65783" w:rsidRDefault="00960FBD" w:rsidP="00B95150">
            <w:pPr>
              <w:tabs>
                <w:tab w:val="left" w:pos="753"/>
              </w:tabs>
              <w:ind w:right="-108"/>
              <w:rPr>
                <w:rFonts w:asciiTheme="minorHAnsi" w:eastAsia="Times New Roman" w:hAnsiTheme="minorHAnsi" w:cstheme="minorHAnsi"/>
                <w:sz w:val="20"/>
                <w:szCs w:val="20"/>
              </w:rPr>
            </w:pPr>
            <w:r w:rsidRPr="00A65783">
              <w:rPr>
                <w:rFonts w:asciiTheme="minorHAnsi" w:hAnsiTheme="minorHAnsi" w:cstheme="minorHAnsi"/>
                <w:sz w:val="20"/>
                <w:szCs w:val="20"/>
              </w:rPr>
              <w:t>Not later than Program effectiveness</w:t>
            </w:r>
            <w:r w:rsidR="00146D6F">
              <w:rPr>
                <w:rFonts w:asciiTheme="minorHAnsi" w:hAnsiTheme="minorHAnsi" w:cstheme="minorHAnsi"/>
                <w:sz w:val="20"/>
                <w:szCs w:val="20"/>
              </w:rPr>
              <w:t xml:space="preserve"> at Federal Level and </w:t>
            </w:r>
            <w:r w:rsidR="00FE4FFE">
              <w:rPr>
                <w:rFonts w:asciiTheme="minorHAnsi" w:hAnsiTheme="minorHAnsi" w:cstheme="minorHAnsi"/>
                <w:sz w:val="20"/>
                <w:szCs w:val="20"/>
              </w:rPr>
              <w:t xml:space="preserve">prior to commencement of </w:t>
            </w:r>
            <w:r w:rsidR="00146D6F">
              <w:rPr>
                <w:rFonts w:asciiTheme="minorHAnsi" w:hAnsiTheme="minorHAnsi" w:cstheme="minorHAnsi"/>
                <w:sz w:val="20"/>
                <w:szCs w:val="20"/>
              </w:rPr>
              <w:t xml:space="preserve">Program implementation at </w:t>
            </w:r>
            <w:r w:rsidR="008C2CB6">
              <w:rPr>
                <w:rFonts w:asciiTheme="minorHAnsi" w:hAnsiTheme="minorHAnsi" w:cstheme="minorHAnsi"/>
                <w:sz w:val="20"/>
                <w:szCs w:val="20"/>
              </w:rPr>
              <w:t>State Level</w:t>
            </w:r>
            <w:r w:rsidR="009F38C6">
              <w:rPr>
                <w:rFonts w:asciiTheme="minorHAnsi" w:hAnsiTheme="minorHAnsi" w:cstheme="minorHAnsi"/>
                <w:sz w:val="20"/>
                <w:szCs w:val="20"/>
              </w:rPr>
              <w:t>.</w:t>
            </w:r>
          </w:p>
        </w:tc>
        <w:tc>
          <w:tcPr>
            <w:tcW w:w="1890" w:type="dxa"/>
          </w:tcPr>
          <w:p w14:paraId="2C452052" w14:textId="77777777" w:rsidR="00960FBD" w:rsidRPr="00A65783" w:rsidRDefault="00960FBD" w:rsidP="00B95150">
            <w:pPr>
              <w:tabs>
                <w:tab w:val="left" w:pos="387"/>
                <w:tab w:val="left" w:pos="753"/>
              </w:tabs>
              <w:ind w:right="-115"/>
              <w:rPr>
                <w:rFonts w:asciiTheme="minorHAnsi" w:eastAsia="Times New Roman" w:hAnsiTheme="minorHAnsi" w:cstheme="minorHAnsi"/>
                <w:sz w:val="20"/>
                <w:szCs w:val="20"/>
              </w:rPr>
            </w:pPr>
            <w:r w:rsidRPr="00A65783">
              <w:rPr>
                <w:rFonts w:asciiTheme="minorHAnsi" w:hAnsiTheme="minorHAnsi" w:cstheme="minorHAnsi"/>
                <w:sz w:val="20"/>
                <w:szCs w:val="20"/>
              </w:rPr>
              <w:t>FCSU/State CARES Coordination Unit</w:t>
            </w:r>
          </w:p>
        </w:tc>
        <w:tc>
          <w:tcPr>
            <w:tcW w:w="2340" w:type="dxa"/>
          </w:tcPr>
          <w:p w14:paraId="72F5AF3F" w14:textId="77777777" w:rsidR="00960FBD" w:rsidRPr="00CC7636" w:rsidRDefault="00960FBD" w:rsidP="00B95150">
            <w:pPr>
              <w:tabs>
                <w:tab w:val="left" w:pos="753"/>
              </w:tabs>
              <w:ind w:right="72"/>
              <w:rPr>
                <w:rFonts w:asciiTheme="minorHAnsi" w:eastAsia="Times New Roman" w:hAnsiTheme="minorHAnsi" w:cstheme="minorHAnsi"/>
                <w:sz w:val="20"/>
                <w:szCs w:val="20"/>
              </w:rPr>
            </w:pPr>
            <w:r w:rsidRPr="00A65783">
              <w:rPr>
                <w:rFonts w:asciiTheme="minorHAnsi" w:hAnsiTheme="minorHAnsi" w:cstheme="minorHAnsi"/>
                <w:sz w:val="20"/>
                <w:szCs w:val="20"/>
              </w:rPr>
              <w:t>Report on fraud and corruption allegations included in Program implementation progress report</w:t>
            </w:r>
          </w:p>
        </w:tc>
      </w:tr>
    </w:tbl>
    <w:p w14:paraId="7987812C" w14:textId="77777777" w:rsidR="00F54DCA" w:rsidRDefault="00F54DCA"/>
    <w:sectPr w:rsidR="00F54D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1B33" w14:textId="77777777" w:rsidR="00B32174" w:rsidRDefault="00B32174" w:rsidP="00960FBD">
      <w:r>
        <w:separator/>
      </w:r>
    </w:p>
  </w:endnote>
  <w:endnote w:type="continuationSeparator" w:id="0">
    <w:p w14:paraId="4DE3F190" w14:textId="77777777" w:rsidR="00B32174" w:rsidRDefault="00B32174" w:rsidP="0096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6504" w14:textId="77777777" w:rsidR="00960FBD" w:rsidRDefault="00960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A038" w14:textId="77777777" w:rsidR="00960FBD" w:rsidRDefault="00960F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C0C9" w14:textId="77777777" w:rsidR="00960FBD" w:rsidRDefault="0096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B661" w14:textId="77777777" w:rsidR="00B32174" w:rsidRDefault="00B32174" w:rsidP="00960FBD">
      <w:r>
        <w:separator/>
      </w:r>
    </w:p>
  </w:footnote>
  <w:footnote w:type="continuationSeparator" w:id="0">
    <w:p w14:paraId="11E6AEDD" w14:textId="77777777" w:rsidR="00B32174" w:rsidRDefault="00B32174" w:rsidP="00960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872E" w14:textId="77777777" w:rsidR="00960FBD" w:rsidRDefault="00960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12AF" w14:textId="77777777" w:rsidR="00960FBD" w:rsidRDefault="00960F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08F4" w14:textId="77777777" w:rsidR="00960FBD" w:rsidRDefault="00960F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FBD"/>
    <w:rsid w:val="0002280C"/>
    <w:rsid w:val="000B321A"/>
    <w:rsid w:val="000B4027"/>
    <w:rsid w:val="000E5C59"/>
    <w:rsid w:val="000E76B8"/>
    <w:rsid w:val="00135833"/>
    <w:rsid w:val="00146D6F"/>
    <w:rsid w:val="001F1E0C"/>
    <w:rsid w:val="002E155E"/>
    <w:rsid w:val="003B7414"/>
    <w:rsid w:val="004530ED"/>
    <w:rsid w:val="005071C2"/>
    <w:rsid w:val="00531B67"/>
    <w:rsid w:val="0056057F"/>
    <w:rsid w:val="005E53B1"/>
    <w:rsid w:val="0060324B"/>
    <w:rsid w:val="006C511F"/>
    <w:rsid w:val="00746EA7"/>
    <w:rsid w:val="007A4549"/>
    <w:rsid w:val="007B4377"/>
    <w:rsid w:val="008320F3"/>
    <w:rsid w:val="0083401E"/>
    <w:rsid w:val="00882945"/>
    <w:rsid w:val="008C2CB6"/>
    <w:rsid w:val="008E723C"/>
    <w:rsid w:val="00925221"/>
    <w:rsid w:val="00960FBD"/>
    <w:rsid w:val="009A3283"/>
    <w:rsid w:val="009F38C6"/>
    <w:rsid w:val="009F4483"/>
    <w:rsid w:val="00A73149"/>
    <w:rsid w:val="00B32174"/>
    <w:rsid w:val="00B37315"/>
    <w:rsid w:val="00B57A44"/>
    <w:rsid w:val="00BB31B1"/>
    <w:rsid w:val="00C51008"/>
    <w:rsid w:val="00C608EB"/>
    <w:rsid w:val="00D9462C"/>
    <w:rsid w:val="00E9594C"/>
    <w:rsid w:val="00EA3C67"/>
    <w:rsid w:val="00EC64E5"/>
    <w:rsid w:val="00F340C0"/>
    <w:rsid w:val="00F54DCA"/>
    <w:rsid w:val="00F61F18"/>
    <w:rsid w:val="00F924F1"/>
    <w:rsid w:val="00FA1C43"/>
    <w:rsid w:val="00FE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A5AF5"/>
  <w15:chartTrackingRefBased/>
  <w15:docId w15:val="{485DC51D-EC10-4A36-8395-4DF9D33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960FBD"/>
    <w:pPr>
      <w:widowControl w:val="0"/>
      <w:autoSpaceDE w:val="0"/>
      <w:autoSpaceDN w:val="0"/>
      <w:adjustRightInd w:val="0"/>
      <w:spacing w:after="0" w:line="240" w:lineRule="auto"/>
    </w:pPr>
    <w:rPr>
      <w:rFonts w:ascii="Arial" w:eastAsiaTheme="minorEastAsia"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BD"/>
    <w:pPr>
      <w:widowControl w:val="0"/>
      <w:autoSpaceDE w:val="0"/>
      <w:autoSpaceDN w:val="0"/>
      <w:adjustRightInd w:val="0"/>
      <w:spacing w:after="0" w:line="240" w:lineRule="auto"/>
      <w:jc w:val="center"/>
    </w:pPr>
    <w:rPr>
      <w:rFonts w:eastAsiaTheme="minorEastAsia" w:cs="Arial"/>
      <w:color w:val="000000"/>
      <w:szCs w:val="24"/>
    </w:rPr>
  </w:style>
  <w:style w:type="character" w:customStyle="1" w:styleId="NoSpacingChar">
    <w:name w:val="No Spacing Char"/>
    <w:link w:val="NoSpacing"/>
    <w:uiPriority w:val="1"/>
    <w:locked/>
    <w:rsid w:val="00960FBD"/>
    <w:rPr>
      <w:rFonts w:eastAsiaTheme="minorEastAsia" w:cs="Arial"/>
      <w:color w:val="000000"/>
      <w:szCs w:val="24"/>
    </w:rPr>
  </w:style>
  <w:style w:type="character" w:styleId="PlaceholderText">
    <w:name w:val="Placeholder Text"/>
    <w:basedOn w:val="DefaultParagraphFont"/>
    <w:uiPriority w:val="99"/>
    <w:semiHidden/>
    <w:rsid w:val="00960FBD"/>
    <w:rPr>
      <w:color w:val="808080"/>
    </w:rPr>
  </w:style>
  <w:style w:type="paragraph" w:customStyle="1" w:styleId="Normal314">
    <w:name w:val="Normal_314"/>
    <w:uiPriority w:val="99"/>
    <w:qFormat/>
    <w:rsid w:val="00960FBD"/>
    <w:pPr>
      <w:widowControl w:val="0"/>
      <w:autoSpaceDE w:val="0"/>
      <w:autoSpaceDN w:val="0"/>
      <w:adjustRightInd w:val="0"/>
      <w:spacing w:after="0" w:line="240" w:lineRule="auto"/>
    </w:pPr>
    <w:rPr>
      <w:rFonts w:ascii="Arial" w:eastAsiaTheme="minorEastAsia" w:hAnsi="Arial" w:cs="Arial"/>
      <w:color w:val="000000"/>
      <w:sz w:val="24"/>
      <w:szCs w:val="24"/>
    </w:rPr>
  </w:style>
  <w:style w:type="table" w:customStyle="1" w:styleId="TableGrid5">
    <w:name w:val="Table Grid5"/>
    <w:basedOn w:val="TableNormal"/>
    <w:next w:val="TableGrid"/>
    <w:uiPriority w:val="39"/>
    <w:rsid w:val="00960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_76"/>
    <w:basedOn w:val="TableNormal"/>
    <w:uiPriority w:val="39"/>
    <w:rsid w:val="00960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0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FBD"/>
    <w:pPr>
      <w:tabs>
        <w:tab w:val="center" w:pos="4680"/>
        <w:tab w:val="right" w:pos="9360"/>
      </w:tabs>
    </w:pPr>
  </w:style>
  <w:style w:type="character" w:customStyle="1" w:styleId="HeaderChar">
    <w:name w:val="Header Char"/>
    <w:basedOn w:val="DefaultParagraphFont"/>
    <w:link w:val="Header"/>
    <w:uiPriority w:val="99"/>
    <w:rsid w:val="00960FBD"/>
    <w:rPr>
      <w:rFonts w:ascii="Arial" w:eastAsiaTheme="minorEastAsia" w:hAnsi="Arial" w:cs="Arial"/>
      <w:color w:val="000000"/>
      <w:sz w:val="24"/>
      <w:szCs w:val="24"/>
    </w:rPr>
  </w:style>
  <w:style w:type="paragraph" w:styleId="Footer">
    <w:name w:val="footer"/>
    <w:basedOn w:val="Normal"/>
    <w:link w:val="FooterChar"/>
    <w:uiPriority w:val="99"/>
    <w:unhideWhenUsed/>
    <w:rsid w:val="00960FBD"/>
    <w:pPr>
      <w:tabs>
        <w:tab w:val="center" w:pos="4680"/>
        <w:tab w:val="right" w:pos="9360"/>
      </w:tabs>
    </w:pPr>
  </w:style>
  <w:style w:type="character" w:customStyle="1" w:styleId="FooterChar">
    <w:name w:val="Footer Char"/>
    <w:basedOn w:val="DefaultParagraphFont"/>
    <w:link w:val="Footer"/>
    <w:uiPriority w:val="99"/>
    <w:rsid w:val="00960FBD"/>
    <w:rPr>
      <w:rFonts w:ascii="Arial" w:eastAsiaTheme="minorEastAsia" w:hAnsi="Arial" w:cs="Arial"/>
      <w:color w:val="000000"/>
      <w:sz w:val="24"/>
      <w:szCs w:val="24"/>
    </w:rPr>
  </w:style>
  <w:style w:type="paragraph" w:styleId="BalloonText">
    <w:name w:val="Balloon Text"/>
    <w:basedOn w:val="Normal"/>
    <w:link w:val="BalloonTextChar"/>
    <w:uiPriority w:val="99"/>
    <w:semiHidden/>
    <w:unhideWhenUsed/>
    <w:rsid w:val="00FA1C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C43"/>
    <w:rPr>
      <w:rFonts w:ascii="Segoe UI" w:eastAsiaTheme="minorEastAsia" w:hAnsi="Segoe UI" w:cs="Segoe UI"/>
      <w:color w:val="000000"/>
      <w:sz w:val="18"/>
      <w:szCs w:val="18"/>
    </w:rPr>
  </w:style>
  <w:style w:type="character" w:styleId="CommentReference">
    <w:name w:val="annotation reference"/>
    <w:basedOn w:val="DefaultParagraphFont"/>
    <w:uiPriority w:val="99"/>
    <w:semiHidden/>
    <w:unhideWhenUsed/>
    <w:rsid w:val="00FE4FFE"/>
    <w:rPr>
      <w:sz w:val="16"/>
      <w:szCs w:val="16"/>
    </w:rPr>
  </w:style>
  <w:style w:type="paragraph" w:styleId="CommentText">
    <w:name w:val="annotation text"/>
    <w:basedOn w:val="Normal"/>
    <w:link w:val="CommentTextChar"/>
    <w:uiPriority w:val="99"/>
    <w:semiHidden/>
    <w:unhideWhenUsed/>
    <w:rsid w:val="00FE4FFE"/>
    <w:rPr>
      <w:sz w:val="20"/>
      <w:szCs w:val="20"/>
    </w:rPr>
  </w:style>
  <w:style w:type="character" w:customStyle="1" w:styleId="CommentTextChar">
    <w:name w:val="Comment Text Char"/>
    <w:basedOn w:val="DefaultParagraphFont"/>
    <w:link w:val="CommentText"/>
    <w:uiPriority w:val="99"/>
    <w:semiHidden/>
    <w:rsid w:val="00FE4FFE"/>
    <w:rPr>
      <w:rFonts w:ascii="Arial" w:eastAsiaTheme="minorEastAsia"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FE4FFE"/>
    <w:rPr>
      <w:b/>
      <w:bCs/>
    </w:rPr>
  </w:style>
  <w:style w:type="character" w:customStyle="1" w:styleId="CommentSubjectChar">
    <w:name w:val="Comment Subject Char"/>
    <w:basedOn w:val="CommentTextChar"/>
    <w:link w:val="CommentSubject"/>
    <w:uiPriority w:val="99"/>
    <w:semiHidden/>
    <w:rsid w:val="00FE4FFE"/>
    <w:rPr>
      <w:rFonts w:ascii="Arial" w:eastAsiaTheme="minorEastAsia"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Foluso Okunmadewa</dc:creator>
  <cp:keywords/>
  <dc:description/>
  <cp:lastModifiedBy>Guest User</cp:lastModifiedBy>
  <cp:revision>2</cp:revision>
  <cp:lastPrinted>2021-05-21T17:40:00Z</cp:lastPrinted>
  <dcterms:created xsi:type="dcterms:W3CDTF">2021-11-08T16:53:00Z</dcterms:created>
  <dcterms:modified xsi:type="dcterms:W3CDTF">2021-11-08T16:53:00Z</dcterms:modified>
</cp:coreProperties>
</file>