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56A7" w14:textId="77777777" w:rsidR="00AE1ECE" w:rsidRDefault="00AE1ECE">
      <w:pPr>
        <w:spacing w:after="0" w:line="240" w:lineRule="auto"/>
        <w:rPr>
          <w:rFonts w:ascii="Arial" w:eastAsia="Arial" w:hAnsi="Arial" w:cs="Arial"/>
          <w:b/>
          <w:color w:val="0C4884"/>
          <w:sz w:val="56"/>
        </w:rPr>
      </w:pPr>
    </w:p>
    <w:p w14:paraId="09FB1153" w14:textId="77777777" w:rsidR="00AE1ECE" w:rsidRDefault="00AE1ECE">
      <w:pPr>
        <w:spacing w:after="0" w:line="240" w:lineRule="auto"/>
        <w:rPr>
          <w:rFonts w:ascii="Arial" w:eastAsia="Arial" w:hAnsi="Arial" w:cs="Arial"/>
          <w:b/>
          <w:color w:val="0C4884"/>
          <w:sz w:val="56"/>
        </w:rPr>
      </w:pPr>
    </w:p>
    <w:p w14:paraId="7FD449A8" w14:textId="77777777" w:rsidR="00AE1ECE" w:rsidRDefault="00AE1ECE">
      <w:pPr>
        <w:spacing w:after="0" w:line="240" w:lineRule="auto"/>
        <w:rPr>
          <w:rFonts w:ascii="Arial" w:eastAsia="Arial" w:hAnsi="Arial" w:cs="Arial"/>
          <w:b/>
          <w:color w:val="0C4884"/>
          <w:sz w:val="56"/>
        </w:rPr>
      </w:pPr>
    </w:p>
    <w:p w14:paraId="0E1AAE31" w14:textId="77777777" w:rsidR="00AE1ECE" w:rsidRDefault="00AE1ECE">
      <w:pPr>
        <w:spacing w:after="0" w:line="240" w:lineRule="auto"/>
        <w:rPr>
          <w:rFonts w:ascii="Arial" w:eastAsia="Arial" w:hAnsi="Arial" w:cs="Arial"/>
          <w:b/>
          <w:color w:val="0C4884"/>
          <w:sz w:val="56"/>
        </w:rPr>
      </w:pPr>
    </w:p>
    <w:p w14:paraId="30994087" w14:textId="77777777" w:rsidR="00AE1ECE" w:rsidRDefault="00AE1ECE">
      <w:pPr>
        <w:spacing w:after="0" w:line="240" w:lineRule="auto"/>
        <w:rPr>
          <w:rFonts w:ascii="Arial" w:eastAsia="Arial" w:hAnsi="Arial" w:cs="Arial"/>
          <w:b/>
          <w:color w:val="0C4884"/>
          <w:sz w:val="56"/>
        </w:rPr>
      </w:pPr>
    </w:p>
    <w:p w14:paraId="024D53C3" w14:textId="77777777" w:rsidR="00AE1ECE" w:rsidRDefault="00000000">
      <w:pPr>
        <w:spacing w:after="0" w:line="240" w:lineRule="auto"/>
        <w:rPr>
          <w:rFonts w:ascii="Arial" w:eastAsia="Arial" w:hAnsi="Arial" w:cs="Arial"/>
          <w:b/>
          <w:color w:val="0C4884"/>
          <w:sz w:val="56"/>
        </w:rPr>
      </w:pPr>
      <w:r>
        <w:rPr>
          <w:rFonts w:ascii="Arial" w:eastAsia="Arial" w:hAnsi="Arial" w:cs="Arial"/>
          <w:b/>
          <w:color w:val="0C4884"/>
          <w:sz w:val="56"/>
        </w:rPr>
        <w:t xml:space="preserve">    </w:t>
      </w:r>
    </w:p>
    <w:p w14:paraId="6B9315B6" w14:textId="77777777" w:rsidR="00AE1ECE" w:rsidRDefault="00AE1ECE">
      <w:pPr>
        <w:spacing w:after="0" w:line="240" w:lineRule="auto"/>
        <w:jc w:val="center"/>
        <w:rPr>
          <w:rFonts w:ascii="Arial" w:eastAsia="Arial" w:hAnsi="Arial" w:cs="Arial"/>
          <w:b/>
          <w:color w:val="0C4884"/>
          <w:sz w:val="56"/>
        </w:rPr>
      </w:pPr>
    </w:p>
    <w:p w14:paraId="04B4D7F7" w14:textId="5B96269F" w:rsidR="00AE1ECE" w:rsidRPr="0062131F" w:rsidRDefault="0062131F">
      <w:pPr>
        <w:spacing w:after="0" w:line="240" w:lineRule="auto"/>
        <w:jc w:val="center"/>
        <w:rPr>
          <w:rFonts w:ascii="Arial" w:eastAsia="Arial" w:hAnsi="Arial" w:cs="Arial"/>
          <w:b/>
          <w:bCs/>
          <w:color w:val="156082" w:themeColor="accent1"/>
          <w:sz w:val="52"/>
          <w:szCs w:val="52"/>
        </w:rPr>
      </w:pPr>
      <w:r w:rsidRPr="0062131F">
        <w:rPr>
          <w:rFonts w:ascii="Calibri" w:eastAsia="Calibri" w:hAnsi="Calibri" w:cs="Calibri"/>
          <w:b/>
          <w:bCs/>
          <w:color w:val="156082" w:themeColor="accent1"/>
          <w:sz w:val="52"/>
          <w:szCs w:val="52"/>
        </w:rPr>
        <w:t>D</w:t>
      </w:r>
      <w:r w:rsidRPr="0062131F">
        <w:rPr>
          <w:rFonts w:ascii="Aptos" w:eastAsia="Aptos" w:hAnsi="Aptos" w:cs="Aptos"/>
          <w:b/>
          <w:bCs/>
          <w:color w:val="156082" w:themeColor="accent1"/>
          <w:sz w:val="52"/>
          <w:szCs w:val="52"/>
        </w:rPr>
        <w:t>ová</w:t>
      </w:r>
      <w:r w:rsidRPr="0062131F">
        <w:rPr>
          <w:rFonts w:ascii="Arial" w:eastAsia="Arial" w:hAnsi="Arial" w:cs="Arial"/>
          <w:b/>
          <w:bCs/>
          <w:color w:val="156082" w:themeColor="accent1"/>
          <w:sz w:val="52"/>
          <w:szCs w:val="52"/>
        </w:rPr>
        <w:t>žkov</w:t>
      </w:r>
      <w:r w:rsidRPr="0062131F">
        <w:rPr>
          <w:rFonts w:ascii="Aptos" w:eastAsia="Aptos" w:hAnsi="Aptos" w:cs="Aptos"/>
          <w:b/>
          <w:bCs/>
          <w:color w:val="156082" w:themeColor="accent1"/>
          <w:sz w:val="52"/>
          <w:szCs w:val="52"/>
        </w:rPr>
        <w:t>á slu</w:t>
      </w:r>
      <w:r w:rsidRPr="0062131F">
        <w:rPr>
          <w:rFonts w:ascii="Calibri" w:eastAsia="Calibri" w:hAnsi="Calibri" w:cs="Calibri"/>
          <w:b/>
          <w:bCs/>
          <w:color w:val="156082" w:themeColor="accent1"/>
          <w:sz w:val="52"/>
          <w:szCs w:val="52"/>
        </w:rPr>
        <w:t>žba</w:t>
      </w:r>
      <w:r w:rsidRPr="0062131F">
        <w:rPr>
          <w:rFonts w:ascii="Arial" w:eastAsia="Arial" w:hAnsi="Arial" w:cs="Arial"/>
          <w:b/>
          <w:bCs/>
          <w:color w:val="156082" w:themeColor="accent1"/>
          <w:sz w:val="52"/>
          <w:szCs w:val="52"/>
        </w:rPr>
        <w:t xml:space="preserve"> SLA</w:t>
      </w:r>
    </w:p>
    <w:p w14:paraId="28CDD7E7" w14:textId="688F89FB" w:rsidR="00AE1ECE" w:rsidRDefault="0062131F">
      <w:pPr>
        <w:spacing w:before="120" w:after="120" w:line="360" w:lineRule="auto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Webová a</w:t>
      </w:r>
      <w:r w:rsidR="00477442">
        <w:rPr>
          <w:rFonts w:ascii="Arial" w:eastAsia="Arial" w:hAnsi="Arial" w:cs="Arial"/>
          <w:sz w:val="22"/>
        </w:rPr>
        <w:t>p</w:t>
      </w:r>
      <w:r>
        <w:rPr>
          <w:rFonts w:ascii="Arial" w:eastAsia="Arial" w:hAnsi="Arial" w:cs="Arial"/>
          <w:sz w:val="22"/>
        </w:rPr>
        <w:t>likace</w:t>
      </w:r>
    </w:p>
    <w:p w14:paraId="7BE08318" w14:textId="77777777" w:rsidR="00AE1ECE" w:rsidRDefault="00AE1ECE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2460"/>
        <w:gridCol w:w="1256"/>
        <w:gridCol w:w="3775"/>
      </w:tblGrid>
      <w:tr w:rsidR="00AE1ECE" w14:paraId="10D30EF6" w14:textId="77777777">
        <w:trPr>
          <w:trHeight w:val="1"/>
        </w:trPr>
        <w:tc>
          <w:tcPr>
            <w:tcW w:w="1463" w:type="dxa"/>
            <w:tcBorders>
              <w:top w:val="single" w:sz="4" w:space="0" w:color="0C4884"/>
              <w:left w:val="single" w:sz="4" w:space="0" w:color="0C4884"/>
              <w:bottom w:val="single" w:sz="4" w:space="0" w:color="0C4884"/>
              <w:right w:val="single" w:sz="4" w:space="0" w:color="0C4884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F12292D" w14:textId="77777777" w:rsidR="00AE1ECE" w:rsidRDefault="00000000">
            <w:pPr>
              <w:spacing w:before="120" w:after="12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Zákazník:</w:t>
            </w:r>
          </w:p>
        </w:tc>
        <w:tc>
          <w:tcPr>
            <w:tcW w:w="7633" w:type="dxa"/>
            <w:gridSpan w:val="3"/>
            <w:tcBorders>
              <w:top w:val="single" w:sz="4" w:space="0" w:color="0C4884"/>
              <w:left w:val="single" w:sz="4" w:space="0" w:color="0C4884"/>
              <w:bottom w:val="single" w:sz="4" w:space="0" w:color="0C4884"/>
              <w:right w:val="single" w:sz="4" w:space="0" w:color="0C4884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6C28E1F" w14:textId="5A8A520C" w:rsidR="00AE1ECE" w:rsidRDefault="00000000">
            <w:pPr>
              <w:tabs>
                <w:tab w:val="center" w:pos="4513"/>
                <w:tab w:val="right" w:pos="9026"/>
              </w:tabs>
              <w:spacing w:before="120" w:after="120" w:line="360" w:lineRule="auto"/>
              <w:jc w:val="both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D</w:t>
            </w:r>
            <w:r>
              <w:rPr>
                <w:rFonts w:ascii="Aptos" w:eastAsia="Aptos" w:hAnsi="Aptos" w:cs="Aptos"/>
                <w:sz w:val="22"/>
              </w:rPr>
              <w:t>ová</w:t>
            </w:r>
            <w:r>
              <w:rPr>
                <w:rFonts w:ascii="Arial" w:eastAsia="Arial" w:hAnsi="Arial" w:cs="Arial"/>
                <w:sz w:val="22"/>
              </w:rPr>
              <w:t>žkov</w:t>
            </w:r>
            <w:r>
              <w:rPr>
                <w:rFonts w:ascii="Aptos" w:eastAsia="Aptos" w:hAnsi="Aptos" w:cs="Aptos"/>
                <w:sz w:val="22"/>
              </w:rPr>
              <w:t>á slu</w:t>
            </w:r>
            <w:r>
              <w:rPr>
                <w:rFonts w:ascii="Calibri" w:eastAsia="Calibri" w:hAnsi="Calibri" w:cs="Calibri"/>
                <w:sz w:val="22"/>
              </w:rPr>
              <w:t xml:space="preserve">žba </w:t>
            </w:r>
          </w:p>
        </w:tc>
      </w:tr>
      <w:tr w:rsidR="00AE1ECE" w14:paraId="353027BF" w14:textId="77777777">
        <w:trPr>
          <w:trHeight w:val="1"/>
        </w:trPr>
        <w:tc>
          <w:tcPr>
            <w:tcW w:w="1463" w:type="dxa"/>
            <w:tcBorders>
              <w:top w:val="single" w:sz="4" w:space="0" w:color="0C4884"/>
              <w:left w:val="single" w:sz="4" w:space="0" w:color="0C4884"/>
              <w:bottom w:val="single" w:sz="4" w:space="0" w:color="0C4884"/>
              <w:right w:val="single" w:sz="4" w:space="0" w:color="0C4884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F1A2BA" w14:textId="77777777" w:rsidR="00AE1ECE" w:rsidRDefault="00000000">
            <w:pPr>
              <w:spacing w:before="120" w:after="12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Verze:</w:t>
            </w:r>
          </w:p>
        </w:tc>
        <w:tc>
          <w:tcPr>
            <w:tcW w:w="2512" w:type="dxa"/>
            <w:tcBorders>
              <w:top w:val="single" w:sz="4" w:space="0" w:color="0C4884"/>
              <w:left w:val="single" w:sz="4" w:space="0" w:color="0C4884"/>
              <w:bottom w:val="single" w:sz="4" w:space="0" w:color="0C4884"/>
              <w:right w:val="single" w:sz="4" w:space="0" w:color="0C4884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FFC6541" w14:textId="77777777" w:rsidR="00AE1ECE" w:rsidRDefault="00000000">
            <w:pPr>
              <w:spacing w:before="120" w:after="12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C4884"/>
              <w:left w:val="single" w:sz="4" w:space="0" w:color="0C4884"/>
              <w:bottom w:val="single" w:sz="4" w:space="0" w:color="0C4884"/>
              <w:right w:val="single" w:sz="4" w:space="0" w:color="0C4884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0C5447C" w14:textId="77777777" w:rsidR="00AE1ECE" w:rsidRDefault="00000000">
            <w:pPr>
              <w:spacing w:before="120" w:after="12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Datum:</w:t>
            </w:r>
          </w:p>
        </w:tc>
        <w:tc>
          <w:tcPr>
            <w:tcW w:w="3856" w:type="dxa"/>
            <w:tcBorders>
              <w:top w:val="single" w:sz="4" w:space="0" w:color="0C4884"/>
              <w:left w:val="single" w:sz="4" w:space="0" w:color="0C4884"/>
              <w:bottom w:val="single" w:sz="4" w:space="0" w:color="0C4884"/>
              <w:right w:val="single" w:sz="4" w:space="0" w:color="0C4884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AE102AB" w14:textId="77777777" w:rsidR="00AE1ECE" w:rsidRDefault="00000000">
            <w:pPr>
              <w:spacing w:before="120" w:after="12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23. 3. 2024</w:t>
            </w:r>
          </w:p>
        </w:tc>
      </w:tr>
    </w:tbl>
    <w:p w14:paraId="1371AB1F" w14:textId="77777777" w:rsidR="00AE1ECE" w:rsidRDefault="00AE1ECE">
      <w:pPr>
        <w:spacing w:before="120" w:after="120" w:line="360" w:lineRule="auto"/>
        <w:ind w:left="720"/>
        <w:jc w:val="both"/>
        <w:rPr>
          <w:rFonts w:ascii="Arial" w:eastAsia="Arial" w:hAnsi="Arial" w:cs="Arial"/>
          <w:sz w:val="22"/>
        </w:rPr>
      </w:pPr>
    </w:p>
    <w:p w14:paraId="0ABE8AD9" w14:textId="77777777" w:rsidR="00AE1ECE" w:rsidRDefault="00000000">
      <w:pPr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AE15E5B" w14:textId="77777777" w:rsidR="00AE1ECE" w:rsidRDefault="00AE1ECE">
      <w:pPr>
        <w:spacing w:after="0" w:line="240" w:lineRule="auto"/>
        <w:rPr>
          <w:rFonts w:ascii="Arial" w:eastAsia="Arial" w:hAnsi="Arial" w:cs="Arial"/>
          <w:sz w:val="22"/>
        </w:rPr>
      </w:pPr>
    </w:p>
    <w:p w14:paraId="42ED9363" w14:textId="2872616E" w:rsidR="00AE1ECE" w:rsidRDefault="00000000">
      <w:pPr>
        <w:numPr>
          <w:ilvl w:val="0"/>
          <w:numId w:val="1"/>
        </w:numPr>
        <w:spacing w:after="120" w:line="240" w:lineRule="auto"/>
        <w:ind w:left="567" w:hanging="567"/>
        <w:rPr>
          <w:rFonts w:ascii="Arial" w:eastAsia="Arial" w:hAnsi="Arial" w:cs="Arial"/>
          <w:b/>
          <w:color w:val="0C4884"/>
          <w:sz w:val="32"/>
        </w:rPr>
      </w:pPr>
      <w:r>
        <w:rPr>
          <w:rFonts w:ascii="Arial" w:eastAsia="Arial" w:hAnsi="Arial" w:cs="Arial"/>
          <w:b/>
          <w:color w:val="0C4884"/>
          <w:sz w:val="32"/>
        </w:rPr>
        <w:t xml:space="preserve">Údržba a podpora </w:t>
      </w:r>
      <w:r w:rsidR="005B400B">
        <w:rPr>
          <w:rFonts w:ascii="Arial" w:eastAsia="Arial" w:hAnsi="Arial" w:cs="Arial"/>
          <w:b/>
          <w:color w:val="0C4884"/>
          <w:sz w:val="32"/>
        </w:rPr>
        <w:t>webu</w:t>
      </w:r>
    </w:p>
    <w:p w14:paraId="2F3C1E00" w14:textId="77777777" w:rsidR="00AE1ECE" w:rsidRDefault="00000000">
      <w:pPr>
        <w:keepNext/>
        <w:keepLines/>
        <w:numPr>
          <w:ilvl w:val="0"/>
          <w:numId w:val="1"/>
        </w:numPr>
        <w:spacing w:before="480" w:after="120" w:line="259" w:lineRule="auto"/>
        <w:ind w:left="792" w:hanging="432"/>
        <w:rPr>
          <w:rFonts w:ascii="Arial" w:eastAsia="Arial" w:hAnsi="Arial" w:cs="Arial"/>
          <w:b/>
          <w:color w:val="0C4884"/>
          <w:sz w:val="26"/>
        </w:rPr>
      </w:pPr>
      <w:r>
        <w:rPr>
          <w:rFonts w:ascii="Arial" w:eastAsia="Arial" w:hAnsi="Arial" w:cs="Arial"/>
          <w:b/>
          <w:color w:val="0C4884"/>
          <w:sz w:val="26"/>
        </w:rPr>
        <w:t>Údržba a podpora provozu</w:t>
      </w:r>
    </w:p>
    <w:p w14:paraId="3057A218" w14:textId="280A9572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Cílem je zajištění udržitelného a ekonomicky akceptovatelného rozvoje a údržby</w:t>
      </w:r>
      <w:r w:rsidR="0062131F">
        <w:rPr>
          <w:rFonts w:ascii="Arial" w:eastAsia="Arial" w:hAnsi="Arial" w:cs="Arial"/>
          <w:sz w:val="22"/>
        </w:rPr>
        <w:t xml:space="preserve"> webov</w:t>
      </w:r>
      <w:r w:rsidR="0062131F">
        <w:rPr>
          <w:rFonts w:ascii="Arial" w:eastAsia="Arial" w:hAnsi="Arial" w:cs="Arial"/>
          <w:sz w:val="22"/>
          <w:lang w:val="cs-CZ"/>
        </w:rPr>
        <w:t>é aplikace</w:t>
      </w:r>
      <w:r>
        <w:rPr>
          <w:rFonts w:ascii="Arial" w:eastAsia="Arial" w:hAnsi="Arial" w:cs="Arial"/>
          <w:sz w:val="22"/>
        </w:rPr>
        <w:t xml:space="preserve">. Dodavatel bude zajišťovat druhou úroveň podpory v </w:t>
      </w:r>
      <w:r w:rsidR="001E06E4">
        <w:rPr>
          <w:rFonts w:ascii="Arial" w:eastAsia="Arial" w:hAnsi="Arial" w:cs="Arial"/>
          <w:sz w:val="22"/>
        </w:rPr>
        <w:t>7</w:t>
      </w:r>
      <w:r>
        <w:rPr>
          <w:rFonts w:ascii="Arial" w:eastAsia="Arial" w:hAnsi="Arial" w:cs="Arial"/>
          <w:sz w:val="22"/>
        </w:rPr>
        <w:t>x8.</w:t>
      </w:r>
    </w:p>
    <w:p w14:paraId="2CF2401F" w14:textId="77777777" w:rsidR="00AE1ECE" w:rsidRDefault="00000000">
      <w:pPr>
        <w:keepNext/>
        <w:keepLines/>
        <w:numPr>
          <w:ilvl w:val="0"/>
          <w:numId w:val="2"/>
        </w:numPr>
        <w:spacing w:before="480" w:after="120" w:line="259" w:lineRule="auto"/>
        <w:ind w:left="792" w:hanging="432"/>
        <w:rPr>
          <w:rFonts w:ascii="Arial" w:eastAsia="Arial" w:hAnsi="Arial" w:cs="Arial"/>
          <w:b/>
          <w:color w:val="0C4884"/>
          <w:sz w:val="26"/>
        </w:rPr>
      </w:pPr>
      <w:r>
        <w:rPr>
          <w:rFonts w:ascii="Arial" w:eastAsia="Arial" w:hAnsi="Arial" w:cs="Arial"/>
          <w:b/>
          <w:color w:val="0C4884"/>
          <w:sz w:val="26"/>
        </w:rPr>
        <w:t>Incident Management (servis)</w:t>
      </w:r>
    </w:p>
    <w:p w14:paraId="6492B116" w14:textId="77777777" w:rsidR="00AE1ECE" w:rsidRDefault="00000000">
      <w:pPr>
        <w:keepNext/>
        <w:keepLines/>
        <w:numPr>
          <w:ilvl w:val="0"/>
          <w:numId w:val="2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Popis služby</w:t>
      </w:r>
    </w:p>
    <w:p w14:paraId="6AA0924C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Cílem služby „Incident management“ je zajistit co nejrychlejší obnovení dostupnosti služby a současně minimalizovat důsledky jejího výpadku na Zadavatele a uživatele spravovaného systému. </w:t>
      </w:r>
    </w:p>
    <w:p w14:paraId="2D1970BC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Incidentem je jakákoliv událost, která není součástí standardní operace a která působí nebo může způsobit výpadek služby nebo snížení její kvality. Na základě incidentu vzniká požadavek na dodavatele za účelem vyřešení incidentu.</w:t>
      </w:r>
    </w:p>
    <w:p w14:paraId="4406B131" w14:textId="77777777" w:rsidR="00AE1ECE" w:rsidRDefault="00000000">
      <w:pPr>
        <w:keepNext/>
        <w:keepLines/>
        <w:numPr>
          <w:ilvl w:val="0"/>
          <w:numId w:val="3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Rozsah služby</w:t>
      </w:r>
    </w:p>
    <w:p w14:paraId="4FC876EC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Dodavatel se zavazuje v rámci této služby zajišťovat služby Incident managementu v ujednané kvalitě a objemu. Dodavatel bude řešit incidenty přímo, pokud jsou v jeho kompetenci nebo delegováním na příslušného dodavatele třetích stran. V tomto případě bude koordinovat zajištění nápravy nebo požadovaného rozvoje (dle vypracované metodiky). Vše bude koordinováno prostřednictvím Help Desku.</w:t>
      </w:r>
    </w:p>
    <w:p w14:paraId="58871892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Pracovním dnem je pro tento účel služby chápán běžný pracovní den od pondělí do pátku. Do pracovního dne nejsou zahrnuty státem uznané svátky, které můžou připadnout na pracovní den.</w:t>
      </w:r>
    </w:p>
    <w:p w14:paraId="51C674E6" w14:textId="77777777" w:rsidR="00AE1ECE" w:rsidRDefault="00000000">
      <w:pPr>
        <w:numPr>
          <w:ilvl w:val="0"/>
          <w:numId w:val="4"/>
        </w:numPr>
        <w:spacing w:before="120" w:after="120" w:line="360" w:lineRule="auto"/>
        <w:ind w:left="1080" w:hanging="360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Monitoring a reportování chodu služeb</w:t>
      </w:r>
    </w:p>
    <w:p w14:paraId="457F8FEB" w14:textId="7F81F464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V rámci smlouvy se dodavatel zavazuje poskytovat monitoring chodu a dostupnosti  </w:t>
      </w:r>
      <w:r w:rsidR="006473CD">
        <w:rPr>
          <w:rFonts w:ascii="Arial" w:eastAsia="Arial" w:hAnsi="Arial" w:cs="Arial"/>
          <w:sz w:val="22"/>
        </w:rPr>
        <w:t>webové stránk</w:t>
      </w:r>
      <w:r w:rsidR="00C37281">
        <w:rPr>
          <w:rFonts w:ascii="Arial" w:eastAsia="Arial" w:hAnsi="Arial" w:cs="Arial"/>
          <w:sz w:val="22"/>
        </w:rPr>
        <w:t>y</w:t>
      </w:r>
      <w:r w:rsidR="006473CD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včetně jejich výkonstních metrik.</w:t>
      </w:r>
    </w:p>
    <w:p w14:paraId="49C10795" w14:textId="429F170E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Také se zavazuje k pravidelnému zasílání hlašení reportu o dostupnosti a chodu </w:t>
      </w:r>
      <w:r w:rsidR="000C7070">
        <w:rPr>
          <w:rFonts w:ascii="Arial" w:eastAsia="Arial" w:hAnsi="Arial" w:cs="Arial"/>
          <w:sz w:val="22"/>
        </w:rPr>
        <w:t>webu</w:t>
      </w:r>
      <w:r>
        <w:rPr>
          <w:rFonts w:ascii="Arial" w:eastAsia="Arial" w:hAnsi="Arial" w:cs="Arial"/>
          <w:sz w:val="22"/>
        </w:rPr>
        <w:t>.</w:t>
      </w:r>
    </w:p>
    <w:p w14:paraId="0D4CB779" w14:textId="77777777" w:rsidR="00AE1ECE" w:rsidRDefault="00AE1ECE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</w:p>
    <w:p w14:paraId="5327565A" w14:textId="77777777" w:rsidR="00AE1ECE" w:rsidRDefault="00000000">
      <w:pPr>
        <w:numPr>
          <w:ilvl w:val="0"/>
          <w:numId w:val="5"/>
        </w:numPr>
        <w:spacing w:before="120" w:after="120" w:line="360" w:lineRule="auto"/>
        <w:ind w:left="1080" w:hanging="360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Zálohy a obnova dat</w:t>
      </w:r>
    </w:p>
    <w:p w14:paraId="272899C8" w14:textId="74A7D24A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Dodavatel bude mít zajištěný plán pro zálohování dat </w:t>
      </w:r>
      <w:r w:rsidR="0095414F">
        <w:rPr>
          <w:rFonts w:ascii="Arial" w:eastAsia="Arial" w:hAnsi="Arial" w:cs="Arial"/>
          <w:sz w:val="22"/>
        </w:rPr>
        <w:t>webu</w:t>
      </w:r>
      <w:r>
        <w:rPr>
          <w:rFonts w:ascii="Arial" w:eastAsia="Arial" w:hAnsi="Arial" w:cs="Arial"/>
          <w:sz w:val="22"/>
        </w:rPr>
        <w:t>, včetně opatření na ochranu dat před ztrátou vzniknutou SW i HW chybou.</w:t>
      </w:r>
    </w:p>
    <w:p w14:paraId="5BA05463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Bude zajištěna okamžitá schopnost obnovy dat v případě výpadku nebo ztráty dat.</w:t>
      </w:r>
    </w:p>
    <w:p w14:paraId="30D245CA" w14:textId="77777777" w:rsidR="00AE1ECE" w:rsidRDefault="00AE1ECE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</w:p>
    <w:p w14:paraId="0DCC1879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Servisní hodiny:</w:t>
      </w:r>
    </w:p>
    <w:p w14:paraId="69D3955F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Standard 5 x 8: Po – Pá od 11:00 hod do 19:00 hod. </w:t>
      </w:r>
    </w:p>
    <w:p w14:paraId="75165F49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Pracovní den pro tuto službu má 8 hodin a služba je poskytována 5 dní v týdnu. </w:t>
      </w:r>
    </w:p>
    <w:p w14:paraId="7652646F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Služba obsahuje:</w:t>
      </w:r>
    </w:p>
    <w:p w14:paraId="51E3EC56" w14:textId="77777777" w:rsidR="00AE1EC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Odezvu na nahlášení incidentu – potvrzení přijetí požadavku od zadavatele</w:t>
      </w:r>
    </w:p>
    <w:p w14:paraId="2FEE7C61" w14:textId="77777777" w:rsidR="00AE1EC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Analýzu incidentu – analýza co se stalo, jaký to má dopad a návrh řešení</w:t>
      </w:r>
    </w:p>
    <w:p w14:paraId="6B26669C" w14:textId="77777777" w:rsidR="00AE1EC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Vyřešení incidentu – vlastní vyřešení požadavku zadavatele</w:t>
      </w:r>
    </w:p>
    <w:p w14:paraId="3B3B528D" w14:textId="77777777" w:rsidR="00AE1EC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 xml:space="preserve">Osobní konzultace incidentu – detailní vysvětlení problematiky incidentu který nastal </w:t>
      </w:r>
    </w:p>
    <w:p w14:paraId="6DDACA01" w14:textId="77777777" w:rsidR="00AE1ECE" w:rsidRDefault="00000000">
      <w:pPr>
        <w:keepNext/>
        <w:keepLines/>
        <w:numPr>
          <w:ilvl w:val="0"/>
          <w:numId w:val="6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lastRenderedPageBreak/>
        <w:t>Kvalita služby</w:t>
      </w:r>
    </w:p>
    <w:p w14:paraId="7D847FF2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Každá služba má tři závažnosti, které jsou sledovány. Závažnost se stanovuje dle následujících tabulek.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6"/>
        <w:gridCol w:w="794"/>
        <w:gridCol w:w="1749"/>
        <w:gridCol w:w="1958"/>
        <w:gridCol w:w="1959"/>
      </w:tblGrid>
      <w:tr w:rsidR="00AE1ECE" w14:paraId="6B44425E" w14:textId="77777777">
        <w:trPr>
          <w:trHeight w:val="1"/>
          <w:jc w:val="center"/>
        </w:trPr>
        <w:tc>
          <w:tcPr>
            <w:tcW w:w="916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2D6338" w14:textId="77777777" w:rsidR="00AE1ECE" w:rsidRDefault="00000000">
            <w:pPr>
              <w:spacing w:before="120" w:after="60" w:line="360" w:lineRule="auto"/>
              <w:ind w:left="-790" w:firstLine="900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Vyhodnocení priority incidentu podle jeho dopadu na procesy Zadavatele</w:t>
            </w:r>
          </w:p>
        </w:tc>
      </w:tr>
      <w:tr w:rsidR="00AE1ECE" w14:paraId="06432135" w14:textId="77777777">
        <w:trPr>
          <w:trHeight w:val="1"/>
          <w:jc w:val="center"/>
        </w:trPr>
        <w:tc>
          <w:tcPr>
            <w:tcW w:w="340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4B306FC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Kolik uživatelů incident ovlivní</w:t>
            </w:r>
          </w:p>
        </w:tc>
        <w:tc>
          <w:tcPr>
            <w:tcW w:w="57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31FCE88" w14:textId="77777777" w:rsidR="00AE1ECE" w:rsidRDefault="00000000">
            <w:pPr>
              <w:spacing w:before="120" w:after="60" w:line="360" w:lineRule="auto"/>
              <w:ind w:firstLine="110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Důležitost procesů ovlivněných incidentem</w:t>
            </w:r>
          </w:p>
        </w:tc>
      </w:tr>
      <w:tr w:rsidR="00AE1ECE" w14:paraId="5F04DB66" w14:textId="77777777">
        <w:trPr>
          <w:trHeight w:val="1"/>
          <w:jc w:val="center"/>
        </w:trPr>
        <w:tc>
          <w:tcPr>
            <w:tcW w:w="3401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85DB403" w14:textId="77777777" w:rsidR="00AE1ECE" w:rsidRDefault="00AE1E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CFB50D" w14:textId="77777777" w:rsidR="00AE1ECE" w:rsidRDefault="00000000">
            <w:pPr>
              <w:spacing w:before="120" w:after="60" w:line="360" w:lineRule="auto"/>
              <w:ind w:firstLine="110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Malá (stupeň C)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618505" w14:textId="77777777" w:rsidR="00AE1ECE" w:rsidRDefault="00000000">
            <w:pPr>
              <w:spacing w:before="120" w:after="60" w:line="360" w:lineRule="auto"/>
              <w:ind w:firstLine="110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Střední (stupeň B)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C38EDBA" w14:textId="77777777" w:rsidR="00AE1ECE" w:rsidRDefault="00000000">
            <w:pPr>
              <w:spacing w:before="120" w:after="60" w:line="360" w:lineRule="auto"/>
              <w:ind w:firstLine="110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Klíčová (stupeň A)</w:t>
            </w:r>
          </w:p>
        </w:tc>
      </w:tr>
      <w:tr w:rsidR="00AE1ECE" w14:paraId="0246105C" w14:textId="77777777">
        <w:trPr>
          <w:trHeight w:val="1"/>
          <w:jc w:val="center"/>
        </w:trPr>
        <w:tc>
          <w:tcPr>
            <w:tcW w:w="3401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center"/>
          </w:tcPr>
          <w:p w14:paraId="5861C85F" w14:textId="77777777" w:rsidR="00AE1ECE" w:rsidRDefault="00AE1E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50C911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3E61E0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3D99E8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</w:tr>
      <w:tr w:rsidR="00AE1ECE" w14:paraId="103A1CDB" w14:textId="77777777">
        <w:trPr>
          <w:trHeight w:val="1"/>
          <w:jc w:val="center"/>
        </w:trPr>
        <w:tc>
          <w:tcPr>
            <w:tcW w:w="25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4EE39F1" w14:textId="2E8FA3EF" w:rsidR="00AE1ECE" w:rsidRDefault="00000000">
            <w:pPr>
              <w:spacing w:before="120" w:after="6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Do 10</w:t>
            </w:r>
            <w:r w:rsidR="00BD6049">
              <w:rPr>
                <w:rFonts w:ascii="Arial" w:eastAsia="Arial" w:hAnsi="Arial" w:cs="Arial"/>
                <w:sz w:val="22"/>
              </w:rPr>
              <w:t>0</w:t>
            </w:r>
            <w:r>
              <w:rPr>
                <w:rFonts w:ascii="Arial" w:eastAsia="Arial" w:hAnsi="Arial" w:cs="Arial"/>
                <w:sz w:val="22"/>
              </w:rPr>
              <w:t xml:space="preserve"> uživatelů</w:t>
            </w:r>
          </w:p>
        </w:tc>
        <w:tc>
          <w:tcPr>
            <w:tcW w:w="812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231A5F3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left w:w="70" w:type="dxa"/>
              <w:right w:w="70" w:type="dxa"/>
            </w:tcMar>
            <w:vAlign w:val="center"/>
          </w:tcPr>
          <w:p w14:paraId="55B82C20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1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left w:w="70" w:type="dxa"/>
              <w:right w:w="70" w:type="dxa"/>
            </w:tcMar>
            <w:vAlign w:val="center"/>
          </w:tcPr>
          <w:p w14:paraId="1581A118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2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290DC48D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</w:tr>
      <w:tr w:rsidR="00AE1ECE" w14:paraId="665C3B46" w14:textId="77777777" w:rsidTr="002B6DF0">
        <w:trPr>
          <w:trHeight w:val="1"/>
          <w:jc w:val="center"/>
        </w:trPr>
        <w:tc>
          <w:tcPr>
            <w:tcW w:w="25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071C9EA" w14:textId="3F6F5EAB" w:rsidR="00AE1ECE" w:rsidRDefault="00000000">
            <w:pPr>
              <w:spacing w:before="120" w:after="6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Do 100</w:t>
            </w:r>
            <w:r w:rsidR="00BD6049">
              <w:rPr>
                <w:rFonts w:ascii="Arial" w:eastAsia="Arial" w:hAnsi="Arial" w:cs="Arial"/>
                <w:sz w:val="22"/>
              </w:rPr>
              <w:t>0</w:t>
            </w:r>
            <w:r>
              <w:rPr>
                <w:rFonts w:ascii="Arial" w:eastAsia="Arial" w:hAnsi="Arial" w:cs="Arial"/>
                <w:sz w:val="22"/>
              </w:rPr>
              <w:t xml:space="preserve"> uživatelů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85BCD01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1779" w:type="dxa"/>
            <w:tcBorders>
              <w:top w:val="single" w:sz="0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left w:w="70" w:type="dxa"/>
              <w:right w:w="70" w:type="dxa"/>
            </w:tcMar>
            <w:vAlign w:val="center"/>
          </w:tcPr>
          <w:p w14:paraId="04D485A5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2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6817BC18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F1A983" w:themeFill="accent2" w:themeFillTint="99"/>
            <w:tcMar>
              <w:left w:w="70" w:type="dxa"/>
              <w:right w:w="70" w:type="dxa"/>
            </w:tcMar>
            <w:vAlign w:val="center"/>
          </w:tcPr>
          <w:p w14:paraId="7197C48D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AE1ECE" w14:paraId="2296FA10" w14:textId="77777777">
        <w:trPr>
          <w:trHeight w:val="1"/>
          <w:jc w:val="center"/>
        </w:trPr>
        <w:tc>
          <w:tcPr>
            <w:tcW w:w="25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B5AD567" w14:textId="77777777" w:rsidR="00AE1ECE" w:rsidRDefault="00000000">
            <w:pPr>
              <w:spacing w:before="120" w:after="60" w:line="360" w:lineRule="auto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Celá veřejnost i interní uživatelé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6B9BC9D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7E85B7F6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shd w:val="clear" w:color="auto" w:fill="FFC000"/>
            <w:tcMar>
              <w:left w:w="70" w:type="dxa"/>
              <w:right w:w="70" w:type="dxa"/>
            </w:tcMar>
            <w:vAlign w:val="center"/>
          </w:tcPr>
          <w:p w14:paraId="6AEF4BE8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center"/>
          </w:tcPr>
          <w:p w14:paraId="793FE090" w14:textId="77777777" w:rsidR="00AE1ECE" w:rsidRDefault="00000000">
            <w:pPr>
              <w:spacing w:before="120" w:after="60" w:line="36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9</w:t>
            </w:r>
          </w:p>
        </w:tc>
      </w:tr>
    </w:tbl>
    <w:p w14:paraId="1503F422" w14:textId="77777777" w:rsidR="00AE1ECE" w:rsidRDefault="00AE1ECE">
      <w:pPr>
        <w:spacing w:before="120" w:after="60" w:line="360" w:lineRule="auto"/>
        <w:jc w:val="both"/>
        <w:rPr>
          <w:rFonts w:ascii="Arial" w:eastAsia="Arial" w:hAnsi="Arial" w:cs="Arial"/>
          <w:sz w:val="22"/>
        </w:rPr>
      </w:pPr>
    </w:p>
    <w:p w14:paraId="53B9784B" w14:textId="77777777" w:rsidR="00AE1ECE" w:rsidRDefault="00000000">
      <w:pPr>
        <w:spacing w:before="120" w:after="60" w:line="360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Důležitost procesů: </w:t>
      </w:r>
    </w:p>
    <w:p w14:paraId="0D48BB14" w14:textId="77777777" w:rsidR="00AE1ECE" w:rsidRDefault="00000000">
      <w:pPr>
        <w:numPr>
          <w:ilvl w:val="0"/>
          <w:numId w:val="7"/>
        </w:numPr>
        <w:spacing w:after="60" w:line="259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Klíčová (stupeň A) </w:t>
      </w:r>
      <w:r>
        <w:rPr>
          <w:rFonts w:ascii="Arial" w:eastAsia="Arial" w:hAnsi="Arial" w:cs="Arial"/>
          <w:sz w:val="22"/>
        </w:rPr>
        <w:t>– Jedná se o klíčové procesy Zadavatele, jejichž selhání má dopad na fungování celého intranetu, jak přístupy interních uživatelů, tak veřejnosti.</w:t>
      </w:r>
    </w:p>
    <w:p w14:paraId="3A3D9BF9" w14:textId="77777777" w:rsidR="00AE1ECE" w:rsidRDefault="00000000">
      <w:pPr>
        <w:numPr>
          <w:ilvl w:val="0"/>
          <w:numId w:val="7"/>
        </w:numPr>
        <w:spacing w:after="60" w:line="259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Střední (stupeň B) </w:t>
      </w:r>
      <w:r>
        <w:rPr>
          <w:rFonts w:ascii="Arial" w:eastAsia="Arial" w:hAnsi="Arial" w:cs="Arial"/>
          <w:sz w:val="22"/>
        </w:rPr>
        <w:t>– Jedná se o běžné procesy Zadavatele, jejichž selhání má vliv na určitou část veřejnosti, nebo MSp odborů, soudů.</w:t>
      </w:r>
    </w:p>
    <w:p w14:paraId="4835F779" w14:textId="3F81E7C5" w:rsidR="00AE1ECE" w:rsidRPr="004407CF" w:rsidRDefault="00000000" w:rsidP="004407CF">
      <w:pPr>
        <w:numPr>
          <w:ilvl w:val="0"/>
          <w:numId w:val="7"/>
        </w:numPr>
        <w:spacing w:after="60" w:line="259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Malá (stupeň C) </w:t>
      </w:r>
      <w:r>
        <w:rPr>
          <w:rFonts w:ascii="Arial" w:eastAsia="Arial" w:hAnsi="Arial" w:cs="Arial"/>
          <w:sz w:val="22"/>
        </w:rPr>
        <w:t>– Jedná se o podpůrné procesy. Jejich selhání nemá podstatný vliv na fungování firmy nebo její části.</w:t>
      </w:r>
    </w:p>
    <w:p w14:paraId="5963B4B2" w14:textId="77777777" w:rsidR="00AE1ECE" w:rsidRDefault="00000000">
      <w:pPr>
        <w:spacing w:before="120" w:after="60" w:line="360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Parametry služby: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7"/>
        <w:gridCol w:w="1712"/>
        <w:gridCol w:w="2103"/>
        <w:gridCol w:w="1594"/>
        <w:gridCol w:w="1880"/>
      </w:tblGrid>
      <w:tr w:rsidR="00AE1ECE" w14:paraId="7CCC9DD7" w14:textId="77777777">
        <w:trPr>
          <w:trHeight w:val="1"/>
        </w:trPr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0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1180567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Bodové ohodnocení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1941A1B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Čas na přiřazení</w:t>
            </w:r>
          </w:p>
        </w:tc>
        <w:tc>
          <w:tcPr>
            <w:tcW w:w="2152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9BA67E8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Čas na spuštění prací</w:t>
            </w:r>
          </w:p>
        </w:tc>
        <w:tc>
          <w:tcPr>
            <w:tcW w:w="1626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F3110E9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Čas na vyřešení incidentu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0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862AE7B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Závažnost</w:t>
            </w:r>
          </w:p>
        </w:tc>
      </w:tr>
      <w:tr w:rsidR="00AE1ECE" w14:paraId="4D1F1E2B" w14:textId="77777777">
        <w:trPr>
          <w:trHeight w:val="1"/>
        </w:trPr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CCFFFF"/>
            <w:tcMar>
              <w:left w:w="70" w:type="dxa"/>
              <w:right w:w="70" w:type="dxa"/>
            </w:tcMar>
            <w:vAlign w:val="center"/>
          </w:tcPr>
          <w:p w14:paraId="50D0365E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1 -  2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CCECFF"/>
            <w:tcMar>
              <w:left w:w="70" w:type="dxa"/>
              <w:right w:w="70" w:type="dxa"/>
            </w:tcMar>
            <w:vAlign w:val="center"/>
          </w:tcPr>
          <w:p w14:paraId="5EC29853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72 hod</w:t>
            </w:r>
          </w:p>
        </w:tc>
        <w:tc>
          <w:tcPr>
            <w:tcW w:w="2152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CCECFF"/>
            <w:tcMar>
              <w:left w:w="70" w:type="dxa"/>
              <w:right w:w="70" w:type="dxa"/>
            </w:tcMar>
            <w:vAlign w:val="center"/>
          </w:tcPr>
          <w:p w14:paraId="6A5AA2BC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7 pracovních dnů</w:t>
            </w:r>
          </w:p>
        </w:tc>
        <w:tc>
          <w:tcPr>
            <w:tcW w:w="1626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CCECFF"/>
            <w:tcMar>
              <w:left w:w="70" w:type="dxa"/>
              <w:right w:w="70" w:type="dxa"/>
            </w:tcMar>
            <w:vAlign w:val="center"/>
          </w:tcPr>
          <w:p w14:paraId="3221E66E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Není určeno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CCECFF"/>
            <w:tcMar>
              <w:left w:w="70" w:type="dxa"/>
              <w:right w:w="70" w:type="dxa"/>
            </w:tcMar>
            <w:vAlign w:val="center"/>
          </w:tcPr>
          <w:p w14:paraId="5991E586" w14:textId="77777777" w:rsidR="00AE1ECE" w:rsidRDefault="00000000">
            <w:pPr>
              <w:spacing w:before="120" w:after="60" w:line="25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 xml:space="preserve">Minoritní </w:t>
            </w:r>
            <w:r>
              <w:rPr>
                <w:rFonts w:ascii="Arial" w:eastAsia="Arial" w:hAnsi="Arial" w:cs="Arial"/>
                <w:i/>
                <w:sz w:val="22"/>
              </w:rPr>
              <w:br/>
              <w:t>(MINOR)</w:t>
            </w:r>
          </w:p>
        </w:tc>
      </w:tr>
      <w:tr w:rsidR="00AE1ECE" w14:paraId="321CA974" w14:textId="77777777">
        <w:trPr>
          <w:trHeight w:val="1"/>
        </w:trPr>
        <w:tc>
          <w:tcPr>
            <w:tcW w:w="16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3DD54551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  <w:u w:val="single"/>
              </w:rPr>
              <w:t>3 – 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39D10B45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  <w:u w:val="single"/>
              </w:rPr>
              <w:t>24 hod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23AA1D8D" w14:textId="6948FCDF" w:rsidR="00AE1ECE" w:rsidRDefault="003450BA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  <w:u w:val="single"/>
              </w:rPr>
              <w:t>1 pracovní dny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503C68A3" w14:textId="6D31018A" w:rsidR="00AE1ECE" w:rsidRDefault="003450BA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  <w:u w:val="single"/>
              </w:rPr>
              <w:t>3 dnů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8B832"/>
            <w:tcMar>
              <w:left w:w="70" w:type="dxa"/>
              <w:right w:w="70" w:type="dxa"/>
            </w:tcMar>
            <w:vAlign w:val="center"/>
          </w:tcPr>
          <w:p w14:paraId="38871AD2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  <w:u w:val="single"/>
              </w:rPr>
              <w:t>Normální (NORMAL)</w:t>
            </w:r>
          </w:p>
        </w:tc>
      </w:tr>
      <w:tr w:rsidR="00AE1ECE" w14:paraId="7846C87A" w14:textId="77777777">
        <w:trPr>
          <w:trHeight w:val="1"/>
        </w:trPr>
        <w:tc>
          <w:tcPr>
            <w:tcW w:w="16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9900"/>
            <w:tcMar>
              <w:left w:w="70" w:type="dxa"/>
              <w:right w:w="70" w:type="dxa"/>
            </w:tcMar>
            <w:vAlign w:val="center"/>
          </w:tcPr>
          <w:p w14:paraId="109DA5B4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6 – 8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FF9900"/>
            <w:tcMar>
              <w:left w:w="70" w:type="dxa"/>
              <w:right w:w="70" w:type="dxa"/>
            </w:tcMar>
            <w:vAlign w:val="center"/>
          </w:tcPr>
          <w:p w14:paraId="0AEAA6B6" w14:textId="0D043FFD" w:rsidR="00AE1ECE" w:rsidRDefault="00393CDE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4 hod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FF9900"/>
            <w:tcMar>
              <w:left w:w="70" w:type="dxa"/>
              <w:right w:w="70" w:type="dxa"/>
            </w:tcMar>
            <w:vAlign w:val="center"/>
          </w:tcPr>
          <w:p w14:paraId="670A500F" w14:textId="5213714F" w:rsidR="00AE1ECE" w:rsidRDefault="00C03A77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8 hodin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12" w:space="0" w:color="000000"/>
            </w:tcBorders>
            <w:shd w:val="clear" w:color="auto" w:fill="FF9900"/>
            <w:tcMar>
              <w:left w:w="70" w:type="dxa"/>
              <w:right w:w="70" w:type="dxa"/>
            </w:tcMar>
            <w:vAlign w:val="center"/>
          </w:tcPr>
          <w:p w14:paraId="11AE3548" w14:textId="277EEE32" w:rsidR="00AE1ECE" w:rsidRDefault="003277A1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8</w:t>
            </w:r>
            <w:r w:rsidR="00AD56EA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="00AC5E92">
              <w:rPr>
                <w:rFonts w:ascii="Arial" w:eastAsia="Arial" w:hAnsi="Arial" w:cs="Arial"/>
                <w:b/>
                <w:sz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</w:rPr>
              <w:t>hodin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9900"/>
            <w:tcMar>
              <w:left w:w="70" w:type="dxa"/>
              <w:right w:w="70" w:type="dxa"/>
            </w:tcMar>
            <w:vAlign w:val="center"/>
          </w:tcPr>
          <w:p w14:paraId="633EB8DC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Závažná (MAJOR)</w:t>
            </w:r>
          </w:p>
        </w:tc>
      </w:tr>
      <w:tr w:rsidR="00AE1ECE" w14:paraId="0A32CB9F" w14:textId="77777777">
        <w:trPr>
          <w:trHeight w:val="1"/>
        </w:trPr>
        <w:tc>
          <w:tcPr>
            <w:tcW w:w="16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center"/>
          </w:tcPr>
          <w:p w14:paraId="4E85FA7D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9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center"/>
          </w:tcPr>
          <w:p w14:paraId="04E76528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1 hod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center"/>
          </w:tcPr>
          <w:p w14:paraId="3C20578B" w14:textId="677041F5" w:rsidR="00AE1ECE" w:rsidRDefault="0079136F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4 hodin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center"/>
          </w:tcPr>
          <w:p w14:paraId="3FCB4930" w14:textId="1F7D62F6" w:rsidR="00AE1ECE" w:rsidRDefault="00F40719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8 hodin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center"/>
          </w:tcPr>
          <w:p w14:paraId="74C37A2B" w14:textId="77777777" w:rsidR="00AE1ECE" w:rsidRDefault="00000000">
            <w:pPr>
              <w:spacing w:before="120" w:after="60" w:line="28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Kritická (CRITICAL)</w:t>
            </w:r>
          </w:p>
        </w:tc>
      </w:tr>
    </w:tbl>
    <w:p w14:paraId="59BA39F3" w14:textId="77777777" w:rsidR="00AE1ECE" w:rsidRDefault="00AE1ECE">
      <w:pPr>
        <w:tabs>
          <w:tab w:val="left" w:pos="1276"/>
        </w:tabs>
        <w:spacing w:before="120" w:after="120" w:line="360" w:lineRule="auto"/>
        <w:ind w:right="7"/>
        <w:jc w:val="both"/>
        <w:rPr>
          <w:rFonts w:ascii="Arial" w:eastAsia="Arial" w:hAnsi="Arial" w:cs="Arial"/>
          <w:sz w:val="22"/>
        </w:rPr>
      </w:pPr>
    </w:p>
    <w:p w14:paraId="584DF90A" w14:textId="77777777" w:rsidR="00AE1ECE" w:rsidRDefault="00000000">
      <w:pPr>
        <w:tabs>
          <w:tab w:val="left" w:pos="1276"/>
        </w:tabs>
        <w:spacing w:before="120" w:after="120" w:line="360" w:lineRule="auto"/>
        <w:ind w:right="7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Závažnost</w:t>
      </w:r>
      <w:r>
        <w:rPr>
          <w:rFonts w:ascii="Arial" w:eastAsia="Arial" w:hAnsi="Arial" w:cs="Arial"/>
          <w:sz w:val="22"/>
        </w:rPr>
        <w:t>:</w:t>
      </w:r>
    </w:p>
    <w:p w14:paraId="4257E5B3" w14:textId="77777777" w:rsidR="00AE1ECE" w:rsidRDefault="00000000">
      <w:pPr>
        <w:numPr>
          <w:ilvl w:val="0"/>
          <w:numId w:val="8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Kritická (CRITICAL)</w:t>
      </w:r>
      <w:r>
        <w:rPr>
          <w:rFonts w:ascii="Arial" w:eastAsia="Arial" w:hAnsi="Arial" w:cs="Arial"/>
          <w:sz w:val="22"/>
        </w:rPr>
        <w:t xml:space="preserve"> – takto je hodnocen incident, jehož koeficient dopadu na business procesy společnosti dosáhne hodnoty 9.  Výpadek služby ovlivní klíčové procesy celé společnosti.</w:t>
      </w:r>
    </w:p>
    <w:p w14:paraId="4113E18A" w14:textId="77777777" w:rsidR="00AE1ECE" w:rsidRDefault="00000000">
      <w:pPr>
        <w:numPr>
          <w:ilvl w:val="0"/>
          <w:numId w:val="8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Závažná (MAJOR)</w:t>
      </w:r>
      <w:r>
        <w:rPr>
          <w:rFonts w:ascii="Arial" w:eastAsia="Arial" w:hAnsi="Arial" w:cs="Arial"/>
          <w:sz w:val="22"/>
        </w:rPr>
        <w:t xml:space="preserve"> – takto je hodnocen incident, jehož koeficient dopadu na business procesy společnosti dosáhne hodnoty 6-8.  Výpadek služby ovlivní klíčové procesy organizačních jednotek, skupiny uživatelů, nebo středně důležité procesy celé společnosti.</w:t>
      </w:r>
    </w:p>
    <w:p w14:paraId="32C038FC" w14:textId="77777777" w:rsidR="00AE1ECE" w:rsidRDefault="00000000">
      <w:pPr>
        <w:numPr>
          <w:ilvl w:val="0"/>
          <w:numId w:val="8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N</w:t>
      </w:r>
      <w:r>
        <w:rPr>
          <w:rFonts w:ascii="Arial" w:eastAsia="Arial" w:hAnsi="Arial" w:cs="Arial"/>
          <w:b/>
          <w:sz w:val="22"/>
        </w:rPr>
        <w:t>ormální (NORMAL)</w:t>
      </w:r>
      <w:r>
        <w:rPr>
          <w:rFonts w:ascii="Arial" w:eastAsia="Arial" w:hAnsi="Arial" w:cs="Arial"/>
          <w:sz w:val="22"/>
        </w:rPr>
        <w:t xml:space="preserve"> – takto je hodnocen incident, jehož koeficient dopadu na business procesy společnosti dosáhne hodnoty 3-4. Výpadek služby ovlivní procesy celé společnosti s malou důležitostí, nebo středně důležité procesy skupiny uživatelů, případně klíčový proces jednoho uživatele.</w:t>
      </w:r>
    </w:p>
    <w:p w14:paraId="1356EAD3" w14:textId="77777777" w:rsidR="00AE1ECE" w:rsidRDefault="00000000">
      <w:pPr>
        <w:numPr>
          <w:ilvl w:val="0"/>
          <w:numId w:val="8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Minoritní (MINOR)</w:t>
      </w:r>
      <w:r>
        <w:rPr>
          <w:rFonts w:ascii="Arial" w:eastAsia="Arial" w:hAnsi="Arial" w:cs="Arial"/>
          <w:sz w:val="22"/>
        </w:rPr>
        <w:t xml:space="preserve"> – takto je hodnocen incident, jehož koeficient dopadu na business procesy společnosti má hodnotu nejvýš  1-2. Výpadek služby ovlivní procesy s malou důležitostí u jednoho uživatele nebo u skupiny uživatelů, nebo středně důležitý proces u jednoho uživatele.</w:t>
      </w:r>
    </w:p>
    <w:p w14:paraId="087B5AE0" w14:textId="77777777" w:rsidR="00AE1ECE" w:rsidRDefault="00000000">
      <w:pPr>
        <w:tabs>
          <w:tab w:val="left" w:pos="1276"/>
        </w:tabs>
        <w:spacing w:before="120" w:after="120" w:line="360" w:lineRule="auto"/>
        <w:ind w:right="7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Časy:</w:t>
      </w:r>
    </w:p>
    <w:p w14:paraId="7F59FC04" w14:textId="77777777" w:rsidR="00AE1ECE" w:rsidRDefault="00000000">
      <w:pPr>
        <w:numPr>
          <w:ilvl w:val="0"/>
          <w:numId w:val="9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Čas na přiřazení</w:t>
      </w:r>
      <w:r>
        <w:rPr>
          <w:rFonts w:ascii="Arial" w:eastAsia="Arial" w:hAnsi="Arial" w:cs="Arial"/>
          <w:sz w:val="22"/>
        </w:rPr>
        <w:t xml:space="preserve"> – jedná se o reakční dobu, kdy je Zadavateli sděleno, že jeho požadavek je přijatý a je mu přiřazen řešitel.</w:t>
      </w:r>
    </w:p>
    <w:p w14:paraId="3A2631F2" w14:textId="77777777" w:rsidR="00AE1ECE" w:rsidRDefault="00000000">
      <w:pPr>
        <w:numPr>
          <w:ilvl w:val="0"/>
          <w:numId w:val="9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Čas na zahájení řešení (spuštění prací) </w:t>
      </w:r>
      <w:r>
        <w:rPr>
          <w:rFonts w:ascii="Arial" w:eastAsia="Arial" w:hAnsi="Arial" w:cs="Arial"/>
          <w:sz w:val="22"/>
        </w:rPr>
        <w:t xml:space="preserve">– jedná se o dobu, do kdy začne dodavatel nahlášený incident zpracovávat a pracovat na opravě. Výsledek je buď dočasným řešením (work-around) nebo úplné vyřešení. Do této doby se nezapočítává doba, po kterou je požadavek ve stavu „v čekání“ a „vyřešen“. </w:t>
      </w:r>
    </w:p>
    <w:p w14:paraId="6656DA91" w14:textId="77777777" w:rsidR="00AE1ECE" w:rsidRDefault="00000000">
      <w:pPr>
        <w:numPr>
          <w:ilvl w:val="0"/>
          <w:numId w:val="9"/>
        </w:numPr>
        <w:tabs>
          <w:tab w:val="left" w:pos="1276"/>
        </w:tabs>
        <w:spacing w:line="259" w:lineRule="auto"/>
        <w:ind w:left="720" w:right="7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Čas na vyřešení incidentu</w:t>
      </w:r>
      <w:r>
        <w:rPr>
          <w:rFonts w:ascii="Arial" w:eastAsia="Arial" w:hAnsi="Arial" w:cs="Arial"/>
          <w:sz w:val="22"/>
        </w:rPr>
        <w:t xml:space="preserve"> – jedná se o dobu, do kdy dodavatel nahlášený incident odstraní. Výsledkem je buď dočasné řešení (work-around) nebo úplné vyřešení. Doba je počítána od přijetí informace o přidělení řešitele od dodavatele.</w:t>
      </w:r>
    </w:p>
    <w:p w14:paraId="2D0BDBB9" w14:textId="77777777" w:rsidR="00AE1ECE" w:rsidRDefault="00000000">
      <w:pPr>
        <w:keepNext/>
        <w:keepLines/>
        <w:numPr>
          <w:ilvl w:val="0"/>
          <w:numId w:val="9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Cena</w:t>
      </w:r>
    </w:p>
    <w:p w14:paraId="3AF90307" w14:textId="5D37B1C5" w:rsidR="00AE1ECE" w:rsidRDefault="00000000">
      <w:pPr>
        <w:tabs>
          <w:tab w:val="left" w:pos="1276"/>
        </w:tabs>
        <w:spacing w:before="120" w:after="120" w:line="360" w:lineRule="auto"/>
        <w:ind w:right="7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Cena za službu </w:t>
      </w:r>
      <w:r w:rsidR="00844819">
        <w:rPr>
          <w:rFonts w:ascii="Arial" w:eastAsia="Arial" w:hAnsi="Arial" w:cs="Arial"/>
          <w:sz w:val="22"/>
        </w:rPr>
        <w:t>poskztování webové stránky</w:t>
      </w:r>
      <w:r>
        <w:rPr>
          <w:rFonts w:ascii="Arial" w:eastAsia="Arial" w:hAnsi="Arial" w:cs="Arial"/>
          <w:sz w:val="22"/>
        </w:rPr>
        <w:t xml:space="preserve"> je zahnuta do měsíční sazby uvedené jakou součást smlouvy sepsané mezi Dodavatelem a Zákazníkem</w:t>
      </w:r>
      <w:r w:rsidR="00CD01E3">
        <w:rPr>
          <w:rFonts w:ascii="Arial" w:eastAsia="Arial" w:hAnsi="Arial" w:cs="Arial"/>
          <w:sz w:val="22"/>
        </w:rPr>
        <w:t xml:space="preserve"> ve smlouvě SLA</w:t>
      </w:r>
      <w:r>
        <w:rPr>
          <w:rFonts w:ascii="Arial" w:eastAsia="Arial" w:hAnsi="Arial" w:cs="Arial"/>
          <w:sz w:val="22"/>
        </w:rPr>
        <w:t>.</w:t>
      </w:r>
    </w:p>
    <w:p w14:paraId="7DF5ED92" w14:textId="77777777" w:rsidR="00AE1ECE" w:rsidRDefault="00000000">
      <w:pPr>
        <w:keepNext/>
        <w:keepLines/>
        <w:numPr>
          <w:ilvl w:val="0"/>
          <w:numId w:val="10"/>
        </w:numPr>
        <w:spacing w:before="480" w:after="120" w:line="259" w:lineRule="auto"/>
        <w:ind w:left="792" w:hanging="432"/>
        <w:rPr>
          <w:rFonts w:ascii="Arial" w:eastAsia="Arial" w:hAnsi="Arial" w:cs="Arial"/>
          <w:b/>
          <w:color w:val="0C4884"/>
          <w:sz w:val="26"/>
        </w:rPr>
      </w:pPr>
      <w:r>
        <w:rPr>
          <w:rFonts w:ascii="Arial" w:eastAsia="Arial" w:hAnsi="Arial" w:cs="Arial"/>
          <w:b/>
          <w:color w:val="0C4884"/>
          <w:sz w:val="26"/>
        </w:rPr>
        <w:t>Change Management</w:t>
      </w:r>
    </w:p>
    <w:p w14:paraId="5EA7E58F" w14:textId="77777777" w:rsidR="00AE1ECE" w:rsidRDefault="00000000">
      <w:pPr>
        <w:keepNext/>
        <w:keepLines/>
        <w:numPr>
          <w:ilvl w:val="0"/>
          <w:numId w:val="10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Popis služby</w:t>
      </w:r>
    </w:p>
    <w:p w14:paraId="6A1E91F6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Cílem je zajistit hladkou a nákladově efektivní implementaci pouze schválených změn a minimalizovat vznik incidentů způsobených provedením změn ve spravovaném systému.</w:t>
      </w:r>
    </w:p>
    <w:p w14:paraId="31D2839A" w14:textId="77777777" w:rsidR="00AE1ECE" w:rsidRDefault="00000000">
      <w:pPr>
        <w:tabs>
          <w:tab w:val="left" w:pos="1276"/>
        </w:tabs>
        <w:spacing w:before="120" w:after="120" w:line="360" w:lineRule="auto"/>
        <w:ind w:right="7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Change management je provádění změn nastavení spravovaných technologií a změn, u kterých je nutné dodání nové verze SW, hotfixu, servis patche, upgrade atd.</w:t>
      </w:r>
    </w:p>
    <w:p w14:paraId="740F80BC" w14:textId="77777777" w:rsidR="00AE1ECE" w:rsidRDefault="00000000">
      <w:pPr>
        <w:keepNext/>
        <w:keepLines/>
        <w:numPr>
          <w:ilvl w:val="0"/>
          <w:numId w:val="11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lastRenderedPageBreak/>
        <w:t>Rozsah služby</w:t>
      </w:r>
    </w:p>
    <w:p w14:paraId="11CAABAE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Pracovním dnem je pro tento účel služby chápán běžný pracovní den od pondělí do pátku. Do pracovního dne nejsou zahrnuty státem uznané svátky, které můžou připadnout na pracovní den.</w:t>
      </w:r>
    </w:p>
    <w:p w14:paraId="2728DD99" w14:textId="77777777" w:rsidR="00AE1ECE" w:rsidRDefault="00AE1ECE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</w:p>
    <w:p w14:paraId="65C9F093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Servisní hodiny:</w:t>
      </w:r>
    </w:p>
    <w:p w14:paraId="0F1F27DF" w14:textId="020B610E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Standard </w:t>
      </w:r>
      <w:r w:rsidR="00A46352">
        <w:rPr>
          <w:rFonts w:ascii="Arial" w:eastAsia="Arial" w:hAnsi="Arial" w:cs="Arial"/>
          <w:b/>
          <w:sz w:val="22"/>
        </w:rPr>
        <w:t xml:space="preserve">7 </w:t>
      </w:r>
      <w:r>
        <w:rPr>
          <w:rFonts w:ascii="Arial" w:eastAsia="Arial" w:hAnsi="Arial" w:cs="Arial"/>
          <w:b/>
          <w:sz w:val="22"/>
        </w:rPr>
        <w:t xml:space="preserve">x </w:t>
      </w:r>
      <w:r w:rsidR="00C81ED5">
        <w:rPr>
          <w:rFonts w:ascii="Arial" w:eastAsia="Arial" w:hAnsi="Arial" w:cs="Arial"/>
          <w:b/>
          <w:sz w:val="22"/>
        </w:rPr>
        <w:t>8</w:t>
      </w:r>
      <w:r>
        <w:rPr>
          <w:rFonts w:ascii="Arial" w:eastAsia="Arial" w:hAnsi="Arial" w:cs="Arial"/>
          <w:b/>
          <w:sz w:val="22"/>
        </w:rPr>
        <w:t xml:space="preserve">: Po – </w:t>
      </w:r>
      <w:r w:rsidR="00C37281">
        <w:rPr>
          <w:rFonts w:ascii="Arial" w:eastAsia="Arial" w:hAnsi="Arial" w:cs="Arial"/>
          <w:b/>
          <w:sz w:val="22"/>
        </w:rPr>
        <w:t xml:space="preserve">Ne </w:t>
      </w:r>
      <w:r>
        <w:rPr>
          <w:rFonts w:ascii="Arial" w:eastAsia="Arial" w:hAnsi="Arial" w:cs="Arial"/>
          <w:b/>
          <w:sz w:val="22"/>
        </w:rPr>
        <w:t xml:space="preserve">od 11:00 hod do 19:00 hod. </w:t>
      </w:r>
    </w:p>
    <w:p w14:paraId="39496224" w14:textId="63AF7BD1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Pracovní den pro tuto službu má </w:t>
      </w:r>
      <w:r w:rsidR="00396838">
        <w:rPr>
          <w:rFonts w:ascii="Arial" w:eastAsia="Arial" w:hAnsi="Arial" w:cs="Arial"/>
          <w:sz w:val="22"/>
        </w:rPr>
        <w:t>8</w:t>
      </w:r>
      <w:r>
        <w:rPr>
          <w:rFonts w:ascii="Arial" w:eastAsia="Arial" w:hAnsi="Arial" w:cs="Arial"/>
          <w:sz w:val="22"/>
        </w:rPr>
        <w:t xml:space="preserve"> hodin a služba je poskytována </w:t>
      </w:r>
      <w:r w:rsidR="00947566">
        <w:rPr>
          <w:rFonts w:ascii="Arial" w:eastAsia="Arial" w:hAnsi="Arial" w:cs="Arial"/>
          <w:sz w:val="22"/>
        </w:rPr>
        <w:t>7</w:t>
      </w:r>
      <w:r>
        <w:rPr>
          <w:rFonts w:ascii="Arial" w:eastAsia="Arial" w:hAnsi="Arial" w:cs="Arial"/>
          <w:sz w:val="22"/>
        </w:rPr>
        <w:t xml:space="preserve"> dní v týdnu. </w:t>
      </w:r>
    </w:p>
    <w:p w14:paraId="4F46C788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Služba je poskytována ve třech různých variantách a to v závislosti na:</w:t>
      </w:r>
    </w:p>
    <w:p w14:paraId="69619F0B" w14:textId="77777777" w:rsidR="00AE1ECE" w:rsidRDefault="00000000">
      <w:pPr>
        <w:numPr>
          <w:ilvl w:val="0"/>
          <w:numId w:val="12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možném dopadu na Zadavatele</w:t>
      </w:r>
    </w:p>
    <w:p w14:paraId="611F65C0" w14:textId="77777777" w:rsidR="00AE1ECE" w:rsidRDefault="00000000">
      <w:pPr>
        <w:numPr>
          <w:ilvl w:val="0"/>
          <w:numId w:val="12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povolené (akceptovatelné délce odstávky)</w:t>
      </w:r>
    </w:p>
    <w:p w14:paraId="0C8F6127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Tyto typy jsou:</w:t>
      </w:r>
    </w:p>
    <w:p w14:paraId="738EC5F2" w14:textId="77777777" w:rsidR="00AE1ECE" w:rsidRDefault="00000000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Dopad nízký</w:t>
      </w:r>
      <w:r>
        <w:rPr>
          <w:rFonts w:ascii="Arial" w:eastAsia="Arial" w:hAnsi="Arial" w:cs="Arial"/>
          <w:sz w:val="22"/>
        </w:rPr>
        <w:t xml:space="preserve"> – u tohoto dopadu jsou prováděn změny, které nejsou zásadního charakteru, a odstávky systému není žádná nebo je minimální. Zde je garantovaná možnost návratu do původního stavu. Tyto změny jsou prováděny bez součinnosti zadavatele a zadavatel je pouze notifikován o provedení této změny.</w:t>
      </w:r>
      <w:r>
        <w:rPr>
          <w:rFonts w:ascii="Arial" w:eastAsia="Arial" w:hAnsi="Arial" w:cs="Arial"/>
          <w:b/>
          <w:sz w:val="22"/>
          <w:shd w:val="clear" w:color="auto" w:fill="FFFF00"/>
        </w:rPr>
        <w:br/>
      </w:r>
    </w:p>
    <w:p w14:paraId="474CB845" w14:textId="77777777" w:rsidR="00AE1ECE" w:rsidRDefault="00000000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Dopad střední</w:t>
      </w:r>
      <w:r>
        <w:rPr>
          <w:rFonts w:ascii="Arial" w:eastAsia="Arial" w:hAnsi="Arial" w:cs="Arial"/>
          <w:sz w:val="22"/>
        </w:rPr>
        <w:t xml:space="preserve"> – u tohoto typu jsou prováděny změny zásadnějšího charakteru s větším rizikem dopadu na systém zadavatele. Je zde zapotřebí součinnosti zadavatele a nutná odstávka systému. Na základě požadavku vzneseného Zadavatelem provede Dodavatel popis požadavku, a to s ohledem na možný dopad na systém zadavatele, délku odstávky systému garantovanou možnost návratu do původního stavu, a to včetně způsobu provedení. Popis požadavku Dodavatel podstoupí Zadavateli k odsouhlasení.</w:t>
      </w:r>
      <w:r>
        <w:rPr>
          <w:rFonts w:ascii="Arial" w:eastAsia="Arial" w:hAnsi="Arial" w:cs="Arial"/>
          <w:b/>
          <w:sz w:val="22"/>
          <w:shd w:val="clear" w:color="auto" w:fill="FFFF00"/>
        </w:rPr>
        <w:br/>
      </w:r>
    </w:p>
    <w:p w14:paraId="6546035C" w14:textId="77777777" w:rsidR="00AE1ECE" w:rsidRDefault="00000000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Dopad vysoký – </w:t>
      </w:r>
      <w:r>
        <w:rPr>
          <w:rFonts w:ascii="Arial" w:eastAsia="Arial" w:hAnsi="Arial" w:cs="Arial"/>
          <w:sz w:val="22"/>
        </w:rPr>
        <w:t>u tohoto typu jsou prováděny změny zásadního charakteru s vysokým rizikem dopadu na systém zadavatele. Je zde zapotřebí velké součinnosti zadavatele a je nutná dlouhodobější odstávka systému. Na základě požadavku vzneseného zadavatelem, vypracuje dodavatel podrobný popis požadavku, a to včetně popisu technického provedení s uvedením možného dopadu na systém zadavatele, délku plánované odstávky a s garantovanou možností návratu do původního stavu, a to včetně způsobu provedení. V popisu je uveden přesný harmonogram prací nutných k provedení této změny. Tento popis poskytovatel podstoupí zadavateli k odsouhlasení.</w:t>
      </w:r>
    </w:p>
    <w:p w14:paraId="49FBC786" w14:textId="77777777" w:rsidR="00AE1ECE" w:rsidRDefault="00000000">
      <w:pPr>
        <w:keepNext/>
        <w:keepLines/>
        <w:numPr>
          <w:ilvl w:val="0"/>
          <w:numId w:val="13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t>Kvalita</w:t>
      </w:r>
    </w:p>
    <w:p w14:paraId="5B22371F" w14:textId="77777777" w:rsidR="00AE1ECE" w:rsidRDefault="00000000">
      <w:pPr>
        <w:tabs>
          <w:tab w:val="left" w:pos="1276"/>
        </w:tabs>
        <w:spacing w:before="120" w:after="120" w:line="360" w:lineRule="auto"/>
        <w:ind w:right="7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Hlavním parametrem je uřízení změny vůči zachování funkčnosti. Zadavateli je garantována kvalita provedení služby, přesně stanovená doba potřebné odstávky s klasifikací změny a časovým odhadem k provedení této změny. U každé změny je zadavateli garantována možnost, způsob a doba návratu do původního stavu.</w:t>
      </w:r>
    </w:p>
    <w:p w14:paraId="4AA97920" w14:textId="77777777" w:rsidR="00AE1ECE" w:rsidRDefault="00000000">
      <w:pPr>
        <w:keepNext/>
        <w:keepLines/>
        <w:numPr>
          <w:ilvl w:val="0"/>
          <w:numId w:val="14"/>
        </w:numPr>
        <w:spacing w:before="480" w:after="120" w:line="259" w:lineRule="auto"/>
        <w:ind w:left="1224" w:hanging="504"/>
        <w:rPr>
          <w:rFonts w:ascii="Arial" w:eastAsia="Arial" w:hAnsi="Arial" w:cs="Arial"/>
          <w:b/>
          <w:color w:val="0C4884"/>
          <w:sz w:val="22"/>
        </w:rPr>
      </w:pPr>
      <w:r>
        <w:rPr>
          <w:rFonts w:ascii="Arial" w:eastAsia="Arial" w:hAnsi="Arial" w:cs="Arial"/>
          <w:b/>
          <w:color w:val="0C4884"/>
          <w:sz w:val="22"/>
        </w:rPr>
        <w:lastRenderedPageBreak/>
        <w:t>Cena</w:t>
      </w:r>
    </w:p>
    <w:p w14:paraId="6298AACC" w14:textId="35E19A84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Rozvoj </w:t>
      </w:r>
      <w:r w:rsidR="00E66539">
        <w:rPr>
          <w:rFonts w:ascii="Arial" w:eastAsia="Arial" w:hAnsi="Arial" w:cs="Arial"/>
          <w:sz w:val="22"/>
        </w:rPr>
        <w:t>webu</w:t>
      </w:r>
      <w:r>
        <w:rPr>
          <w:rFonts w:ascii="Arial" w:eastAsia="Arial" w:hAnsi="Arial" w:cs="Arial"/>
          <w:sz w:val="22"/>
        </w:rPr>
        <w:t xml:space="preserve"> bude realizován na základě nabídky obsahující řádkový rozpočet prací vyplývajících z požadovaných úprav. Zadavatel bude mít k dispozici hodinové sazby všech pracovníků (rolí) účastnících se na projektu (součástí této smlouvy).</w:t>
      </w:r>
    </w:p>
    <w:p w14:paraId="15DD3CB6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V rámci nabídky je součástí ceny předplacených 200 MD na rozvojové práce. Jednotlivé schválené požadavky na tuto službu budou vykazovány a jednotlivé MD odečítány od uvedeného celkového množství.</w:t>
      </w:r>
    </w:p>
    <w:p w14:paraId="636EDB78" w14:textId="77777777" w:rsidR="00AE1ECE" w:rsidRDefault="00000000">
      <w:pPr>
        <w:keepNext/>
        <w:keepLines/>
        <w:numPr>
          <w:ilvl w:val="0"/>
          <w:numId w:val="15"/>
        </w:numPr>
        <w:spacing w:before="480" w:after="120" w:line="259" w:lineRule="auto"/>
        <w:ind w:left="792" w:hanging="432"/>
        <w:rPr>
          <w:rFonts w:ascii="Arial" w:eastAsia="Arial" w:hAnsi="Arial" w:cs="Arial"/>
          <w:b/>
          <w:color w:val="0C4884"/>
          <w:sz w:val="26"/>
        </w:rPr>
      </w:pPr>
      <w:r>
        <w:rPr>
          <w:rFonts w:ascii="Arial" w:eastAsia="Arial" w:hAnsi="Arial" w:cs="Arial"/>
          <w:b/>
          <w:color w:val="0C4884"/>
          <w:sz w:val="26"/>
        </w:rPr>
        <w:t>Náležitosti hlášení incidentu (chyby) a dalších požadavků</w:t>
      </w:r>
    </w:p>
    <w:p w14:paraId="2EE68421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Hlášení incidentů je prováděno primárně zápisem hlášení do Help Desk aplikace (v českém jazyce) Dodavatele.</w:t>
      </w:r>
    </w:p>
    <w:p w14:paraId="5C67B14A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Další způsoby hlášení jsou:</w:t>
      </w:r>
    </w:p>
    <w:p w14:paraId="110952C8" w14:textId="77777777" w:rsidR="00AE1ECE" w:rsidRDefault="00000000">
      <w:pPr>
        <w:numPr>
          <w:ilvl w:val="0"/>
          <w:numId w:val="16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e-mailem na adresu dodavatele</w:t>
      </w:r>
    </w:p>
    <w:p w14:paraId="2DB96F8A" w14:textId="77777777" w:rsidR="00AE1ECE" w:rsidRDefault="00000000">
      <w:pPr>
        <w:numPr>
          <w:ilvl w:val="0"/>
          <w:numId w:val="16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telefonicky na číslo Dodavatele, v pracovní dny od 11:00 do 19:00 hod.</w:t>
      </w:r>
    </w:p>
    <w:p w14:paraId="3DF8D368" w14:textId="77777777" w:rsidR="00AE1ECE" w:rsidRDefault="00AE1ECE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</w:p>
    <w:p w14:paraId="0DD30132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Stav požadavku</w:t>
      </w:r>
    </w:p>
    <w:p w14:paraId="72E1886B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 zadání požadavku na řešení incidentu se požadavek Zadavatele, nebo provozovatele zanese do systému, který si po dobu řešení nese základní informace, v jakém stavu se požadavek nachází. Pro tuto službu jsou definovány následující stavy:</w:t>
      </w:r>
    </w:p>
    <w:p w14:paraId="513B65FC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zadán</w:t>
      </w:r>
    </w:p>
    <w:p w14:paraId="6EC44AC9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přiřazen</w:t>
      </w:r>
    </w:p>
    <w:p w14:paraId="7B7603D7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v řešení</w:t>
      </w:r>
    </w:p>
    <w:p w14:paraId="797E54D9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v čekání</w:t>
      </w:r>
    </w:p>
    <w:p w14:paraId="7E8A11DF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vyřešen</w:t>
      </w:r>
    </w:p>
    <w:p w14:paraId="11DCA0C2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ověřen</w:t>
      </w:r>
    </w:p>
    <w:p w14:paraId="580FF8FC" w14:textId="77777777" w:rsidR="00AE1ECE" w:rsidRDefault="00000000">
      <w:pPr>
        <w:numPr>
          <w:ilvl w:val="0"/>
          <w:numId w:val="17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uzavřen</w:t>
      </w:r>
    </w:p>
    <w:p w14:paraId="77CFB276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Význam stavů požadavku</w:t>
      </w:r>
      <w:r>
        <w:rPr>
          <w:rFonts w:ascii="Arial" w:eastAsia="Arial" w:hAnsi="Arial" w:cs="Arial"/>
          <w:sz w:val="22"/>
        </w:rPr>
        <w:t>:</w:t>
      </w:r>
    </w:p>
    <w:p w14:paraId="75FE4DAD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 1) Požadavek zadán (NEW) – znamená, že požadavek Zadavatele byl zadán do systému dodavatele pro správu požadavků.</w:t>
      </w:r>
    </w:p>
    <w:p w14:paraId="37F6ECF2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 2) Požadavek přiřazen (ASSIGNED) – znamená, že požadavek byl přiřazen odpovědné osobě na straně dodavatele, která tento incident bude řešit. Zadavatel dostane informaci o přiřazení požadavku odpovědné osobě.</w:t>
      </w:r>
    </w:p>
    <w:p w14:paraId="16ECC693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Ad 3) Požadavek v řešení (SOLUTION) – znamená, že požadavek začal řešit přiřazený řešitel. Zadavatel dostane informaci o spuštění prací na vyřešení incidentu.</w:t>
      </w:r>
    </w:p>
    <w:p w14:paraId="148AB3E5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 4) Požadavek v čekání – zde jsou dvě varianty, proč požadavek může být v tomto stavu</w:t>
      </w:r>
    </w:p>
    <w:p w14:paraId="28241E67" w14:textId="77777777" w:rsidR="00AE1ECE" w:rsidRDefault="00000000">
      <w:pPr>
        <w:numPr>
          <w:ilvl w:val="0"/>
          <w:numId w:val="18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Čeká na vyjádření Zadavatele</w:t>
      </w:r>
    </w:p>
    <w:p w14:paraId="0CAF1077" w14:textId="77777777" w:rsidR="00AE1ECE" w:rsidRDefault="00000000">
      <w:pPr>
        <w:numPr>
          <w:ilvl w:val="0"/>
          <w:numId w:val="18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Čeká na dodávku třetí strany</w:t>
      </w:r>
    </w:p>
    <w:p w14:paraId="33175DCD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 5) Požadavek vyřešen – znamená, že požadavek byl důkladně analyzován a požadavek byl:</w:t>
      </w:r>
    </w:p>
    <w:p w14:paraId="227660A2" w14:textId="77777777" w:rsidR="00AE1ECE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Zapracován (FIXED) – požadavek byl shledán jako oprávněný a byl zapracován, popřípadě byla zhotovena oprava.</w:t>
      </w:r>
    </w:p>
    <w:p w14:paraId="3265F48E" w14:textId="77777777" w:rsidR="00AE1ECE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Zamítnut (INVALID) – požadavek byl shledán jako neoprávněný, nejedná se o chybu aplikace nebo chybu způsobenou stranou dodavatele.</w:t>
      </w:r>
    </w:p>
    <w:p w14:paraId="0C63ACED" w14:textId="77777777" w:rsidR="00AE1ECE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Nebude zapracován (WONTFIX) – požadavek byl při analýze shledán jako oprávněný, avšak po domluvě se stranou Zadavatele bylo rozhodnuto o jeho nezapracování.</w:t>
      </w:r>
    </w:p>
    <w:p w14:paraId="66EDC28F" w14:textId="77777777" w:rsidR="00AE1ECE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Označen jako duplikát (DUPLICATE) – požadavek byl analyzován a prohlášen jako duplikát jiného požadavku, který byl stranou Zadavatele položen. Při označení duplicitního požadavku bude vždy strana dodavatele o tomto rozhodnutí informována.</w:t>
      </w:r>
    </w:p>
    <w:p w14:paraId="4A4DC635" w14:textId="77777777" w:rsidR="00AE1ECE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Nepodařilo se analyzovat nebo se nepodařilo nasimulovat na straně dodavatele (WORKSFORME). V tomto případě bude požadavek dál diskutován a analyzován.</w:t>
      </w:r>
    </w:p>
    <w:p w14:paraId="24B9CC6D" w14:textId="77777777" w:rsidR="00AE1ECE" w:rsidRDefault="00000000">
      <w:pPr>
        <w:numPr>
          <w:ilvl w:val="0"/>
          <w:numId w:val="19"/>
        </w:numPr>
        <w:spacing w:line="259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Požadavek se může ze stavu vyřešen vždy přesunout do stavu v řešení v případě, kdy strana Zadavatele nesouhlasí s řešením ze strany dodavatele (REOPEN).</w:t>
      </w:r>
    </w:p>
    <w:p w14:paraId="06E43E07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 6) Požadavek ověřen (VERIFIED) – znamená, že vyřešení požadavku bylo potvrzeno ze strany Zadavatele.</w:t>
      </w:r>
    </w:p>
    <w:p w14:paraId="7D2C5081" w14:textId="77777777" w:rsidR="00AE1ECE" w:rsidRDefault="00000000">
      <w:pPr>
        <w:spacing w:before="120" w:after="12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 7) Požadavek uzavřen (CLOSED) – znamená, že řízení ohledně požadavku bylo ukončeno.</w:t>
      </w:r>
    </w:p>
    <w:sectPr w:rsidR="00AE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006"/>
    <w:multiLevelType w:val="multilevel"/>
    <w:tmpl w:val="10A02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8E5DFC"/>
    <w:multiLevelType w:val="multilevel"/>
    <w:tmpl w:val="8F88D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F74031"/>
    <w:multiLevelType w:val="multilevel"/>
    <w:tmpl w:val="BCDA8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CB68EE"/>
    <w:multiLevelType w:val="multilevel"/>
    <w:tmpl w:val="6D608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44F57"/>
    <w:multiLevelType w:val="multilevel"/>
    <w:tmpl w:val="14623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D4628"/>
    <w:multiLevelType w:val="multilevel"/>
    <w:tmpl w:val="4022B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EF1025"/>
    <w:multiLevelType w:val="multilevel"/>
    <w:tmpl w:val="1FD6A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1A722B"/>
    <w:multiLevelType w:val="multilevel"/>
    <w:tmpl w:val="7B364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F859E3"/>
    <w:multiLevelType w:val="multilevel"/>
    <w:tmpl w:val="5770E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00074D"/>
    <w:multiLevelType w:val="multilevel"/>
    <w:tmpl w:val="70725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E971E6"/>
    <w:multiLevelType w:val="multilevel"/>
    <w:tmpl w:val="B74C6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3753DC"/>
    <w:multiLevelType w:val="multilevel"/>
    <w:tmpl w:val="C940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E9A71DC"/>
    <w:multiLevelType w:val="multilevel"/>
    <w:tmpl w:val="C0E6D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9D72BA"/>
    <w:multiLevelType w:val="multilevel"/>
    <w:tmpl w:val="14E63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B643EA"/>
    <w:multiLevelType w:val="multilevel"/>
    <w:tmpl w:val="75A6C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1677900"/>
    <w:multiLevelType w:val="multilevel"/>
    <w:tmpl w:val="AC18B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E7275A"/>
    <w:multiLevelType w:val="multilevel"/>
    <w:tmpl w:val="E5C41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EB5725"/>
    <w:multiLevelType w:val="multilevel"/>
    <w:tmpl w:val="CECA9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A827F0"/>
    <w:multiLevelType w:val="multilevel"/>
    <w:tmpl w:val="9F3E7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5032948">
    <w:abstractNumId w:val="9"/>
  </w:num>
  <w:num w:numId="2" w16cid:durableId="2042432064">
    <w:abstractNumId w:val="3"/>
  </w:num>
  <w:num w:numId="3" w16cid:durableId="949505928">
    <w:abstractNumId w:val="16"/>
  </w:num>
  <w:num w:numId="4" w16cid:durableId="793446762">
    <w:abstractNumId w:val="10"/>
  </w:num>
  <w:num w:numId="5" w16cid:durableId="2007702755">
    <w:abstractNumId w:val="13"/>
  </w:num>
  <w:num w:numId="6" w16cid:durableId="1349985363">
    <w:abstractNumId w:val="0"/>
  </w:num>
  <w:num w:numId="7" w16cid:durableId="1092896977">
    <w:abstractNumId w:val="15"/>
  </w:num>
  <w:num w:numId="8" w16cid:durableId="469522165">
    <w:abstractNumId w:val="2"/>
  </w:num>
  <w:num w:numId="9" w16cid:durableId="19673455">
    <w:abstractNumId w:val="17"/>
  </w:num>
  <w:num w:numId="10" w16cid:durableId="1309628705">
    <w:abstractNumId w:val="14"/>
  </w:num>
  <w:num w:numId="11" w16cid:durableId="946734536">
    <w:abstractNumId w:val="7"/>
  </w:num>
  <w:num w:numId="12" w16cid:durableId="1075858533">
    <w:abstractNumId w:val="1"/>
  </w:num>
  <w:num w:numId="13" w16cid:durableId="270162480">
    <w:abstractNumId w:val="18"/>
  </w:num>
  <w:num w:numId="14" w16cid:durableId="93135250">
    <w:abstractNumId w:val="8"/>
  </w:num>
  <w:num w:numId="15" w16cid:durableId="992559912">
    <w:abstractNumId w:val="5"/>
  </w:num>
  <w:num w:numId="16" w16cid:durableId="1556500537">
    <w:abstractNumId w:val="4"/>
  </w:num>
  <w:num w:numId="17" w16cid:durableId="1625384564">
    <w:abstractNumId w:val="12"/>
  </w:num>
  <w:num w:numId="18" w16cid:durableId="1408116946">
    <w:abstractNumId w:val="11"/>
  </w:num>
  <w:num w:numId="19" w16cid:durableId="14309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CE"/>
    <w:rsid w:val="00063F3A"/>
    <w:rsid w:val="000C7070"/>
    <w:rsid w:val="001E06E4"/>
    <w:rsid w:val="002B6DF0"/>
    <w:rsid w:val="003277A1"/>
    <w:rsid w:val="003450BA"/>
    <w:rsid w:val="00393CDE"/>
    <w:rsid w:val="00396838"/>
    <w:rsid w:val="003B3B38"/>
    <w:rsid w:val="003E05A3"/>
    <w:rsid w:val="003F17B5"/>
    <w:rsid w:val="004407CF"/>
    <w:rsid w:val="00465207"/>
    <w:rsid w:val="00477442"/>
    <w:rsid w:val="005278DF"/>
    <w:rsid w:val="00530BF8"/>
    <w:rsid w:val="005B400B"/>
    <w:rsid w:val="0062131F"/>
    <w:rsid w:val="006473CD"/>
    <w:rsid w:val="0079136F"/>
    <w:rsid w:val="00844819"/>
    <w:rsid w:val="00947566"/>
    <w:rsid w:val="0095414F"/>
    <w:rsid w:val="00A00EC0"/>
    <w:rsid w:val="00A46352"/>
    <w:rsid w:val="00AC5E92"/>
    <w:rsid w:val="00AD56EA"/>
    <w:rsid w:val="00AE1ECE"/>
    <w:rsid w:val="00BD6049"/>
    <w:rsid w:val="00C03A77"/>
    <w:rsid w:val="00C37281"/>
    <w:rsid w:val="00C81ED5"/>
    <w:rsid w:val="00CD01E3"/>
    <w:rsid w:val="00DB5F65"/>
    <w:rsid w:val="00E42F46"/>
    <w:rsid w:val="00E66539"/>
    <w:rsid w:val="00F40719"/>
    <w:rsid w:val="00F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995E16"/>
  <w15:docId w15:val="{EFB297FB-0158-E942-9006-0816154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Z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Aleš Vavrinec</cp:lastModifiedBy>
  <cp:revision>2</cp:revision>
  <dcterms:created xsi:type="dcterms:W3CDTF">2024-04-10T15:56:00Z</dcterms:created>
  <dcterms:modified xsi:type="dcterms:W3CDTF">2024-04-10T15:56:00Z</dcterms:modified>
</cp:coreProperties>
</file>