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Decile Charts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Decile is just another way to categorize data</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 an ideal situation the bars will descend from left to right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highlight w:val="white"/>
          <w:rtl w:val="0"/>
        </w:rPr>
        <w:t xml:space="preserve">A model exhibiting a good staircase decile analysis is one you can consider moving forward with.</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In contrast, if the bars seem to be out of order, the decile analysis is telling you that the model is not doing a very good job of predicting actual responses.</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If the bars seem to be the same height, or the decile analysis looks “flat”, the decile analysis is telling you that the model isn’t performing any better than randomly binning people into deciles would. In both cases, your model should be improved before moving forward with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